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2016</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 H. ANTON GUSTONI M.Si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Komunikasi Dan Informatika</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2016</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 H. ANTON GUSTONI M.Si</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2016</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KOMUNIKASI DAN INFORMATIKA</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Tersedianya SDM yang memiliki kompetensi di bidang TIK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SDM yang memiliki kompetensi dan bersertifikat  di Bidang TIK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50.00 Orang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area layanan infrastruktur pos dan telekomunikasi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cakupan area infrastruktur pos dan telekomunikasi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pengadaan barang dan jasa pemerintah secara elektronik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pengadaan barang dan jasa pemerintah secara elektronik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Masyarakat berbasis TIK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kegiatan dan komunitas untuk mendukung kontribusi masyarakat melek TIK terhadap pembangunan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22.00 Kegiatan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Tersebarnya informasi berbasis TIK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penyebaran informasi melalui  media elektronik dan non elektronik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90.00 Kegiatan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konektivitas jaringan komunikasi digital di Jawa Barat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Konektivitas Digital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176.00 Titik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mediasi dan ajudikasi sengketa informasi</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sengketa informasi yang diselesaikan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80.00 persen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2016</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Komunikasi Dan Informatika</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 H. ANTON GUSTONI M.Si</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