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8D4940" w:rsidRPr="00CD29AC" w:rsidRDefault="00CD29AC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E8168C">
        <w:rPr>
          <w:rFonts w:asciiTheme="majorHAnsi" w:hAnsiTheme="majorHAnsi" w:cs="Aharoni"/>
          <w:sz w:val="24"/>
          <w:szCs w:val="24"/>
        </w:rPr>
        <w:t>Kimia</w:t>
      </w: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E8168C">
        <w:rPr>
          <w:rFonts w:asciiTheme="majorHAnsi" w:hAnsiTheme="majorHAnsi" w:cs="Aharoni"/>
          <w:sz w:val="24"/>
          <w:szCs w:val="24"/>
        </w:rPr>
        <w:t xml:space="preserve">  Nurul Aulia, S.Pd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664"/>
        <w:gridCol w:w="1145"/>
        <w:gridCol w:w="1843"/>
        <w:gridCol w:w="1559"/>
        <w:gridCol w:w="2268"/>
        <w:gridCol w:w="1418"/>
        <w:gridCol w:w="1276"/>
      </w:tblGrid>
      <w:tr w:rsidR="004B2A8D" w:rsidRPr="006C0AAF" w:rsidTr="002F4A1B">
        <w:tc>
          <w:tcPr>
            <w:tcW w:w="664" w:type="dxa"/>
          </w:tcPr>
          <w:p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843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268" w:type="dxa"/>
          </w:tcPr>
          <w:p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2F4A1B" w:rsidRPr="006C0AAF" w:rsidTr="002F4A1B">
        <w:trPr>
          <w:trHeight w:val="1805"/>
        </w:trPr>
        <w:tc>
          <w:tcPr>
            <w:tcW w:w="664" w:type="dxa"/>
          </w:tcPr>
          <w:p w:rsidR="002F4A1B" w:rsidRPr="006C0AAF" w:rsidRDefault="002F4A1B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  <w:p w:rsidR="002F4A1B" w:rsidRPr="002F4A1B" w:rsidRDefault="002F4A1B" w:rsidP="006C0AAF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145" w:type="dxa"/>
          </w:tcPr>
          <w:p w:rsidR="002F4A1B" w:rsidRPr="00E8168C" w:rsidRDefault="002F4A1B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XI IPA </w:t>
            </w:r>
          </w:p>
          <w:p w:rsidR="002F4A1B" w:rsidRPr="00E8168C" w:rsidRDefault="002F4A1B" w:rsidP="002F4A1B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843" w:type="dxa"/>
          </w:tcPr>
          <w:p w:rsidR="002F4A1B" w:rsidRPr="00E8168C" w:rsidRDefault="002F4A1B" w:rsidP="00E8168C">
            <w:pPr>
              <w:spacing w:line="360" w:lineRule="auto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Titrasi Asam Basa </w:t>
            </w:r>
          </w:p>
        </w:tc>
        <w:tc>
          <w:tcPr>
            <w:tcW w:w="1559" w:type="dxa"/>
          </w:tcPr>
          <w:p w:rsidR="002F4A1B" w:rsidRPr="00E8168C" w:rsidRDefault="002F4A1B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Nanda Saputri, S.Pd</w:t>
            </w:r>
          </w:p>
        </w:tc>
        <w:tc>
          <w:tcPr>
            <w:tcW w:w="2268" w:type="dxa"/>
          </w:tcPr>
          <w:p w:rsidR="002F4A1B" w:rsidRPr="00E8168C" w:rsidRDefault="002F4A1B" w:rsidP="002F4A1B">
            <w:pPr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Siswa mampu mendemonstrasikan uji kadar cuka makan yang digunakan dalam kehidupan sehari-hari berdasarkan metode titrasi asam basa</w:t>
            </w:r>
          </w:p>
        </w:tc>
        <w:tc>
          <w:tcPr>
            <w:tcW w:w="1418" w:type="dxa"/>
          </w:tcPr>
          <w:p w:rsidR="002F4A1B" w:rsidRPr="00E8168C" w:rsidRDefault="002F4A1B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90 menit</w:t>
            </w:r>
          </w:p>
        </w:tc>
        <w:tc>
          <w:tcPr>
            <w:tcW w:w="1276" w:type="dxa"/>
          </w:tcPr>
          <w:p w:rsidR="002F4A1B" w:rsidRPr="00FD168E" w:rsidRDefault="002F4A1B" w:rsidP="00557E76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Rp. </w:t>
            </w:r>
            <w:r w:rsidR="00557E76">
              <w:rPr>
                <w:rFonts w:asciiTheme="majorHAnsi" w:hAnsiTheme="majorHAnsi" w:cs="Aharoni"/>
                <w:lang w:val="en-US"/>
              </w:rPr>
              <w:t>86</w:t>
            </w:r>
            <w:r>
              <w:rPr>
                <w:rFonts w:asciiTheme="majorHAnsi" w:hAnsiTheme="majorHAnsi" w:cs="Aharoni"/>
                <w:lang w:val="en-US"/>
              </w:rPr>
              <w:t>.000</w:t>
            </w:r>
          </w:p>
        </w:tc>
      </w:tr>
      <w:tr w:rsidR="004B2A8D" w:rsidRPr="006C0AAF" w:rsidTr="002F4A1B">
        <w:tc>
          <w:tcPr>
            <w:tcW w:w="664" w:type="dxa"/>
          </w:tcPr>
          <w:p w:rsidR="00D36AAA" w:rsidRPr="002F4A1B" w:rsidRDefault="002F4A1B" w:rsidP="006C0AAF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2.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43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2F4A1B">
        <w:tc>
          <w:tcPr>
            <w:tcW w:w="664" w:type="dxa"/>
          </w:tcPr>
          <w:p w:rsidR="00D36AAA" w:rsidRPr="002F4A1B" w:rsidRDefault="002F4A1B" w:rsidP="006C0AAF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3.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43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2F4A1B">
        <w:tc>
          <w:tcPr>
            <w:tcW w:w="664" w:type="dxa"/>
          </w:tcPr>
          <w:p w:rsidR="004B2A8D" w:rsidRPr="006C0AAF" w:rsidRDefault="004B2A8D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</w:p>
        </w:tc>
        <w:tc>
          <w:tcPr>
            <w:tcW w:w="1145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43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Pr="00FD168E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B2A8D" w:rsidRPr="004B2A8D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Mengetahui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Kepala Sekolah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r w:rsidRPr="00FD168E">
              <w:rPr>
                <w:rFonts w:asciiTheme="majorHAnsi" w:hAnsiTheme="majorHAnsi" w:cs="Tahoma"/>
              </w:rPr>
              <w:t>Fachrurrazi</w:t>
            </w:r>
            <w:r>
              <w:rPr>
                <w:rFonts w:asciiTheme="majorHAnsi" w:hAnsiTheme="majorHAnsi" w:cs="Tahoma"/>
              </w:rPr>
              <w:t>, MA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CD29AC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Bireuen, 2 Februari</w:t>
            </w:r>
            <w:r w:rsidR="00FD168E">
              <w:rPr>
                <w:rFonts w:asciiTheme="majorHAnsi" w:eastAsiaTheme="minorHAnsi" w:hAnsiTheme="majorHAnsi"/>
              </w:rPr>
              <w:t xml:space="preserve"> </w:t>
            </w:r>
            <w:r w:rsidR="002F4A1B">
              <w:rPr>
                <w:rFonts w:asciiTheme="majorHAnsi" w:eastAsiaTheme="minorHAnsi" w:hAnsiTheme="majorHAnsi"/>
              </w:rPr>
              <w:t>2019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(Nurul Aulia, S.Pd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10181006</w:t>
            </w:r>
          </w:p>
        </w:tc>
      </w:tr>
    </w:tbl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FD168E" w:rsidRPr="00FD168E" w:rsidRDefault="00FD168E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D4940" w:rsidRPr="00FD168E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078F7" w:rsidRPr="00557E76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557E76">
        <w:rPr>
          <w:rFonts w:asciiTheme="majorHAnsi" w:hAnsiTheme="majorHAnsi" w:cs="Aharoni"/>
          <w:b/>
          <w:sz w:val="28"/>
          <w:szCs w:val="28"/>
        </w:rPr>
        <w:t>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8C7024" w:rsidRDefault="00CD29AC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Titrasi Asam Basa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Kimia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Nurul Aulia,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CD29AC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</w:t>
            </w:r>
            <w:r w:rsidR="008C7024">
              <w:rPr>
                <w:rFonts w:asciiTheme="majorHAnsi" w:hAnsiTheme="majorHAnsi"/>
                <w:lang w:val="en-US"/>
              </w:rPr>
              <w:t xml:space="preserve"> IPA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8C7024" w:rsidRDefault="00CD29AC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Jum’at/ 1 Februari</w:t>
            </w:r>
            <w:r w:rsidR="008C7024">
              <w:rPr>
                <w:rFonts w:asciiTheme="majorHAnsi" w:hAnsiTheme="majorHAnsi"/>
                <w:lang w:val="en-US"/>
              </w:rPr>
              <w:t xml:space="preserve"> 201</w:t>
            </w:r>
            <w:r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Laboratorium Kimia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8C7024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8C7024" w:rsidRPr="00100CC3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CD29AC">
        <w:rPr>
          <w:rFonts w:asciiTheme="majorHAnsi" w:hAnsiTheme="majorHAnsi"/>
          <w:lang w:val="id-ID"/>
        </w:rPr>
        <w:t xml:space="preserve">Tujuan dari kegiatan ini yaitu untuk </w:t>
      </w:r>
      <w:r w:rsidR="00CD29AC" w:rsidRPr="00CD29AC">
        <w:rPr>
          <w:rFonts w:asciiTheme="majorHAnsi" w:hAnsiTheme="majorHAnsi"/>
          <w:lang w:val="id-ID"/>
        </w:rPr>
        <w:t xml:space="preserve">meningkatkan semangat belajar siswa pada materi kimia dan </w:t>
      </w:r>
      <w:r w:rsidR="00CD29AC">
        <w:rPr>
          <w:rFonts w:asciiTheme="majorHAnsi" w:hAnsiTheme="majorHAnsi"/>
          <w:lang w:val="id-ID"/>
        </w:rPr>
        <w:t>siswa mampu men</w:t>
      </w:r>
      <w:r w:rsidR="00CD29AC" w:rsidRPr="00CD29AC">
        <w:rPr>
          <w:rFonts w:asciiTheme="majorHAnsi" w:hAnsiTheme="majorHAnsi"/>
          <w:lang w:val="id-ID"/>
        </w:rPr>
        <w:t>demontrasikan uji kadar cuka makan yang digunakan dalam kehidupan sehari-ha</w:t>
      </w:r>
      <w:r w:rsidR="00100CC3" w:rsidRPr="00100CC3">
        <w:rPr>
          <w:rFonts w:asciiTheme="majorHAnsi" w:hAnsiTheme="majorHAnsi"/>
          <w:lang w:val="id-ID"/>
        </w:rPr>
        <w:t>ri</w:t>
      </w:r>
    </w:p>
    <w:p w:rsidR="00946732" w:rsidRPr="008C702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8C7024" w:rsidRPr="008C7024" w:rsidRDefault="00100CC3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Alumni Mahasiswa S1</w:t>
      </w:r>
      <w:r w:rsidR="008C7024">
        <w:rPr>
          <w:rFonts w:asciiTheme="majorHAnsi" w:hAnsiTheme="majorHAnsi"/>
        </w:rPr>
        <w:t xml:space="preserve"> pendidikan kimia Universitas Syiah Kuala</w:t>
      </w:r>
    </w:p>
    <w:p w:rsidR="008C7024" w:rsidRPr="008C70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:rsidR="0045452A" w:rsidRPr="008F304E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Kegiatan guest teacher berlansung dengan baik, dimana siswa</w:t>
      </w:r>
      <w:r w:rsidR="008F304E">
        <w:rPr>
          <w:rFonts w:asciiTheme="majorHAnsi" w:hAnsiTheme="majorHAnsi"/>
        </w:rPr>
        <w:t xml:space="preserve"> mampu</w:t>
      </w:r>
      <w:r w:rsidR="00100CC3">
        <w:rPr>
          <w:rFonts w:asciiTheme="majorHAnsi" w:hAnsiTheme="majorHAnsi"/>
        </w:rPr>
        <w:t xml:space="preserve"> mendemonstrasikan uji kadar cuka makan dengan metode titrasi asam basa</w:t>
      </w:r>
      <w:r w:rsidR="008F304E">
        <w:rPr>
          <w:rFonts w:asciiTheme="majorHAnsi" w:hAnsiTheme="majorHAnsi"/>
        </w:rPr>
        <w:t>. Siswa memperhatikan langkah-langkah yang dijelaskan oleh guest teacher</w:t>
      </w:r>
      <w:r w:rsidR="00100CC3">
        <w:rPr>
          <w:rFonts w:asciiTheme="majorHAnsi" w:hAnsiTheme="majorHAnsi"/>
        </w:rPr>
        <w:t xml:space="preserve"> dan mendengarkan tujuan dilakukan uji kadar cuka</w:t>
      </w:r>
      <w:r w:rsidR="008F304E">
        <w:rPr>
          <w:rFonts w:asciiTheme="majorHAnsi" w:hAnsiTheme="majorHAnsi"/>
        </w:rPr>
        <w:t>. S</w:t>
      </w:r>
      <w:r w:rsidR="00100CC3">
        <w:rPr>
          <w:rFonts w:asciiTheme="majorHAnsi" w:hAnsiTheme="majorHAnsi"/>
        </w:rPr>
        <w:t>e</w:t>
      </w:r>
      <w:r w:rsidR="008F304E">
        <w:rPr>
          <w:rFonts w:asciiTheme="majorHAnsi" w:hAnsiTheme="majorHAnsi"/>
        </w:rPr>
        <w:t xml:space="preserve">telah demontrasi dilakukan, siswa </w:t>
      </w:r>
      <w:r w:rsidR="00100CC3">
        <w:rPr>
          <w:rFonts w:asciiTheme="majorHAnsi" w:hAnsiTheme="majorHAnsi"/>
        </w:rPr>
        <w:t xml:space="preserve">diarahkan untuk </w:t>
      </w:r>
      <w:r w:rsidR="008F304E">
        <w:rPr>
          <w:rFonts w:asciiTheme="majorHAnsi" w:hAnsiTheme="majorHAnsi"/>
        </w:rPr>
        <w:t>mendengarkan kembali penjelasan dari gues</w:t>
      </w:r>
      <w:r w:rsidR="00100CC3">
        <w:rPr>
          <w:rFonts w:asciiTheme="majorHAnsi" w:hAnsiTheme="majorHAnsi"/>
        </w:rPr>
        <w:t>t</w:t>
      </w:r>
      <w:r w:rsidR="008F304E">
        <w:rPr>
          <w:rFonts w:asciiTheme="majorHAnsi" w:hAnsiTheme="majorHAnsi"/>
        </w:rPr>
        <w:t xml:space="preserve"> teacher tentang </w:t>
      </w:r>
      <w:r w:rsidR="00100CC3">
        <w:rPr>
          <w:rFonts w:asciiTheme="majorHAnsi" w:hAnsiTheme="majorHAnsi"/>
        </w:rPr>
        <w:t xml:space="preserve">titrasi asam basa. Siswa juga diberikan kesempatan untuk bertanya-tanya kepada guest teacher tentang titrasi asam basa. </w:t>
      </w:r>
    </w:p>
    <w:p w:rsidR="0045452A" w:rsidRPr="008F304E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8F304E" w:rsidRPr="008F304E" w:rsidRDefault="008F304E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Sis</w:t>
      </w:r>
      <w:r w:rsidR="00100CC3">
        <w:rPr>
          <w:rFonts w:asciiTheme="majorHAnsi" w:hAnsiTheme="majorHAnsi"/>
        </w:rPr>
        <w:t>wa sangat tertarik dalam melaku</w:t>
      </w:r>
      <w:r>
        <w:rPr>
          <w:rFonts w:asciiTheme="majorHAnsi" w:hAnsiTheme="majorHAnsi"/>
        </w:rPr>
        <w:t>kan kegiatan guest teacher ini, dikarenakan berhubungan dengan kehidupan sehari-hari</w:t>
      </w:r>
      <w:r w:rsidR="00100CC3">
        <w:rPr>
          <w:rFonts w:asciiTheme="majorHAnsi" w:hAnsiTheme="majorHAnsi"/>
        </w:rPr>
        <w:t xml:space="preserve"> dan akan menambahkan wawasan siswa</w:t>
      </w:r>
      <w:r>
        <w:rPr>
          <w:rFonts w:asciiTheme="majorHAnsi" w:hAnsiTheme="majorHAnsi"/>
        </w:rPr>
        <w:t>. Siswa lebih aktif</w:t>
      </w:r>
      <w:r w:rsidR="00100CC3">
        <w:rPr>
          <w:rFonts w:asciiTheme="majorHAnsi" w:hAnsiTheme="majorHAnsi"/>
        </w:rPr>
        <w:t xml:space="preserve"> dan semangat</w:t>
      </w:r>
      <w:r>
        <w:rPr>
          <w:rFonts w:asciiTheme="majorHAnsi" w:hAnsiTheme="majorHAnsi"/>
        </w:rPr>
        <w:t xml:space="preserve"> dalam mendemonstrasikan kegiatan ini. </w:t>
      </w: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D87B90" w:rsidRDefault="007B0D64" w:rsidP="004078F7">
      <w:pPr>
        <w:jc w:val="both"/>
      </w:pPr>
      <w:r w:rsidRPr="007B0D64">
        <w:drawing>
          <wp:inline distT="0" distB="0" distL="0" distR="0">
            <wp:extent cx="2637886" cy="1940943"/>
            <wp:effectExtent l="19050" t="0" r="0" b="0"/>
            <wp:docPr id="6" name="Picture 1" descr="C:\Users\Konselor\AppData\Local\Temp\IMG20190201104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selor\AppData\Local\Temp\IMG201902011049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86" cy="194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D64">
        <w:drawing>
          <wp:inline distT="0" distB="0" distL="0" distR="0">
            <wp:extent cx="3198603" cy="1938900"/>
            <wp:effectExtent l="19050" t="0" r="1797" b="0"/>
            <wp:docPr id="8" name="Picture 3" descr="C:\Users\Konselor\AppData\Local\Temp\IMG20190201104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selor\AppData\Local\Temp\IMG201902011043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32" cy="193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78" w:rsidRDefault="00DB4178" w:rsidP="00D87B90"/>
    <w:p w:rsidR="00557E76" w:rsidRDefault="00557E76" w:rsidP="00D87B90"/>
    <w:p w:rsidR="00557E76" w:rsidRDefault="00557E76" w:rsidP="00D87B90">
      <w:r w:rsidRPr="00557E76">
        <w:lastRenderedPageBreak/>
        <w:drawing>
          <wp:inline distT="0" distB="0" distL="0" distR="0">
            <wp:extent cx="2849736" cy="1978845"/>
            <wp:effectExtent l="19050" t="0" r="7764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04" cy="198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E76">
        <w:drawing>
          <wp:inline distT="0" distB="0" distL="0" distR="0">
            <wp:extent cx="2981673" cy="1975449"/>
            <wp:effectExtent l="19050" t="0" r="9177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13" cy="197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76" w:rsidRPr="00557E76" w:rsidRDefault="00557E76" w:rsidP="00557E76">
      <w:r w:rsidRPr="00557E76">
        <w:drawing>
          <wp:inline distT="0" distB="0" distL="0" distR="0">
            <wp:extent cx="5855275" cy="2812088"/>
            <wp:effectExtent l="19050" t="0" r="0" b="0"/>
            <wp:docPr id="13" name="Picture 2" descr="C:\Users\Konselor\AppData\Local\Temp\IMG20190201104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selor\AppData\Local\Temp\IMG201902011042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46" cy="281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E76" w:rsidRPr="00557E76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C2" w:rsidRDefault="00D647C2" w:rsidP="008D4940">
      <w:pPr>
        <w:spacing w:after="0" w:line="240" w:lineRule="auto"/>
      </w:pPr>
      <w:r>
        <w:separator/>
      </w:r>
    </w:p>
  </w:endnote>
  <w:endnote w:type="continuationSeparator" w:id="1">
    <w:p w:rsidR="00D647C2" w:rsidRDefault="00D647C2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C2" w:rsidRDefault="00D647C2" w:rsidP="008D4940">
      <w:pPr>
        <w:spacing w:after="0" w:line="240" w:lineRule="auto"/>
      </w:pPr>
      <w:r>
        <w:separator/>
      </w:r>
    </w:p>
  </w:footnote>
  <w:footnote w:type="continuationSeparator" w:id="1">
    <w:p w:rsidR="00D647C2" w:rsidRDefault="00D647C2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00CC3"/>
    <w:rsid w:val="001137EB"/>
    <w:rsid w:val="0018196E"/>
    <w:rsid w:val="00193A8F"/>
    <w:rsid w:val="002F4A1B"/>
    <w:rsid w:val="00374908"/>
    <w:rsid w:val="004078F7"/>
    <w:rsid w:val="0045452A"/>
    <w:rsid w:val="004B2A8D"/>
    <w:rsid w:val="004F42A8"/>
    <w:rsid w:val="0051358F"/>
    <w:rsid w:val="00527204"/>
    <w:rsid w:val="00557E76"/>
    <w:rsid w:val="005840FA"/>
    <w:rsid w:val="005C5B06"/>
    <w:rsid w:val="00627688"/>
    <w:rsid w:val="0065727A"/>
    <w:rsid w:val="006C0AAF"/>
    <w:rsid w:val="007B0D64"/>
    <w:rsid w:val="00847DFF"/>
    <w:rsid w:val="00860AE6"/>
    <w:rsid w:val="008C7024"/>
    <w:rsid w:val="008D4940"/>
    <w:rsid w:val="008F304E"/>
    <w:rsid w:val="00913D5B"/>
    <w:rsid w:val="00946732"/>
    <w:rsid w:val="00987950"/>
    <w:rsid w:val="00BB1840"/>
    <w:rsid w:val="00CB3384"/>
    <w:rsid w:val="00CD29AC"/>
    <w:rsid w:val="00CD5B44"/>
    <w:rsid w:val="00D36AAA"/>
    <w:rsid w:val="00D647C2"/>
    <w:rsid w:val="00D87B90"/>
    <w:rsid w:val="00DB4178"/>
    <w:rsid w:val="00E179BD"/>
    <w:rsid w:val="00E32D4B"/>
    <w:rsid w:val="00E53282"/>
    <w:rsid w:val="00E8168C"/>
    <w:rsid w:val="00EF5E70"/>
    <w:rsid w:val="00F821CF"/>
    <w:rsid w:val="00FD168E"/>
    <w:rsid w:val="00FD5106"/>
    <w:rsid w:val="00FE0CC7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4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36</cp:revision>
  <dcterms:created xsi:type="dcterms:W3CDTF">2018-09-18T03:55:00Z</dcterms:created>
  <dcterms:modified xsi:type="dcterms:W3CDTF">2019-02-02T03:53:00Z</dcterms:modified>
</cp:coreProperties>
</file>