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Default="00FC510F" w:rsidP="00DB6EF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5BD7" w:rsidP="00E45BD7">
            <w:pPr>
              <w:spacing w:after="0" w:line="240" w:lineRule="auto"/>
              <w:jc w:val="both"/>
            </w:pPr>
            <w:proofErr w:type="spellStart"/>
            <w:r>
              <w:t>Situs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aceh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45BD7" w:rsidRDefault="00E45BD7" w:rsidP="00DB6EF5">
            <w:pPr>
              <w:spacing w:after="0" w:line="240" w:lineRule="auto"/>
              <w:jc w:val="both"/>
            </w:pPr>
            <w:proofErr w:type="spellStart"/>
            <w:r>
              <w:t>ips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5BD7" w:rsidP="00DB6EF5">
            <w:pPr>
              <w:spacing w:after="0" w:line="240" w:lineRule="auto"/>
              <w:jc w:val="both"/>
            </w:pPr>
            <w:proofErr w:type="spellStart"/>
            <w:r>
              <w:t>suriyanto</w:t>
            </w:r>
            <w:proofErr w:type="spellEnd"/>
            <w:r w:rsidR="00C364B1">
              <w:t xml:space="preserve">, </w:t>
            </w:r>
            <w:proofErr w:type="spellStart"/>
            <w:r w:rsidR="00C364B1">
              <w:t>S.Pd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E45BD7" w:rsidP="00DB6EF5">
            <w:pPr>
              <w:spacing w:after="0" w:line="240" w:lineRule="auto"/>
              <w:jc w:val="both"/>
            </w:pPr>
            <w:proofErr w:type="spellStart"/>
            <w:r>
              <w:t>Sufrida</w:t>
            </w:r>
            <w:proofErr w:type="spellEnd"/>
            <w:r>
              <w:t xml:space="preserve"> </w:t>
            </w:r>
            <w:proofErr w:type="spellStart"/>
            <w:r>
              <w:t>S,Sn</w:t>
            </w:r>
            <w:proofErr w:type="spellEnd"/>
            <w:r w:rsidR="00C364B1">
              <w:t xml:space="preserve">, </w:t>
            </w:r>
            <w:proofErr w:type="spellStart"/>
            <w:r>
              <w:t>Aftaul</w:t>
            </w:r>
            <w:proofErr w:type="spellEnd"/>
            <w:r>
              <w:t xml:space="preserve"> </w:t>
            </w:r>
            <w:proofErr w:type="spellStart"/>
            <w:r>
              <w:t>Musla</w:t>
            </w:r>
            <w:r w:rsidR="00C364B1"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5BD7" w:rsidP="00DB6EF5">
            <w:pPr>
              <w:spacing w:after="0" w:line="240" w:lineRule="auto"/>
              <w:jc w:val="both"/>
            </w:pPr>
            <w:r>
              <w:t xml:space="preserve">VII Goa </w:t>
            </w:r>
            <w:proofErr w:type="spellStart"/>
            <w:r>
              <w:t>dan</w:t>
            </w:r>
            <w:proofErr w:type="spellEnd"/>
            <w:r>
              <w:t xml:space="preserve"> VII Deli</w:t>
            </w:r>
            <w:r w:rsidR="00E7524A">
              <w:rPr>
                <w:lang w:val="id-ID"/>
              </w:rPr>
              <w:t>/G</w:t>
            </w:r>
            <w:proofErr w:type="spellStart"/>
            <w:r w:rsidR="00C364B1"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Banda Aceh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C364B1">
        <w:t>tempat-tempat</w:t>
      </w:r>
      <w:proofErr w:type="spellEnd"/>
      <w:r w:rsidR="00C364B1">
        <w:t xml:space="preserve"> yang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kunjungi</w:t>
      </w:r>
      <w:proofErr w:type="spellEnd"/>
      <w:r w:rsidR="00C364B1">
        <w:t xml:space="preserve"> </w:t>
      </w:r>
      <w:proofErr w:type="spellStart"/>
      <w:r w:rsidR="00C364B1">
        <w:t>selama</w:t>
      </w:r>
      <w:proofErr w:type="spellEnd"/>
      <w:r w:rsidR="00C364B1">
        <w:t xml:space="preserve"> </w:t>
      </w:r>
      <w:proofErr w:type="spellStart"/>
      <w:r w:rsidR="00C364B1">
        <w:t>di</w:t>
      </w:r>
      <w:proofErr w:type="spellEnd"/>
      <w:r w:rsidR="00C364B1">
        <w:t xml:space="preserve"> Banda Aceh.</w:t>
      </w:r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</w:t>
      </w:r>
      <w:proofErr w:type="spellStart"/>
      <w:r w:rsidR="00E45BD7">
        <w:t>mengidentifikasi</w:t>
      </w:r>
      <w:proofErr w:type="spellEnd"/>
      <w:r w:rsidR="00E45BD7">
        <w:t xml:space="preserve"> </w:t>
      </w:r>
      <w:proofErr w:type="spellStart"/>
      <w:r w:rsidR="00E45BD7">
        <w:t>situs-situs</w:t>
      </w:r>
      <w:proofErr w:type="spellEnd"/>
      <w:r w:rsidR="00E45BD7">
        <w:t xml:space="preserve"> </w:t>
      </w:r>
      <w:proofErr w:type="spellStart"/>
      <w:r w:rsidR="00E45BD7">
        <w:t>sejarah</w:t>
      </w:r>
      <w:proofErr w:type="spellEnd"/>
      <w:r w:rsidR="00E45BD7">
        <w:t xml:space="preserve"> </w:t>
      </w:r>
      <w:proofErr w:type="spellStart"/>
      <w:r w:rsidR="00E45BD7">
        <w:t>di</w:t>
      </w:r>
      <w:proofErr w:type="spellEnd"/>
      <w:r w:rsidR="00E45BD7">
        <w:t xml:space="preserve"> aceh</w:t>
      </w:r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1612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Sultan Iskandar Muda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Sultan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Iskandar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Muda</w:t>
        </w:r>
        <w:proofErr w:type="spellEnd"/>
      </w:hyperlink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juga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mengatakan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bahwa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</w:t>
      </w:r>
      <w:proofErr w:type="spellStart"/>
      <w:r w:rsidR="007E6C46" w:rsidRPr="006E0880">
        <w:rPr>
          <w:rFonts w:asciiTheme="minorHAnsi" w:hAnsiTheme="minorHAnsi" w:cstheme="minorHAnsi"/>
        </w:rPr>
        <w:t>Baiturrahman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awal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1292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Sultan </w:t>
      </w:r>
      <w:proofErr w:type="spellStart"/>
      <w:r w:rsidR="007E6C46" w:rsidRPr="006E0880">
        <w:rPr>
          <w:rFonts w:asciiTheme="minorHAnsi" w:hAnsiTheme="minorHAnsi" w:cstheme="minorHAnsi"/>
        </w:rPr>
        <w:t>Alaidin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Mahmudsyah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menampilkan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atap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jerami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berlapis</w:t>
      </w:r>
      <w:proofErr w:type="spellEnd"/>
      <w:r w:rsidR="007E6C46" w:rsidRPr="006E0880">
        <w:rPr>
          <w:rFonts w:asciiTheme="minorHAnsi" w:hAnsiTheme="minorHAnsi" w:cstheme="minorHAnsi"/>
        </w:rPr>
        <w:t xml:space="preserve">-lapis yang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fitur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khas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arsitektur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lain</w:t>
      </w:r>
      <w:proofErr w:type="gram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proses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namanya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lastRenderedPageBreak/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9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Rabu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(20/12),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hyperlink r:id="rId10" w:tooltip="Toko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Toko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menyediakan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judul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buku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diresmikan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Usman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>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Kuta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Malaka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Keindahan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berada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kawasan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Samahani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Kec</w:t>
      </w:r>
      <w:r w:rsidR="006E0880" w:rsidRPr="006E0880">
        <w:rPr>
          <w:rFonts w:asciiTheme="minorHAnsi" w:eastAsia="Times New Roman" w:hAnsiTheme="minorHAnsi" w:cstheme="minorHAnsi"/>
        </w:rPr>
        <w:t>amatan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, Aceh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Besar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Jarak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lokasi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itu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sekitar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45 kilometer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dari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Banda Aceh.</w:t>
      </w:r>
      <w:r w:rsidR="007E6C46" w:rsidRPr="006E0880">
        <w:rPr>
          <w:rFonts w:asciiTheme="minorHAnsi" w:eastAsia="Times New Roman" w:hAnsiTheme="minorHAnsi" w:cstheme="minorHAnsi"/>
        </w:rPr>
        <w:br/>
      </w: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</w:t>
      </w:r>
      <w:proofErr w:type="spellStart"/>
      <w:r>
        <w:rPr>
          <w:rFonts w:asciiTheme="minorHAnsi" w:hAnsiTheme="minorHAnsi" w:cstheme="minorHAnsi"/>
        </w:rPr>
        <w:t>Kami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February 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60320" cy="1920240"/>
            <wp:effectExtent l="1905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53" cy="1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41270" cy="1905953"/>
            <wp:effectExtent l="1905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3" cy="19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39390" cy="2058582"/>
            <wp:effectExtent l="19050" t="0" r="3810" b="0"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4" cy="20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inline distT="0" distB="0" distL="0" distR="0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F5EC0"/>
    <w:rsid w:val="0036443D"/>
    <w:rsid w:val="0068240E"/>
    <w:rsid w:val="006E0880"/>
    <w:rsid w:val="00772CA5"/>
    <w:rsid w:val="00794BB5"/>
    <w:rsid w:val="007E6C46"/>
    <w:rsid w:val="007F232A"/>
    <w:rsid w:val="008D7013"/>
    <w:rsid w:val="009A352E"/>
    <w:rsid w:val="00B25632"/>
    <w:rsid w:val="00C364B1"/>
    <w:rsid w:val="00D02E2F"/>
    <w:rsid w:val="00D450A6"/>
    <w:rsid w:val="00DB6EF5"/>
    <w:rsid w:val="00DE10B9"/>
    <w:rsid w:val="00E20FE3"/>
    <w:rsid w:val="00E45BD7"/>
    <w:rsid w:val="00E7524A"/>
    <w:rsid w:val="00F50331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ltan_Iskandar_Mud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aceh.tribunnews.com/tag/to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eh.tribunnews.com/tag/kompas-gramedi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Waka_SMP</cp:lastModifiedBy>
  <cp:revision>3</cp:revision>
  <dcterms:created xsi:type="dcterms:W3CDTF">2019-02-28T04:30:00Z</dcterms:created>
  <dcterms:modified xsi:type="dcterms:W3CDTF">2019-02-28T04:30:00Z</dcterms:modified>
</cp:coreProperties>
</file>