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35" w:lineRule="auto"/>
        <w:jc w:val="center"/>
      </w:pPr>
      <w:r>
        <w:rPr>
          <w:rFonts w:ascii="Calibri" w:hAnsi="Calibri" w:cs="Calibri"/>
          <w:b/>
          <w:color w:val="1F3864"/>
          <w:sz w:val="34"/>
        </w:rPr>
        <w:t>Atlas — ტენდერების ინტელექტუალური პლატფორმა</w:t>
      </w:r>
    </w:p>
    <w:p>
      <w:pPr>
        <w:spacing w:before="0" w:after="120" w:line="235" w:lineRule="auto"/>
        <w:jc w:val="center"/>
      </w:pPr>
      <w:r>
        <w:rPr>
          <w:rFonts w:ascii="Calibri" w:hAnsi="Calibri" w:cs="Calibri"/>
          <w:b w:val="0"/>
          <w:color w:val="6D6D6D"/>
          <w:sz w:val="18"/>
        </w:rPr>
        <w:t>საქართველოს ტექნიკური უნივერსიტეტი  |  ჰაკათონი 2026  |  ტექნიკური დოკუმენტაცია</w:t>
      </w:r>
    </w:p>
    <w:p>
      <w:pPr>
        <w:spacing w:before="100" w:after="40" w:line="235" w:lineRule="auto"/>
      </w:pPr>
      <w:r>
        <w:rPr>
          <w:rFonts w:ascii="Calibri" w:hAnsi="Calibri" w:cs="Calibri"/>
          <w:b/>
          <w:color w:val="1F3864"/>
          <w:sz w:val="25"/>
        </w:rPr>
        <w:t>1.  მიმოხილვა</w:t>
      </w:r>
    </w:p>
    <w:p>
      <w:pPr>
        <w:spacing w:before="0" w:after="60" w:line="235" w:lineRule="auto"/>
        <w:jc w:val="both"/>
      </w:pPr>
      <w:r>
        <w:rPr>
          <w:rFonts w:ascii="Calibri" w:hAnsi="Calibri" w:cs="Calibri"/>
          <w:b/>
          <w:sz w:val="20"/>
        </w:rPr>
        <w:t>Atlas — B2B პლატფორმა კომპანიებისთვის, რომლებიც სამუშაოს ტენდერებით (ITT/RFP, სახელმწიფო შესყიდვები) იღებენ:</w:t>
      </w:r>
      <w:r>
        <w:rPr>
          <w:rFonts w:ascii="Calibri" w:hAnsi="Calibri" w:cs="Calibri"/>
          <w:b w:val="0"/>
          <w:sz w:val="20"/>
        </w:rPr>
        <w:t xml:space="preserve"> აანალიზებს გუნდისა და კომპეტენციების პროფილს, შეარჩევს მაღალი მოგების შანსის მქონე ტენდერებს და სთავაზობს რეკომენდებულ ფასს. ტექნიკური გული — ორფაზიანი retrieval: კომპეტენციის პროფილი ედრება ტენდერების კორპუსს ჰიბრიდული (dense+sparse) ძებნით Qdrant-ში, იხვეწება cross-encoder რერანკერით, ხოლო Gemini აწარმოებს ინსაიტს, ვალიდაციასა და ფასის რეკომენდაციას RAG-ით (ციტირებით).</w:t>
      </w:r>
    </w:p>
    <w:p>
      <w:pPr>
        <w:spacing w:before="100" w:after="40" w:line="235" w:lineRule="auto"/>
      </w:pPr>
      <w:r>
        <w:rPr>
          <w:rFonts w:ascii="Calibri" w:hAnsi="Calibri" w:cs="Calibri"/>
          <w:b/>
          <w:color w:val="1F3864"/>
          <w:sz w:val="25"/>
        </w:rPr>
        <w:t>2.  არქიტექტურა</w:t>
      </w:r>
    </w:p>
    <w:p>
      <w:pPr>
        <w:spacing w:before="0" w:after="60" w:line="235" w:lineRule="auto"/>
        <w:jc w:val="both"/>
      </w:pPr>
      <w:r>
        <w:rPr>
          <w:rFonts w:ascii="Calibri" w:hAnsi="Calibri" w:cs="Calibri"/>
          <w:sz w:val="20"/>
        </w:rPr>
        <w:t>წყაროები  →  ინჯესტი/ნორმალიზაცია  →  ემბედინგი (dense+sparse)  →  Qdrant + PostgreSQL  →  ჰიბრიდული ძებნა + ფილტრები  →  BGE rerank  →  win-prob სქორინგი  →  Gemini (RAG)  →  dashboard.</w:t>
      </w:r>
      <w:r>
        <w:rPr>
          <w:rFonts w:ascii="Calibri" w:hAnsi="Calibri" w:cs="Calibri"/>
          <w:b/>
          <w:sz w:val="20"/>
        </w:rPr>
        <w:t xml:space="preserve">  პრინციპი: </w:t>
      </w:r>
      <w:r>
        <w:rPr>
          <w:rFonts w:ascii="Calibri" w:hAnsi="Calibri" w:cs="Calibri"/>
          <w:sz w:val="20"/>
        </w:rPr>
        <w:t>იაფი ფართო recall → ძვირი ზუსტი precision.</w:t>
      </w:r>
    </w:p>
    <w:p>
      <w:pPr>
        <w:spacing w:before="100" w:after="40" w:line="235" w:lineRule="auto"/>
      </w:pPr>
      <w:r>
        <w:rPr>
          <w:rFonts w:ascii="Calibri" w:hAnsi="Calibri" w:cs="Calibri"/>
          <w:b/>
          <w:color w:val="1F3864"/>
          <w:sz w:val="25"/>
        </w:rPr>
        <w:t>3.  ტექნოლოგიური სტეკი</w:t>
      </w:r>
    </w:p>
    <w:p>
      <w:pPr>
        <w:spacing w:before="0" w:after="80" w:line="235" w:lineRule="auto"/>
        <w:jc w:val="both"/>
      </w:pPr>
      <w:r>
        <w:rPr>
          <w:rFonts w:ascii="Calibri" w:hAnsi="Calibri" w:cs="Calibri"/>
          <w:b w:val="0"/>
          <w:sz w:val="20"/>
        </w:rPr>
        <w:t>სტეკის ცენტრში დგას ჰიბრიდული retrieval: Google-ის dense ემბედინგი იჭერს სემანტიკას, BGE-ს sparse ემბედინგი — ზუსტ ტერმინებსა და CPV კოდებს; ორივე ერთად ინდექსდება Qdrant-ში და ირჩევა fusion-ით, შემდეგ იხვეწება BGE რერანკერით და ისახება Gemini-ს RAG ფენაში.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3864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ფენა</w:t>
            </w:r>
          </w:p>
        </w:tc>
        <w:tc>
          <w:tcPr>
            <w:tcW w:type="dxa" w:w="3312"/>
            <w:shd w:val="clear" w:color="auto" w:fill="1F3864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ტექნოლოგია</w:t>
            </w:r>
          </w:p>
        </w:tc>
        <w:tc>
          <w:tcPr>
            <w:tcW w:type="dxa" w:w="3312"/>
            <w:shd w:val="clear" w:color="auto" w:fill="1F3864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/>
                <w:color w:val="FFFFFF"/>
                <w:sz w:val="17"/>
              </w:rPr>
              <w:t>რატომ ეს არჩევანი</w:t>
            </w:r>
          </w:p>
        </w:tc>
      </w:tr>
      <w:tr>
        <w:tc>
          <w:tcPr>
            <w:tcW w:type="dxa" w:w="3312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/>
                <w:color w:val="1F3864"/>
                <w:sz w:val="17"/>
              </w:rPr>
              <w:t>ინჯესტი</w:t>
            </w:r>
          </w:p>
        </w:tc>
        <w:tc>
          <w:tcPr>
            <w:tcW w:type="dxa" w:w="3312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 w:val="0"/>
                <w:sz w:val="17"/>
              </w:rPr>
              <w:t>PyMuPDF, Tesseract (OCR), python-docx, unstructured</w:t>
            </w:r>
          </w:p>
        </w:tc>
        <w:tc>
          <w:tcPr>
            <w:tcW w:type="dxa" w:w="3312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 w:val="0"/>
                <w:sz w:val="17"/>
              </w:rPr>
              <w:t>მრავალფორმატიანი ფაილების (PDF/DOCX/HTML) ერთიანი პარსინგი</w:t>
            </w:r>
          </w:p>
        </w:tc>
      </w:tr>
      <w:tr>
        <w:tc>
          <w:tcPr>
            <w:tcW w:type="dxa" w:w="3312"/>
            <w:shd w:val="clear" w:color="auto" w:fill="EDF0F7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/>
                <w:color w:val="1F3864"/>
                <w:sz w:val="17"/>
              </w:rPr>
              <w:t>Dense ემბედინგი</w:t>
            </w:r>
          </w:p>
        </w:tc>
        <w:tc>
          <w:tcPr>
            <w:tcW w:type="dxa" w:w="3312"/>
            <w:shd w:val="clear" w:color="auto" w:fill="EDF0F7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 w:val="0"/>
                <w:sz w:val="17"/>
              </w:rPr>
              <w:t>gemini-embedding-001</w:t>
            </w:r>
          </w:p>
        </w:tc>
        <w:tc>
          <w:tcPr>
            <w:tcW w:type="dxa" w:w="3312"/>
            <w:shd w:val="clear" w:color="auto" w:fill="EDF0F7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 w:val="0"/>
                <w:sz w:val="17"/>
              </w:rPr>
              <w:t>მაღალხარისხიანი სემანტიკური მნიშვნელობა, მრავალენოვანი (ქართული)</w:t>
            </w:r>
          </w:p>
        </w:tc>
      </w:tr>
      <w:tr>
        <w:tc>
          <w:tcPr>
            <w:tcW w:type="dxa" w:w="3312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/>
                <w:color w:val="1F3864"/>
                <w:sz w:val="17"/>
              </w:rPr>
              <w:t>Sparse ემბედინგი</w:t>
            </w:r>
          </w:p>
        </w:tc>
        <w:tc>
          <w:tcPr>
            <w:tcW w:type="dxa" w:w="3312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 w:val="0"/>
                <w:sz w:val="17"/>
              </w:rPr>
              <w:t>BGE-M3 (BAAI/bge-m3)</w:t>
            </w:r>
          </w:p>
        </w:tc>
        <w:tc>
          <w:tcPr>
            <w:tcW w:type="dxa" w:w="3312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 w:val="0"/>
                <w:sz w:val="17"/>
              </w:rPr>
              <w:t>ნასწავლი ლექსიკური წონები — იჭერს ზუსტ ტერმინებსა და CPV კოდებს, რომლებსაც dense კარგავს</w:t>
            </w:r>
          </w:p>
        </w:tc>
      </w:tr>
      <w:tr>
        <w:tc>
          <w:tcPr>
            <w:tcW w:type="dxa" w:w="3312"/>
            <w:shd w:val="clear" w:color="auto" w:fill="EDF0F7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/>
                <w:color w:val="1F3864"/>
                <w:sz w:val="17"/>
              </w:rPr>
              <w:t>ვექტორული ბაზა</w:t>
            </w:r>
          </w:p>
        </w:tc>
        <w:tc>
          <w:tcPr>
            <w:tcW w:type="dxa" w:w="3312"/>
            <w:shd w:val="clear" w:color="auto" w:fill="EDF0F7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 w:val="0"/>
                <w:sz w:val="17"/>
              </w:rPr>
              <w:t>Qdrant (hybrid search)</w:t>
            </w:r>
          </w:p>
        </w:tc>
        <w:tc>
          <w:tcPr>
            <w:tcW w:type="dxa" w:w="3312"/>
            <w:shd w:val="clear" w:color="auto" w:fill="EDF0F7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 w:val="0"/>
                <w:sz w:val="17"/>
              </w:rPr>
              <w:t>native dense+sparse named vectors, payload-ფილტრები, RRF/DBSF fusion</w:t>
            </w:r>
          </w:p>
        </w:tc>
      </w:tr>
      <w:tr>
        <w:tc>
          <w:tcPr>
            <w:tcW w:type="dxa" w:w="3312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/>
                <w:color w:val="1F3864"/>
                <w:sz w:val="17"/>
              </w:rPr>
              <w:t>რერანკინგი</w:t>
            </w:r>
          </w:p>
        </w:tc>
        <w:tc>
          <w:tcPr>
            <w:tcW w:type="dxa" w:w="3312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 w:val="0"/>
                <w:sz w:val="17"/>
              </w:rPr>
              <w:t>bge-reranker-v2-m3</w:t>
            </w:r>
          </w:p>
        </w:tc>
        <w:tc>
          <w:tcPr>
            <w:tcW w:type="dxa" w:w="3312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 w:val="0"/>
                <w:sz w:val="17"/>
              </w:rPr>
              <w:t>cross-encoder — ზუსტი top-N მცირე კანდიდატთა ჯგუფზე</w:t>
            </w:r>
          </w:p>
        </w:tc>
      </w:tr>
      <w:tr>
        <w:tc>
          <w:tcPr>
            <w:tcW w:type="dxa" w:w="3312"/>
            <w:shd w:val="clear" w:color="auto" w:fill="EDF0F7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/>
                <w:color w:val="1F3864"/>
                <w:sz w:val="17"/>
              </w:rPr>
              <w:t>მეტა-მონაცემი</w:t>
            </w:r>
          </w:p>
        </w:tc>
        <w:tc>
          <w:tcPr>
            <w:tcW w:type="dxa" w:w="3312"/>
            <w:shd w:val="clear" w:color="auto" w:fill="EDF0F7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 w:val="0"/>
                <w:sz w:val="17"/>
              </w:rPr>
              <w:t>PostgreSQL</w:t>
            </w:r>
          </w:p>
        </w:tc>
        <w:tc>
          <w:tcPr>
            <w:tcW w:type="dxa" w:w="3312"/>
            <w:shd w:val="clear" w:color="auto" w:fill="EDF0F7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 w:val="0"/>
                <w:sz w:val="17"/>
              </w:rPr>
              <w:t>კომპეტენციის პროფილები და ისტორიული award-ფასები (price model)</w:t>
            </w:r>
          </w:p>
        </w:tc>
      </w:tr>
      <w:tr>
        <w:tc>
          <w:tcPr>
            <w:tcW w:type="dxa" w:w="3312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/>
                <w:color w:val="1F3864"/>
                <w:sz w:val="17"/>
              </w:rPr>
              <w:t>გენერაცია</w:t>
            </w:r>
          </w:p>
        </w:tc>
        <w:tc>
          <w:tcPr>
            <w:tcW w:type="dxa" w:w="3312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 w:val="0"/>
                <w:sz w:val="17"/>
              </w:rPr>
              <w:t>Gemini (gemini-2.5-pro/flash)</w:t>
            </w:r>
          </w:p>
        </w:tc>
        <w:tc>
          <w:tcPr>
            <w:tcW w:type="dxa" w:w="3312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 w:val="0"/>
                <w:sz w:val="17"/>
              </w:rPr>
              <w:t>RAG ინსაიტი, eligibility, ფასის რეკომენდაცია (structured)</w:t>
            </w:r>
          </w:p>
        </w:tc>
      </w:tr>
      <w:tr>
        <w:tc>
          <w:tcPr>
            <w:tcW w:type="dxa" w:w="3312"/>
            <w:shd w:val="clear" w:color="auto" w:fill="EDF0F7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/>
                <w:color w:val="1F3864"/>
                <w:sz w:val="17"/>
              </w:rPr>
              <w:t>Frontend</w:t>
            </w:r>
          </w:p>
        </w:tc>
        <w:tc>
          <w:tcPr>
            <w:tcW w:type="dxa" w:w="3312"/>
            <w:shd w:val="clear" w:color="auto" w:fill="EDF0F7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 w:val="0"/>
                <w:sz w:val="17"/>
              </w:rPr>
              <w:t>React / Next.js dashboard</w:t>
            </w:r>
          </w:p>
        </w:tc>
        <w:tc>
          <w:tcPr>
            <w:tcW w:type="dxa" w:w="3312"/>
            <w:shd w:val="clear" w:color="auto" w:fill="EDF0F7"/>
          </w:tcPr>
          <w:p>
            <w:pPr>
              <w:spacing w:before="20" w:after="20" w:line="235" w:lineRule="auto"/>
            </w:pPr>
            <w:r>
              <w:rPr>
                <w:rFonts w:ascii="Calibri" w:hAnsi="Calibri" w:cs="Calibri"/>
                <w:b w:val="0"/>
                <w:sz w:val="17"/>
              </w:rPr>
              <w:t>KPI მონიტორინგი + ქართულენოვანი შეჯამება</w:t>
            </w:r>
          </w:p>
        </w:tc>
      </w:tr>
    </w:tbl>
    <w:p>
      <w:pPr>
        <w:spacing w:before="100" w:after="40" w:line="235" w:lineRule="auto"/>
      </w:pPr>
      <w:r>
        <w:rPr>
          <w:rFonts w:ascii="Calibri" w:hAnsi="Calibri" w:cs="Calibri"/>
          <w:b/>
          <w:color w:val="1F3864"/>
          <w:sz w:val="25"/>
        </w:rPr>
        <w:t>4.  დანართი: საფეხურების დეტალები</w:t>
      </w:r>
    </w:p>
    <w:p>
      <w:pPr>
        <w:spacing w:before="0" w:after="60" w:line="235" w:lineRule="auto"/>
      </w:pPr>
      <w:r>
        <w:rPr>
          <w:rFonts w:ascii="Calibri" w:hAnsi="Calibri" w:cs="Calibri"/>
          <w:color w:val="6D6D6D"/>
          <w:sz w:val="17"/>
        </w:rPr>
        <w:t>ქვემოთ მოცემული დეტალები არ წარმოადგენს დოკუმენტის ფოკუსს — იკითხება დამატებითი დროის არსებობისას.</w:t>
      </w:r>
    </w:p>
    <w:p>
      <w:pPr>
        <w:pStyle w:val="ListParagraph"/>
        <w:spacing w:before="0" w:after="40" w:line="235" w:lineRule="auto"/>
      </w:pPr>
      <w:r>
        <w:rPr>
          <w:rFonts w:ascii="Calibri" w:hAnsi="Calibri" w:cs="Calibri"/>
          <w:b/>
          <w:sz w:val="17"/>
        </w:rPr>
        <w:t xml:space="preserve">ინჯესტი: </w:t>
      </w:r>
      <w:r>
        <w:rPr>
          <w:rFonts w:ascii="Calibri" w:hAnsi="Calibri" w:cs="Calibri"/>
          <w:sz w:val="17"/>
        </w:rPr>
        <w:t>Gemini-ს structured-extraction → კანონიკური Tender სქემა (CPV, შემსყიდველი, ვადა, ღირებულება, მოთხოვნები); მოთხოვნის დონის chunking; ყოველდღიური scheduler ახალი ტენდერებისთვის.</w:t>
      </w:r>
    </w:p>
    <w:p>
      <w:pPr>
        <w:pStyle w:val="ListParagraph"/>
        <w:spacing w:before="0" w:after="40" w:line="235" w:lineRule="auto"/>
      </w:pPr>
      <w:r>
        <w:rPr>
          <w:rFonts w:ascii="Calibri" w:hAnsi="Calibri" w:cs="Calibri"/>
          <w:b/>
          <w:sz w:val="17"/>
        </w:rPr>
        <w:t xml:space="preserve">შენახვა: </w:t>
      </w:r>
      <w:r>
        <w:rPr>
          <w:rFonts w:ascii="Calibri" w:hAnsi="Calibri" w:cs="Calibri"/>
          <w:sz w:val="17"/>
        </w:rPr>
        <w:t>Qdrant point = ტენდერის ჩანკი named vectors-ით (dense+sparse) + payload (CPV/ვადა/რეგიონი/ღირებულება, ინდექსირებული ფილტრებისთვის); raw ფაილები — object storage (MinIO/S3).</w:t>
      </w:r>
    </w:p>
    <w:p>
      <w:pPr>
        <w:pStyle w:val="ListParagraph"/>
        <w:spacing w:before="0" w:after="40" w:line="235" w:lineRule="auto"/>
      </w:pPr>
      <w:r>
        <w:rPr>
          <w:rFonts w:ascii="Calibri" w:hAnsi="Calibri" w:cs="Calibri"/>
          <w:b/>
          <w:sz w:val="17"/>
        </w:rPr>
        <w:t xml:space="preserve">ჰიბრიდული ძებნა: </w:t>
      </w:r>
      <w:r>
        <w:rPr>
          <w:rFonts w:ascii="Calibri" w:hAnsi="Calibri" w:cs="Calibri"/>
          <w:sz w:val="17"/>
        </w:rPr>
        <w:t>Qdrant Query API — dense+sparse prefetch + fusion (RRF/DBSF); payload pre-filter eligibility-ზე (ვადა, ღირებულება, რეგიონი, სერტიფიკატები) → top-K კანდიდატი.</w:t>
      </w:r>
    </w:p>
    <w:p>
      <w:pPr>
        <w:pStyle w:val="ListParagraph"/>
        <w:spacing w:before="0" w:after="40" w:line="235" w:lineRule="auto"/>
      </w:pPr>
      <w:r>
        <w:rPr>
          <w:rFonts w:ascii="Calibri" w:hAnsi="Calibri" w:cs="Calibri"/>
          <w:b/>
          <w:sz w:val="17"/>
        </w:rPr>
        <w:t xml:space="preserve">რერანკინგი + შერჩევა: </w:t>
      </w:r>
      <w:r>
        <w:rPr>
          <w:rFonts w:ascii="Calibri" w:hAnsi="Calibri" w:cs="Calibri"/>
          <w:sz w:val="17"/>
        </w:rPr>
        <w:t>ორფაზიანი retrieval — იაფი ფართო recall → ძვირი ზუსტი rerank; ზევით win-prob სქორინგი (ისტ. მოგება, კონკურენცია, მარჟა) ახსნადობით.</w:t>
      </w:r>
    </w:p>
    <w:p>
      <w:pPr>
        <w:pStyle w:val="ListParagraph"/>
        <w:spacing w:before="0" w:after="40" w:line="235" w:lineRule="auto"/>
      </w:pPr>
      <w:r>
        <w:rPr>
          <w:rFonts w:ascii="Calibri" w:hAnsi="Calibri" w:cs="Calibri"/>
          <w:b/>
          <w:sz w:val="17"/>
        </w:rPr>
        <w:t xml:space="preserve">ფასი: </w:t>
      </w:r>
      <w:r>
        <w:rPr>
          <w:rFonts w:ascii="Calibri" w:hAnsi="Calibri" w:cs="Calibri"/>
          <w:sz w:val="17"/>
        </w:rPr>
        <w:t>PostgreSQL-ის შესადარებელი award-ფასები → win_prob×margin მაქსიმიზაცია; გამოთვლა მოდელით, დასაბუთება Gemini-ით.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