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Вводные данные: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Имеется система CRM для телекоммуникационной компании с количеством операторов в 100 человек.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CRM состоит из: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Клиентов (физические и юридические лица)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Заказов (заказы на услуги, предоставляемые компанией клиенту)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Обращений (обращения в техническую поддержку)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Менеджера задач (Kanban-доска для отработки обращений, содержит доски, задачи, витрину с динамическими фильтрами)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WorkFlow: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авторизуется в CRM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Профиль пользователя;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Уведомления пользователя.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Пользователю доступны клиенты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просматривать список клиентов;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поиска по имени клиента;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редактировать клиента;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создавать клиента.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Пользователю доступны заказы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просматривать список заказов по клиенту;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просматривать список заказов;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поиска заказа;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создавать заказ на клиента.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Пользователю доступны обращения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просматривать обращения;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создавать обращение на клиента;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закрывать обращение.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Пользователю доступен менеджер задач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Пользователю создается доска;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создании обращения на доске создается задача;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задачи имеется бизнес-процесс;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завершению задачи, она закрывается, автоматически закрывается обращение, нотифицируется (менеджеру, клиенту).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Имеется интеграция во внешние системы(входящая/исходящая)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Менеджер задач содержит витрину, на которой отображается информация по задачам. Применяются динамические фильтры.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Время отклика не более 1 секунды.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Студентам необходимо: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Выработать единую архитектуру (монолит, SOA, MSA), с описанием, почему выбран именно такой подход;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оптимальное интеграционное решение;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быть отказоустойчивой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(выбрать способ) и высоконагруженной (500 rps);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Реализовать блок-схему\диаграмму архитектурного решения, возможно по этапам Day 0-Daу 2;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Разработать доменную модель (любая нотация);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Документы должны содержать следующие диаграммы: Use Case, ERD, DFD, Sequence Diagram (общая и несколько детальных), Class Diagram, Component Diagram, Deploy Diagram, Интеграционную диаграмму, Архитектуру БД;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Подготовить документацию API (Swagger);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Языки и Стек технологий c альтернативным решением (основная технология + альтернативная технология) с таблицей сравнительной оценки предпочтительной (из лекции 5, модуля 4, в приложении), дать оценку для 1,2-х главных технологий.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Оценить техническую инфраструктуру, вычислители, ОЗУ, долговременное хранилище, сеть, на период 5 лет эксплуатации.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Результат представить в виде 2-х документов: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Текстовый документ формата A4 c диаграммами, таблицами и комментариями.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Презентация по ключевым диаграммам и идеям.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Опционально: оценить общую трудоёмкость решения (должности в разработке и человеко/месяцы трудозатрат)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08"/>
        <w:rPr/>
      </w:pPr>
      <w:r w:rsidDel="00000000" w:rsidR="00000000" w:rsidRPr="00000000">
        <w:rPr>
          <w:highlight w:val="white"/>
          <w:rtl w:val="0"/>
        </w:rPr>
        <w:t xml:space="preserve">Компоненты Клиент и Заказы являются legacy с более старым</w:t>
      </w:r>
      <w:r w:rsidDel="00000000" w:rsidR="00000000" w:rsidRPr="00000000">
        <w:rPr>
          <w:rtl w:val="0"/>
        </w:rPr>
        <w:t xml:space="preserve"> стеком. Попробовать внедрить legacy в новую архитектуру.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Пример таблицы сравнительного анализа решений: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4"/>
        <w:gridCol w:w="441"/>
        <w:gridCol w:w="3572"/>
        <w:gridCol w:w="1233"/>
        <w:gridCol w:w="1228"/>
        <w:gridCol w:w="1323"/>
        <w:tblGridChange w:id="0">
          <w:tblGrid>
            <w:gridCol w:w="1554"/>
            <w:gridCol w:w="441"/>
            <w:gridCol w:w="3572"/>
            <w:gridCol w:w="1233"/>
            <w:gridCol w:w="1228"/>
            <w:gridCol w:w="1323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Группа критериев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C">
            <w:pPr>
              <w:ind w:right="984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Критерий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Оценка от 1 до 10 (10 лучше)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Платформа 1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Платформа 2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Платформа 3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6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Оценка поставщика и его опыт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Количество внедрений продукта у поставщика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Количество внедрений в отрасли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Оценка ресурсов внутри поставщика для оказания сервисной поддержки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Риски по ограничению поддержки со стороны поставщика по политическим причинам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Репутация поставщика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right"/>
              <w:rPr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A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Функциональность</w:t>
            </w:r>
          </w:p>
          <w:p w:rsidR="00000000" w:rsidDel="00000000" w:rsidP="00000000" w:rsidRDefault="00000000" w:rsidRPr="00000000" w14:paraId="0000008B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Оценка эксплуатация в других компаниях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Соответствие функциональным требованиям в целом (сумма)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Итого: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Функциональное требование 1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Функциональное требование 2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8.3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Функциональное требование 3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8.N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Функциональное требование N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Соответствие нефункциональным требованиям в целом(сумма)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Нефункциональное требование 1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9.2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Нефункциональное требование 2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9.3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Нефункциональное требование 3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9.N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Нефункциональное требование N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Соответствие требованиям по интеграции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Соответствие требованиям по производительности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Возможности масштабирования решения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Соответствие требованиям к оборудованию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Расширяемость функциональных возможностей системы (кастомизация платформы)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Соответствие целевой архитектуре 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Соответствие требованиям законодательства РФ в части хранения персональных данных и конфиденциальной информации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Наличие российской локализации для конечного пользователя (в части бизнес-приложений)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Финансовые параметры</w:t>
            </w:r>
          </w:p>
          <w:p w:rsidR="00000000" w:rsidDel="00000000" w:rsidP="00000000" w:rsidRDefault="00000000" w:rsidRPr="00000000" w14:paraId="0000010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Стоимость услуг по внедрению, в руб.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Стоимость лицензий, в руб.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Стоимость требуемой инфраструктуры, в руб.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Стоимость поддержки лицензий, в руб.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righ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4227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Zx1AlTeiWk+9CYWesbEVdGuTxw==">AMUW2mWByK2gHNIfvylLSRHh839XpIg9aqSy5m/E2VTkZG4pgUXxzdMBrcAOCRzODU9ywUjYU5FAFBp4lZETpLZ+nAo87Fdcn4GDNp10JIDwmel6VEi1goI=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2022-04-12T11:40:00Z</dcterms:created>
  <dc:creator>Microsoft Office User</dc:creator>
</cp:coreProperties>
</file>