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طلب شراء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PR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الجهة الطالبة: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تاريخ الاحتياج: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الأهمية (عاجل/عادي):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الصنف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الوحدة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الكمية المطلوبة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رصيد المخزن</w:t>
            </w:r>
          </w:p>
        </w:tc>
        <w:tc>
          <w:tcPr>
            <w:tcW w:type="dxa" w:w="1758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ملاحظات</w:t>
            </w:r>
          </w:p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  <w:tr>
        <w:trPr>
          <w:trHeight w:val="454"/>
        </w:trPr>
        <w:tc>
          <w:tcPr>
            <w:tcW w:type="dxa" w:w="1758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  <w:tc>
          <w:tcPr>
            <w:tcW w:type="dxa" w:w="1758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مقدم الطلب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الفرع/المطبخ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معتمد الشراء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المشتريات، صورة (أصفر) ← الجهة الطالبة</w:t>
        <w:br/>
        <w:t>التسليم للمحاسب: الأصلية: ترفق مع أمر الشراء ثم تسلم للمحاسب مع الفاتورة، صورة: تحفظ لمتابعة الاستلام.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