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إذن صرف مخزني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4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ISS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جهة الصرف إليها: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الغرض: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رقم الطلب المرجعي: 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758"/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الصنف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الوحدة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الكمية المطلوبة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الكمية المصروفة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ملاحظات</w:t>
            </w:r>
          </w:p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2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3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4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5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6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7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8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9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10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</w:tbl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rPr>
          <w:trHeight w:val="1247"/>
        </w:trPr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أمين المخزن (المنصرف)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المستلم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معتمد الصرف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2 — الأصلية (أبيض) ← المحاسب، صورة (أصفر) ← المخزن</w:t>
        <w:br/>
        <w:t>التسليم للمحاسب: الأصلية: تسلم أسبوعيًا على الأقل، صورة: تحفظ بدفتر الصرف. لا يُعدَّل بعد الترحيل؛ التصحيح بمستند عكسي.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