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159"/>
        <w:gridCol w:w="5159"/>
        <w:gridCol w:w="5159"/>
      </w:tblGrid>
      <w:tr>
        <w:tc>
          <w:tcPr>
            <w:tcW w:type="dxa" w:w="5159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قيد يومية محاسبي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24 | الإصدار 1.0</w:t>
            </w:r>
          </w:p>
        </w:tc>
        <w:tc>
          <w:tcPr>
            <w:tcW w:type="dxa" w:w="515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MJE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7739"/>
        <w:gridCol w:w="7739"/>
      </w:tblGrid>
      <w:tr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القيد: ____________________</w:t>
            </w:r>
          </w:p>
        </w:tc>
      </w:tr>
      <w:tr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تاريخ القيد: ____________________</w:t>
            </w:r>
          </w:p>
        </w:tc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نوع القيد: ____________________</w:t>
            </w:r>
          </w:p>
        </w:tc>
      </w:tr>
      <w:tr>
        <w:tc>
          <w:tcPr>
            <w:tcW w:type="dxa" w:w="7739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المستند الأصلي: ____________________</w:t>
            </w:r>
          </w:p>
        </w:tc>
        <w:tc>
          <w:tcPr>
            <w:tcW w:type="dxa" w:w="7739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رقم الحساب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اسم الحساب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الفرع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م.ت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البيان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مدين</w:t>
            </w:r>
          </w:p>
        </w:tc>
        <w:tc>
          <w:tcPr>
            <w:tcW w:type="dxa" w:w="1935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دائن</w:t>
            </w:r>
          </w:p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  <w:tr>
        <w:trPr>
          <w:trHeight w:val="454"/>
        </w:trPr>
        <w:tc>
          <w:tcPr>
            <w:tcW w:type="dxa" w:w="1935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  <w:tc>
          <w:tcPr>
            <w:tcW w:type="dxa" w:w="1935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الإجمالي: مدين ........  دائن ........  (يجب التساوي)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159"/>
        <w:gridCol w:w="5159"/>
        <w:gridCol w:w="5159"/>
      </w:tblGrid>
      <w:tr>
        <w:trPr>
          <w:trHeight w:val="1247"/>
        </w:trPr>
        <w:tc>
          <w:tcPr>
            <w:tcW w:type="dxa" w:w="515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المُعِد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515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المعتمد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5159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المرحِّل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1 — الأصلية (أبيض) ← المحاسب</w:t>
        <w:br/>
        <w:t>التسليم للمحاسب: الأصلية: تحفظ بالدوسيه الشهري. لا يُعدَّل بعد الترحيل؛ التصحيح بمستند عكسي.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