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تسوية محاسبية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25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MJE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نوع التسوية: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الفترة: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المستند المرجعي: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الحساب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مدين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دائن</w:t>
            </w:r>
          </w:p>
        </w:tc>
        <w:tc>
          <w:tcPr>
            <w:tcW w:type="dxa" w:w="2109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الأساس/الحساب</w:t>
            </w:r>
          </w:p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  <w:tr>
        <w:trPr>
          <w:trHeight w:val="454"/>
        </w:trPr>
        <w:tc>
          <w:tcPr>
            <w:tcW w:type="dxa" w:w="2109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  <w:tc>
          <w:tcPr>
            <w:tcW w:type="dxa" w:w="2109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سبب التسوية والحساب: .............................................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المُعِد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المراجع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المراجع</w:t>
        <w:br/>
        <w:t>التسليم للمحاسب: الأصلية: في نفس يوم إعداد القيد.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