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نموذج تسوية عجز أو زيادة خزينة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30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ADJ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الخزينة: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العدّ: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الرصيد الدفتري: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المبلغ المعدود: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الفرق (عجز/زيادة):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سبب الفرق: ____________________</w:t>
            </w:r>
          </w:p>
        </w:tc>
        <w:tc>
          <w:tcPr>
            <w:tcW w:type="dxa" w:w="5273"/>
          </w:tcPr>
          <w:p/>
        </w:tc>
      </w:tr>
    </w:tbl>
    <w:p/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المسؤول عن العجز (إن وُجد) وإجراء المعالجة: ....................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36"/>
        <w:gridCol w:w="2636"/>
        <w:gridCol w:w="2636"/>
        <w:gridCol w:w="2636"/>
      </w:tblGrid>
      <w:tr>
        <w:trPr>
          <w:trHeight w:val="1247"/>
        </w:trPr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الصندوق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الفرع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المدير المالي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الفرع</w:t>
        <w:br/>
        <w:t>التسليم للمحاسب: الأصلية: في نفس اليوم.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