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the mathematics of Andrice Levels</w:t>
      </w:r>
    </w:p>
    <w:p>
      <w:r>
        <w:t>A step by step companion to README_ANDRICE_LEVELS_DETAILED.md</w:t>
      </w:r>
    </w:p>
    <w:p>
      <w:r>
        <w:t>For Christian Andrice • 13 September 2026</w:t>
      </w:r>
    </w:p>
    <w:p>
      <w:r>
        <w:t>This guide teaches you how to read the complete Andrice Levels README with a French secondary school mathematics and physics background and beginner experience in order flow. The central idea is accessible: measure each session’s largest move above and below its open, study those distances, and convert selected historical statistics into price references for a new session.</w:t>
      </w:r>
    </w:p>
    <w:p>
      <w:r>
        <w:t>The most important distinction is between the spread of individual daily outcomes and uncertainty about a statistic calculated from them. You can know the average excursion quite precisely while remaining very uncertain about tomorrow’s excursion. Understanding that distinction will prevent the most consequential misreading of this project.</w:t>
      </w:r>
    </w:p>
    <w:p>
      <w:r>
        <w:t>Use this guide beside the README. Chapters 1–22 follow its order. Each passage identifies the corresponding source section and line range in the downloaded 13 September revision. Equations, table entries, code arguments, and technical claims are explained together with the lines that give them meaning; blank lines and Markdown punctuation do not require separate lessons. Line numbers can change after a GitHub edit. The original section titles remain your primary navigation aid.</w:t>
      </w:r>
    </w:p>
    <w:p>
      <w:r>
        <w:t>Worked examples are invented teaching examples unless identified as the README’s seven-session exercise or its archived reported results. None are live market levels. This companion explains the downloaded README; it does not independently certify the source code or rerun the archived backtest.</w:t>
      </w:r>
    </w:p>
    <w:p>
      <w:pPr>
        <w:pStyle w:val="Heading1"/>
        <w:pageBreakBefore/>
      </w:pPr>
      <w:r>
        <w:t>Before chapter 1 The reading method</w:t>
      </w:r>
    </w:p>
    <w:p>
      <w:r>
        <w:t>For every expression, ask four questions: What object is being measured? What are its units? What information was available when it was calculated? What claim does the result actually support? In physics you would not confuse distance, velocity, and uncertainty of a measured mean. Here you must distinguish price, excursion distance, probability, and uncertainty of an estimated probability.</w:t>
      </w:r>
    </w:p>
    <w:p>
      <w:r>
        <w:t>Read a formula in words before calculating. For example, (H − O) ÷ A means “distance from the open to the high, divided by the volatility scale known before the session.” The letters compress an ordinary sentence; they do not make the idea more sophisticated.</w:t>
      </w:r>
    </w:p>
    <w:p>
      <w:pPr>
        <w:pStyle w:val="Heading2"/>
      </w:pPr>
      <w:r>
        <w:t>Your notation dictionary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3106"/>
        <w:gridCol w:w="4076"/>
      </w:tblGrid>
      <w:tr>
        <w:trPr>
          <w:tblHeader/>
          <w:cantSplit/>
        </w:trPr>
        <w:tc>
          <w:tcPr>
            <w:tcW w:type="dxa" w:w="2523"/>
            <w:vAlign w:val="center"/>
            <w:tcMar>
              <w:top w:w="85" w:type="dxa"/>
              <w:left w:w="85" w:type="dxa"/>
              <w:bottom w:w="85" w:type="dxa"/>
              <w:right w:w="85" w:type="dxa"/>
            </w:tcMar>
            <w:shd w:fill="E5EAF0"/>
          </w:tcPr>
          <w:p>
            <w:pPr>
              <w:spacing w:after="40" w:before="40" w:line="245" w:lineRule="auto"/>
            </w:pPr>
            <w:r>
              <w:rPr>
                <w:b/>
                <w:sz w:val="20"/>
              </w:rPr>
              <w:t>Symbol or expression</w:t>
            </w:r>
          </w:p>
        </w:tc>
        <w:tc>
          <w:tcPr>
            <w:tcW w:type="dxa" w:w="3106"/>
            <w:vAlign w:val="center"/>
            <w:tcMar>
              <w:top w:w="85" w:type="dxa"/>
              <w:left w:w="85" w:type="dxa"/>
              <w:bottom w:w="85" w:type="dxa"/>
              <w:right w:w="85" w:type="dxa"/>
            </w:tcMar>
            <w:shd w:fill="E5EAF0"/>
          </w:tcPr>
          <w:p>
            <w:pPr>
              <w:spacing w:after="40" w:before="40" w:line="245" w:lineRule="auto"/>
            </w:pPr>
            <w:r>
              <w:rPr>
                <w:b/>
                <w:sz w:val="20"/>
              </w:rPr>
              <w:t>Read it as</w:t>
            </w:r>
          </w:p>
        </w:tc>
        <w:tc>
          <w:tcPr>
            <w:tcW w:type="dxa" w:w="4076"/>
            <w:vAlign w:val="center"/>
            <w:tcMar>
              <w:top w:w="85" w:type="dxa"/>
              <w:left w:w="85" w:type="dxa"/>
              <w:bottom w:w="85" w:type="dxa"/>
              <w:right w:w="85" w:type="dxa"/>
            </w:tcMar>
            <w:shd w:fill="E5EAF0"/>
          </w:tcPr>
          <w:p>
            <w:pPr>
              <w:spacing w:after="40" w:before="40" w:line="245" w:lineRule="auto"/>
            </w:pPr>
            <w:r>
              <w:rPr>
                <w:b/>
                <w:sz w:val="20"/>
              </w:rPr>
              <w:t>Meaning here</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O, H, L, C</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Open, high, low, close</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Four prices for the selected session</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D, i, t</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Session index</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A label identifying an observation or forecast date</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n or N</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Number of observations</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Check whether these are sessions, valid times, or forecasts</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xᵢ</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x for observation i</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One measured excursion or time offset</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x̄</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x bar</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The sample average</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Σ</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Sum</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Add the indicated terms</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√a</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Square root of a</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The nonnegative number whose square is a</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a²</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a squared</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a multiplied by itself</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abs(a)</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Absolute value</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Distance of a from zero, ignoring its sign</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max(a,b) and min(a,b)</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Largest and smallest</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Select one of the listed values</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[a,b]</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Closed interval</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All values from a through b, including endpoints</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 and ≥</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At most and at least</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Equality is included</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q and Qq</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Quantile fraction and threshold</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q = 0.90 selects the 90th percentile value</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θ̂</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Theta hat</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A statistic estimated from the sample</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Star</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Context decides: a forecast input or a bootstrap replicate</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floor(a)</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Round downward to an integer</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floor(2.8) = 2</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Plus or minus</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Two endpoints, one subtracting and one adding</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 or AND</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Both events</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Both requirements must hold</w:t>
            </w:r>
          </w:p>
        </w:tc>
      </w:tr>
    </w:tbl>
    <w:p>
      <w:pPr>
        <w:spacing w:after="20"/>
      </w:pPr>
    </w:p>
    <w:p>
      <w:r>
        <w:t>The superscript “ATR” is a label for a normalization, not an exponent. Similarly, “previous” and “end” label when an ATR is known. An underscore in a CSV name separates words; it is not subtraction. “Percentage points” describes a difference between percentage values: 0.60% minus 0.50% is 0.10 percentage points.</w:t>
      </w:r>
    </w:p>
    <w:p>
      <w:pPr>
        <w:pStyle w:val="Heading2"/>
      </w:pPr>
      <w:r>
        <w:t>What deserves your attention first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3106"/>
        <w:gridCol w:w="4076"/>
      </w:tblGrid>
      <w:tr>
        <w:trPr>
          <w:tblHeader/>
          <w:cantSplit/>
        </w:trPr>
        <w:tc>
          <w:tcPr>
            <w:tcW w:type="dxa" w:w="2523"/>
            <w:vAlign w:val="center"/>
            <w:tcMar>
              <w:top w:w="85" w:type="dxa"/>
              <w:left w:w="85" w:type="dxa"/>
              <w:bottom w:w="85" w:type="dxa"/>
              <w:right w:w="85" w:type="dxa"/>
            </w:tcMar>
            <w:shd w:fill="E5EAF0"/>
          </w:tcPr>
          <w:p>
            <w:pPr>
              <w:spacing w:after="40" w:before="40" w:line="245" w:lineRule="auto"/>
            </w:pPr>
            <w:r>
              <w:rPr>
                <w:b/>
                <w:sz w:val="20"/>
              </w:rPr>
              <w:t>Priority</w:t>
            </w:r>
          </w:p>
        </w:tc>
        <w:tc>
          <w:tcPr>
            <w:tcW w:type="dxa" w:w="3106"/>
            <w:vAlign w:val="center"/>
            <w:tcMar>
              <w:top w:w="85" w:type="dxa"/>
              <w:left w:w="85" w:type="dxa"/>
              <w:bottom w:w="85" w:type="dxa"/>
              <w:right w:w="85" w:type="dxa"/>
            </w:tcMar>
            <w:shd w:fill="E5EAF0"/>
          </w:tcPr>
          <w:p>
            <w:pPr>
              <w:spacing w:after="40" w:before="40" w:line="245" w:lineRule="auto"/>
            </w:pPr>
            <w:r>
              <w:rPr>
                <w:b/>
                <w:sz w:val="20"/>
              </w:rPr>
              <w:t>Learn</w:t>
            </w:r>
          </w:p>
        </w:tc>
        <w:tc>
          <w:tcPr>
            <w:tcW w:type="dxa" w:w="4076"/>
            <w:vAlign w:val="center"/>
            <w:tcMar>
              <w:top w:w="85" w:type="dxa"/>
              <w:left w:w="85" w:type="dxa"/>
              <w:bottom w:w="85" w:type="dxa"/>
              <w:right w:w="85" w:type="dxa"/>
            </w:tcMar>
            <w:shd w:fill="E5EAF0"/>
          </w:tcPr>
          <w:p>
            <w:pPr>
              <w:spacing w:after="40" w:before="40" w:line="245" w:lineRule="auto"/>
            </w:pPr>
            <w:r>
              <w:rPr>
                <w:b/>
                <w:sz w:val="20"/>
              </w:rPr>
              <w:t>Why</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Essential for interpretation</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PUV/PDV, prior ATR, quantiles, projection, zones versus envelopes</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These determine where levels are and what they represent</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Essential to avoid mistakes</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SD versus SE, sample versus future probability, final extreme versus live high</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These prevent false precision and false entry signals</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Useful context</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Timing distributions, cohorts, data audits, walk-forward coverage</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These help judge relevance and reliability</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Research depth</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Bootstrap machinery, Wilson interval algebra, pinball loss</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Understand their purpose first; software can perform the arithmetic</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Operational reference</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CLI flags, JSON structure, hashes, historical updates</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Consult when running, debugging, or reproducing a calculation</w:t>
            </w:r>
          </w:p>
        </w:tc>
      </w:tr>
    </w:tbl>
    <w:p>
      <w:pPr>
        <w:spacing w:after="20"/>
      </w:pPr>
    </w:p>
    <w:p>
      <w:r>
        <w:t>You do not need stochastic calculus, differential equations, Black–Scholes, or options Greeks to understand the formulas in this README. The heaviest material is introductory statistics with a time-series complication: adjacent trading sessions may be related.</w:t>
      </w:r>
    </w:p>
    <w:p>
      <w:pPr>
        <w:pStyle w:val="Heading1"/>
      </w:pPr>
      <w:r>
        <w:t>1 The original idea and project scope</w:t>
      </w:r>
    </w:p>
    <w:p>
      <w:r>
        <w:rPr>
          <w:i/>
          <w:sz w:val="18"/>
        </w:rPr>
        <w:t>Source: README opening lines 1–16 and section 1, lines 42–91.</w:t>
      </w:r>
    </w:p>
    <w:p>
      <w:r>
        <w:t>The opening date and commit identify a particular documentation and implementation snapshot. They are a version label, not a date through which market performance has been independently validated. The README points to an earlier repository name using a hyphen, while your supplied URL uses an underscore. Follow the definitions in this downloaded document; do not silently assume all linked repositories have identical current contents.</w:t>
      </w:r>
    </w:p>
    <w:p>
      <w:pPr>
        <w:pStyle w:val="Heading2"/>
      </w:pPr>
      <w:r>
        <w:t>Reading the session formula</w:t>
      </w:r>
    </w:p>
    <w:p>
      <w:pPr>
        <w:keepNext/>
        <w:spacing w:before="80"/>
        <w:ind w:left="216"/>
      </w:pPr>
      <w:r>
        <w:rPr>
          <w:rFonts w:ascii="Calibri" w:hAnsi="Calibri"/>
          <w:sz w:val="24"/>
        </w:rPr>
        <w:t>S(D) = (O_RTH(D), H_RTH(D), L_RTH(D))</w:t>
      </w:r>
    </w:p>
    <w:p>
      <w:r>
        <w:t>S means “session record.” The parentheses contain an ordered triple: open first, high second, low third. D selects which session. This is like recording the position, maximum height, and minimum height of an object in one experiment. It is a compact data description, not a function that predicts a market price.</w:t>
      </w:r>
    </w:p>
    <w:p>
      <w:r>
        <w:t>DATA_RNG = [1,n] means the records are numbered from the first accepted session to the nth. If D = 10, read “the tenth session in the dataset,” not “the tenth day of the month.” Weekends, holidays, and exclusions explain why row numbers and calendar days differ.</w:t>
      </w:r>
    </w:p>
    <w:p>
      <w:pPr>
        <w:keepNext/>
        <w:spacing w:before="80"/>
        <w:ind w:left="216"/>
      </w:pPr>
      <w:r>
        <w:rPr>
          <w:rFonts w:ascii="Calibri" w:hAnsi="Calibri"/>
          <w:sz w:val="24"/>
        </w:rPr>
        <w:t>PUV(D) = H_RTH(D) − O_RTH(D)</w:t>
      </w:r>
    </w:p>
    <w:p>
      <w:pPr>
        <w:keepNext/>
        <w:spacing w:before="80"/>
        <w:ind w:left="216"/>
      </w:pPr>
      <w:r>
        <w:rPr>
          <w:rFonts w:ascii="Calibri" w:hAnsi="Calibri"/>
          <w:sz w:val="24"/>
        </w:rPr>
        <w:t>PDV(D) = O_RTH(D) − L_RTH(D)</w:t>
      </w:r>
    </w:p>
    <w:p>
      <w:r>
        <w:t>PUV is the largest upward excursion from the open. PDV is the size of the largest downward excursion. For O = 6000, H = 6040, L = 5970, PUV = 40 and PDV = 30 points. PDV is positive because 6000 − 5970 = 30. A signed low-to-open return would be negative, but that is a different variable.</w:t>
      </w:r>
    </w:p>
    <w:p>
      <w:r>
        <w:t>The session may rise 40 points, fall 70 from its high, and close near its open. These two excursion numbers do not reveal that path. They also do not imply that a trader could have captured both distances. For every valid session, PUV + PDV = H − L; here 40 + 30 = 70 points.</w:t>
      </w:r>
    </w:p>
    <w:p>
      <w:pPr>
        <w:pStyle w:val="Heading2"/>
      </w:pPr>
      <w:r>
        <w:t>Reading the scope statements</w:t>
      </w:r>
    </w:p>
    <w:p>
      <w:r>
        <w:t>The reference to Extreme Map explains inspiration. Andrice Levels does not calculate where volume traded at each price. A daily volume total is different from a volume profile. Giving each accepted day one observation also differs from weighting high-volume sessions more heavily.</w:t>
      </w:r>
    </w:p>
    <w:p>
      <w:r>
        <w:t>“Separate upside and downside distributions” means two lists are summarized separately. It does not establish statistical independence between them. A day’s upward and downward excursions come from the same price path and can be related. When the README calls their means independent, interpret that as separately calculated, not as proof that the random variables are independent.</w:t>
      </w:r>
    </w:p>
    <w:p>
      <w:r>
        <w:t>The listed questions concern historical sizes, historical timing, estimator precision, and comparisons between history windows. They do not specify an entry rule. In particular, final HOD means the highest price of the completed RTH session. At 10:30 you know the high so far, but do not know whether a higher high will appear at 14:00.</w:t>
      </w:r>
    </w:p>
    <w:p>
      <w:r>
        <w:t>Day-trading relevance: the project can supply an open-relative historical location reference. It needs a separately defined and tested execution method before it becomes a strategy.</w:t>
      </w:r>
    </w:p>
    <w:p>
      <w:pPr>
        <w:pStyle w:val="Heading1"/>
      </w:pPr>
      <w:r>
        <w:t>2 Workflow and implementation status</w:t>
      </w:r>
    </w:p>
    <w:p>
      <w:r>
        <w:rPr>
          <w:i/>
          <w:sz w:val="18"/>
        </w:rPr>
        <w:t>Source: section 2, lines 92–103.</w:t>
      </w:r>
    </w:p>
    <w:p>
      <w:r>
        <w:t>Command 1 compresses many intraday bars into one trustworthy row per complete RTH session. Command 2 summarizes those rows and, when given today’s open, projects distances into prices. Think of Command 1 as constructing the experimental observations and Command 2 as calculating statistics from them.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3106"/>
        <w:gridCol w:w="4076"/>
      </w:tblGrid>
      <w:tr>
        <w:trPr>
          <w:tblHeader/>
          <w:cantSplit/>
        </w:trPr>
        <w:tc>
          <w:tcPr>
            <w:tcW w:type="dxa" w:w="2523"/>
            <w:vAlign w:val="center"/>
            <w:tcMar>
              <w:top w:w="85" w:type="dxa"/>
              <w:left w:w="85" w:type="dxa"/>
              <w:bottom w:w="85" w:type="dxa"/>
              <w:right w:w="85" w:type="dxa"/>
            </w:tcMar>
            <w:shd w:fill="E5EAF0"/>
          </w:tcPr>
          <w:p>
            <w:pPr>
              <w:spacing w:after="40" w:before="40" w:line="245" w:lineRule="auto"/>
            </w:pPr>
            <w:r>
              <w:rPr>
                <w:b/>
                <w:sz w:val="20"/>
              </w:rPr>
              <w:t>Stage in the README</w:t>
            </w:r>
          </w:p>
        </w:tc>
        <w:tc>
          <w:tcPr>
            <w:tcW w:type="dxa" w:w="3106"/>
            <w:vAlign w:val="center"/>
            <w:tcMar>
              <w:top w:w="85" w:type="dxa"/>
              <w:left w:w="85" w:type="dxa"/>
              <w:bottom w:w="85" w:type="dxa"/>
              <w:right w:w="85" w:type="dxa"/>
            </w:tcMar>
            <w:shd w:fill="E5EAF0"/>
          </w:tcPr>
          <w:p>
            <w:pPr>
              <w:spacing w:after="40" w:before="40" w:line="245" w:lineRule="auto"/>
            </w:pPr>
            <w:r>
              <w:rPr>
                <w:b/>
                <w:sz w:val="20"/>
              </w:rPr>
              <w:t>Plain meaning</w:t>
            </w:r>
          </w:p>
        </w:tc>
        <w:tc>
          <w:tcPr>
            <w:tcW w:type="dxa" w:w="4076"/>
            <w:vAlign w:val="center"/>
            <w:tcMar>
              <w:top w:w="85" w:type="dxa"/>
              <w:left w:w="85" w:type="dxa"/>
              <w:bottom w:w="85" w:type="dxa"/>
              <w:right w:w="85" w:type="dxa"/>
            </w:tcMar>
            <w:shd w:fill="E5EAF0"/>
          </w:tcPr>
          <w:p>
            <w:pPr>
              <w:spacing w:after="40" w:before="40" w:line="245" w:lineRule="auto"/>
            </w:pPr>
            <w:r>
              <w:rPr>
                <w:b/>
                <w:sz w:val="20"/>
              </w:rPr>
              <w:t>What it does not establish</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Raw bars to session CSV</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Find each valid day’s OHLC, extreme labels, distances, and ATR</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A profitable trading signal</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Session CSV to statistics</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Calculate means, quantiles, timing, uncertainty, and cohorts</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That the next day follows the same distribution</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Historical calibration</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Forecast using earlier data and compare with later outcomes</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Trade profitability without actual order rules</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Chart display</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Put calculated levels on a chart</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That the Python scripts already connect to TradingView</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Trading strategy</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Define and simulate entries, exits, costs, and risk</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Something implemented merely by calculating zones</w:t>
            </w:r>
          </w:p>
        </w:tc>
      </w:tr>
    </w:tbl>
    <w:p>
      <w:pPr>
        <w:spacing w:after="20"/>
      </w:pPr>
    </w:p>
    <w:p>
      <w:r>
        <w:t>The separate earlier backtester is documented but is not included in the source snapshot described by this README. “Standalone calculator” means its statistical helpers are inside its script. It does not mean it needs no Python dependencies or no input data.</w:t>
      </w:r>
    </w:p>
    <w:p>
      <w:pPr>
        <w:pStyle w:val="Heading1"/>
      </w:pPr>
      <w:r>
        <w:t>3 RTH timestamps and data quality</w:t>
      </w:r>
    </w:p>
    <w:p>
      <w:r>
        <w:rPr>
          <w:i/>
          <w:sz w:val="18"/>
        </w:rPr>
        <w:t>Source: section 3, lines 104–161.</w:t>
      </w:r>
    </w:p>
    <w:p>
      <w:pPr>
        <w:pStyle w:val="Heading2"/>
      </w:pPr>
      <w:r>
        <w:t>Section 3.1 The session being measured</w:t>
      </w:r>
    </w:p>
    <w:p>
      <w:r>
        <w:t>RTH here means exactly 09:30–16:00 in America/New_York, lasting 6.5 hours × 60 = 390 minutes. This project chooses the US equity daytime window for ES research. It is not the complete futures trading session. A high at 08:00 is outside the variable being studied, even if it is the highest price of the full futures day.</w:t>
      </w:r>
    </w:p>
    <w:p>
      <w:r>
        <w:t>America/New_York follows daylight-saving changes. A fixed UTC−5 clock does not. This is a coordinate-system issue, like measuring experiments with two clocks that do not always have the same offset. Applying the wrong clock changes the observations before any statistics begin.</w:t>
      </w:r>
    </w:p>
    <w:p>
      <w:pPr>
        <w:pStyle w:val="Heading2"/>
      </w:pPr>
      <w:r>
        <w:t>Section 3.2 Bar labels</w:t>
      </w:r>
    </w:p>
    <w:p>
      <w:r>
        <w:t>A one-minute bar can be named for its start, 09:30, or its end, 09:31. Both can describe the same minute of trading. The converter’s output extreme times are bar-end labels. The exact high may have occurred at any moment within that bar.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9"/>
        <w:gridCol w:w="2232"/>
        <w:gridCol w:w="2572"/>
        <w:gridCol w:w="2572"/>
      </w:tblGrid>
      <w:tr>
        <w:trPr>
          <w:tblHeader/>
          <w:cantSplit/>
        </w:trPr>
        <w:tc>
          <w:tcPr>
            <w:tcW w:type="dxa" w:w="2329"/>
            <w:vAlign w:val="center"/>
            <w:tcMar>
              <w:top w:w="85" w:type="dxa"/>
              <w:left w:w="85" w:type="dxa"/>
              <w:bottom w:w="85" w:type="dxa"/>
              <w:right w:w="85" w:type="dxa"/>
            </w:tcMar>
            <w:shd w:fill="E5EAF0"/>
          </w:tcPr>
          <w:p>
            <w:pPr>
              <w:spacing w:after="40" w:before="40" w:line="245" w:lineRule="auto"/>
            </w:pPr>
            <w:r>
              <w:rPr>
                <w:b/>
                <w:sz w:val="20"/>
              </w:rPr>
              <w:t>Interval</w:t>
            </w:r>
          </w:p>
        </w:tc>
        <w:tc>
          <w:tcPr>
            <w:tcW w:type="dxa" w:w="2232"/>
            <w:vAlign w:val="center"/>
            <w:tcMar>
              <w:top w:w="85" w:type="dxa"/>
              <w:left w:w="85" w:type="dxa"/>
              <w:bottom w:w="85" w:type="dxa"/>
              <w:right w:w="85" w:type="dxa"/>
            </w:tcMar>
            <w:shd w:fill="E5EAF0"/>
          </w:tcPr>
          <w:p>
            <w:pPr>
              <w:spacing w:after="40" w:before="40" w:line="245" w:lineRule="auto"/>
            </w:pPr>
            <w:r>
              <w:rPr>
                <w:b/>
                <w:sz w:val="20"/>
              </w:rPr>
              <w:t>Start labels</w:t>
            </w:r>
          </w:p>
        </w:tc>
        <w:tc>
          <w:tcPr>
            <w:tcW w:type="dxa" w:w="2572"/>
            <w:vAlign w:val="center"/>
            <w:tcMar>
              <w:top w:w="85" w:type="dxa"/>
              <w:left w:w="85" w:type="dxa"/>
              <w:bottom w:w="85" w:type="dxa"/>
              <w:right w:w="85" w:type="dxa"/>
            </w:tcMar>
            <w:shd w:fill="E5EAF0"/>
          </w:tcPr>
          <w:p>
            <w:pPr>
              <w:spacing w:after="40" w:before="40" w:line="245" w:lineRule="auto"/>
            </w:pPr>
            <w:r>
              <w:rPr>
                <w:b/>
                <w:sz w:val="20"/>
              </w:rPr>
              <w:t>End labels</w:t>
            </w:r>
          </w:p>
        </w:tc>
        <w:tc>
          <w:tcPr>
            <w:tcW w:type="dxa" w:w="2572"/>
            <w:vAlign w:val="center"/>
            <w:tcMar>
              <w:top w:w="85" w:type="dxa"/>
              <w:left w:w="85" w:type="dxa"/>
              <w:bottom w:w="85" w:type="dxa"/>
              <w:right w:w="85" w:type="dxa"/>
            </w:tcMar>
            <w:shd w:fill="E5EAF0"/>
          </w:tcPr>
          <w:p>
            <w:pPr>
              <w:spacing w:after="40" w:before="40" w:line="245" w:lineRule="auto"/>
            </w:pPr>
            <w:r>
              <w:rPr>
                <w:b/>
                <w:sz w:val="20"/>
              </w:rPr>
              <w:t>Count from 390 ÷ interval</w:t>
            </w:r>
          </w:p>
        </w:tc>
      </w:tr>
      <w:tr>
        <w:trPr>
          <w:cantSplit/>
        </w:trPr>
        <w:tc>
          <w:tcPr>
            <w:tcW w:type="dxa" w:w="2329"/>
            <w:vAlign w:val="center"/>
            <w:tcMar>
              <w:top w:w="85" w:type="dxa"/>
              <w:left w:w="85" w:type="dxa"/>
              <w:bottom w:w="85" w:type="dxa"/>
              <w:right w:w="85" w:type="dxa"/>
            </w:tcMar>
            <w:shd w:fill="FFFFFF"/>
          </w:tcPr>
          <w:p>
            <w:pPr>
              <w:spacing w:after="40" w:before="40" w:line="245" w:lineRule="auto"/>
            </w:pPr>
            <w:r>
              <w:rPr>
                <w:b w:val="0"/>
                <w:sz w:val="20"/>
              </w:rPr>
              <w:t>1 minute</w:t>
            </w:r>
          </w:p>
        </w:tc>
        <w:tc>
          <w:tcPr>
            <w:tcW w:type="dxa" w:w="2232"/>
            <w:vAlign w:val="center"/>
            <w:tcMar>
              <w:top w:w="85" w:type="dxa"/>
              <w:left w:w="85" w:type="dxa"/>
              <w:bottom w:w="85" w:type="dxa"/>
              <w:right w:w="85" w:type="dxa"/>
            </w:tcMar>
            <w:shd w:fill="FFFFFF"/>
          </w:tcPr>
          <w:p>
            <w:pPr>
              <w:spacing w:after="40" w:before="40" w:line="245" w:lineRule="auto"/>
            </w:pPr>
            <w:r>
              <w:rPr>
                <w:b w:val="0"/>
                <w:sz w:val="20"/>
              </w:rPr>
              <w:t>09:30 through 15:59</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09:31 through 16:00</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390</w:t>
            </w:r>
          </w:p>
        </w:tc>
      </w:tr>
      <w:tr>
        <w:trPr>
          <w:cantSplit/>
        </w:trPr>
        <w:tc>
          <w:tcPr>
            <w:tcW w:type="dxa" w:w="2329"/>
            <w:vAlign w:val="center"/>
            <w:tcMar>
              <w:top w:w="85" w:type="dxa"/>
              <w:left w:w="85" w:type="dxa"/>
              <w:bottom w:w="85" w:type="dxa"/>
              <w:right w:w="85" w:type="dxa"/>
            </w:tcMar>
            <w:shd w:fill="F7F8FA"/>
          </w:tcPr>
          <w:p>
            <w:pPr>
              <w:spacing w:after="40" w:before="40" w:line="245" w:lineRule="auto"/>
            </w:pPr>
            <w:r>
              <w:rPr>
                <w:b w:val="0"/>
                <w:sz w:val="20"/>
              </w:rPr>
              <w:t>5 minutes</w:t>
            </w:r>
          </w:p>
        </w:tc>
        <w:tc>
          <w:tcPr>
            <w:tcW w:type="dxa" w:w="2232"/>
            <w:vAlign w:val="center"/>
            <w:tcMar>
              <w:top w:w="85" w:type="dxa"/>
              <w:left w:w="85" w:type="dxa"/>
              <w:bottom w:w="85" w:type="dxa"/>
              <w:right w:w="85" w:type="dxa"/>
            </w:tcMar>
            <w:shd w:fill="F7F8FA"/>
          </w:tcPr>
          <w:p>
            <w:pPr>
              <w:spacing w:after="40" w:before="40" w:line="245" w:lineRule="auto"/>
            </w:pPr>
            <w:r>
              <w:rPr>
                <w:b w:val="0"/>
                <w:sz w:val="20"/>
              </w:rPr>
              <w:t>09:30 through 15:55</w:t>
            </w:r>
          </w:p>
        </w:tc>
        <w:tc>
          <w:tcPr>
            <w:tcW w:type="dxa" w:w="2572"/>
            <w:vAlign w:val="center"/>
            <w:tcMar>
              <w:top w:w="85" w:type="dxa"/>
              <w:left w:w="85" w:type="dxa"/>
              <w:bottom w:w="85" w:type="dxa"/>
              <w:right w:w="85" w:type="dxa"/>
            </w:tcMar>
            <w:shd w:fill="F7F8FA"/>
          </w:tcPr>
          <w:p>
            <w:pPr>
              <w:spacing w:after="40" w:before="40" w:line="245" w:lineRule="auto"/>
            </w:pPr>
            <w:r>
              <w:rPr>
                <w:b w:val="0"/>
                <w:sz w:val="20"/>
              </w:rPr>
              <w:t>09:35 through 16:00</w:t>
            </w:r>
          </w:p>
        </w:tc>
        <w:tc>
          <w:tcPr>
            <w:tcW w:type="dxa" w:w="2572"/>
            <w:vAlign w:val="center"/>
            <w:tcMar>
              <w:top w:w="85" w:type="dxa"/>
              <w:left w:w="85" w:type="dxa"/>
              <w:bottom w:w="85" w:type="dxa"/>
              <w:right w:w="85" w:type="dxa"/>
            </w:tcMar>
            <w:shd w:fill="F7F8FA"/>
          </w:tcPr>
          <w:p>
            <w:pPr>
              <w:spacing w:after="40" w:before="40" w:line="245" w:lineRule="auto"/>
            </w:pPr>
            <w:r>
              <w:rPr>
                <w:b w:val="0"/>
                <w:sz w:val="20"/>
              </w:rPr>
              <w:t>78</w:t>
            </w:r>
          </w:p>
        </w:tc>
      </w:tr>
      <w:tr>
        <w:trPr>
          <w:cantSplit/>
        </w:trPr>
        <w:tc>
          <w:tcPr>
            <w:tcW w:type="dxa" w:w="2329"/>
            <w:vAlign w:val="center"/>
            <w:tcMar>
              <w:top w:w="85" w:type="dxa"/>
              <w:left w:w="85" w:type="dxa"/>
              <w:bottom w:w="85" w:type="dxa"/>
              <w:right w:w="85" w:type="dxa"/>
            </w:tcMar>
            <w:shd w:fill="FFFFFF"/>
          </w:tcPr>
          <w:p>
            <w:pPr>
              <w:spacing w:after="40" w:before="40" w:line="245" w:lineRule="auto"/>
            </w:pPr>
            <w:r>
              <w:rPr>
                <w:b w:val="0"/>
                <w:sz w:val="20"/>
              </w:rPr>
              <w:t>15 minutes</w:t>
            </w:r>
          </w:p>
        </w:tc>
        <w:tc>
          <w:tcPr>
            <w:tcW w:type="dxa" w:w="2232"/>
            <w:vAlign w:val="center"/>
            <w:tcMar>
              <w:top w:w="85" w:type="dxa"/>
              <w:left w:w="85" w:type="dxa"/>
              <w:bottom w:w="85" w:type="dxa"/>
              <w:right w:w="85" w:type="dxa"/>
            </w:tcMar>
            <w:shd w:fill="FFFFFF"/>
          </w:tcPr>
          <w:p>
            <w:pPr>
              <w:spacing w:after="40" w:before="40" w:line="245" w:lineRule="auto"/>
            </w:pPr>
            <w:r>
              <w:rPr>
                <w:b w:val="0"/>
                <w:sz w:val="20"/>
              </w:rPr>
              <w:t>09:30 through 15:45</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09:45 through 16:00</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26</w:t>
            </w:r>
          </w:p>
        </w:tc>
      </w:tr>
    </w:tbl>
    <w:p>
      <w:pPr>
        <w:spacing w:after="20"/>
      </w:pPr>
    </w:p>
    <w:p>
      <w:r>
        <w:t>A 15-minute extreme label of 10:15 says the event was in the 10:00–10:15 bar. It cannot tell you whether it happened at 10:01 or 10:14, or whether that bar’s high preceded its low. Arithmetic producing seconds later does not restore this missing precision.</w:t>
      </w:r>
    </w:p>
    <w:p>
      <w:pPr>
        <w:pStyle w:val="Heading2"/>
      </w:pPr>
      <w:r>
        <w:t>Section 3.3 Input formats</w:t>
      </w:r>
    </w:p>
    <w:p>
      <w:r>
        <w:t>Date and Time locate the bar. Open, High, Low, Close describe its prices. Volume records the source’s volume measure. Compact 20250106 and ISO 2025-01-06 both mean 6 January 2025. A slash date such as 01/06/2025 needs a convention: it can mean 6 January or 1 June.</w:t>
      </w:r>
    </w:p>
    <w:p>
      <w:r>
        <w:t>Only genuine 1-, 5-, and 15-minute bars are supported. A timeframe flag describes the data; it cannot transform 30-minute OHLC into the missing intrabar path. Auto-detection uses common timestamp spacing, so systematic missing bars can mislead it. Confirm the actual export interval.</w:t>
      </w:r>
    </w:p>
    <w:p>
      <w:pPr>
        <w:pStyle w:val="Heading2"/>
      </w:pPr>
      <w:r>
        <w:t>Section 3.4 Completeness and the OHLC inequality</w:t>
      </w:r>
    </w:p>
    <w:p>
      <w:pPr>
        <w:keepNext/>
        <w:spacing w:before="80"/>
        <w:ind w:left="216"/>
      </w:pPr>
      <w:r>
        <w:rPr>
          <w:rFonts w:ascii="Calibri" w:hAnsi="Calibri"/>
          <w:sz w:val="24"/>
        </w:rPr>
        <w:t>0 &lt; L ≤ min(O,C) ≤ max(O,C) ≤ H</w:t>
      </w:r>
    </w:p>
    <w:p>
      <w:r>
        <w:t>Read from left to right: the low is positive; neither open nor close lies below the low; min picks the smaller of open and close; max picks the larger; neither lies above the high. For O = 6000, C = 6010, L = 5980, H = 6020, this becomes 0 &lt; 5980 ≤ 6000 ≤ 6010 ≤ 6020. A close of 6030 would violate it.</w:t>
      </w:r>
    </w:p>
    <w:p>
      <w:r>
        <w:t>Missing a high-producing minute can bias PUV downward. Missing the opening bar can move the anchor and distort both sides. Duplicate bars can distort counts and volume. The converter therefore requires the exact expected time grid rather than accepting any collection of 390 rows.</w:t>
      </w:r>
    </w:p>
    <w:p>
      <w:r>
        <w:t>Nonfinite means a value such as NaN or infinity, rather than an ordinary finite number. Negative volume is invalid. A zero-volume bar can remain, but the full session needs positive volume. Passing these tests does not prove the vendor recorded every trade correctly.</w:t>
      </w:r>
    </w:p>
    <w:p>
      <w:r>
        <w:t>Early closes fail this full-session definition. A date completely absent from the raw file cannot be distinguished from a legitimate closure using the file alone. Consequently, exclusions can change the population studied: results describe accepted full sessions, not automatically every exchange date.</w:t>
      </w:r>
    </w:p>
    <w:p>
      <w:pPr>
        <w:pStyle w:val="Heading1"/>
      </w:pPr>
      <w:r>
        <w:t>4 Every column in the session CSV</w:t>
      </w:r>
    </w:p>
    <w:p>
      <w:r>
        <w:rPr>
          <w:i/>
          <w:sz w:val="18"/>
        </w:rPr>
        <w:t>Source: section 4, lines 162–205. Read this as the dictionary for one historical observation.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3"/>
        <w:gridCol w:w="6503"/>
      </w:tblGrid>
      <w:tr>
        <w:trPr>
          <w:tblHeader/>
          <w:cantSplit/>
        </w:trPr>
        <w:tc>
          <w:tcPr>
            <w:tcW w:type="dxa" w:w="3203"/>
            <w:vAlign w:val="center"/>
            <w:tcMar>
              <w:top w:w="85" w:type="dxa"/>
              <w:left w:w="85" w:type="dxa"/>
              <w:bottom w:w="85" w:type="dxa"/>
              <w:right w:w="85" w:type="dxa"/>
            </w:tcMar>
            <w:shd w:fill="E5EAF0"/>
          </w:tcPr>
          <w:p>
            <w:pPr>
              <w:spacing w:after="40" w:before="40" w:line="245" w:lineRule="auto"/>
            </w:pPr>
            <w:r>
              <w:rPr>
                <w:b/>
                <w:sz w:val="20"/>
              </w:rPr>
              <w:t>Column</w:t>
            </w:r>
          </w:p>
        </w:tc>
        <w:tc>
          <w:tcPr>
            <w:tcW w:type="dxa" w:w="6503"/>
            <w:vAlign w:val="center"/>
            <w:tcMar>
              <w:top w:w="85" w:type="dxa"/>
              <w:left w:w="85" w:type="dxa"/>
              <w:bottom w:w="85" w:type="dxa"/>
              <w:right w:w="85" w:type="dxa"/>
            </w:tcMar>
            <w:shd w:fill="E5EAF0"/>
          </w:tcPr>
          <w:p>
            <w:pPr>
              <w:spacing w:after="40" w:before="40" w:line="245" w:lineRule="auto"/>
            </w:pPr>
            <w:r>
              <w:rPr>
                <w:b/>
                <w:sz w:val="20"/>
              </w:rPr>
              <w:t>Explanation and example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Session</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Accepted row number. Use Date to join records from different files.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Date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Actual session date; it controls whether a row precedes a forecast.</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O_RTH</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First RTH bar’s open, such as 6000. The anchor.</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H_RTH</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Largest RTH bar high, such as 6040. Final high after completion.</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L_RTH</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Smallest RTH bar low, such as 5970. Final low after completion.</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C_RTH</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Last RTH bar’s close. Not necessarily near either extreme.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HOD_Time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End label of the first bar attaining the final high. Later equal highs do not replace it.</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LOD_Time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End label of the first bar attaining the final low. Same first-occurrence rule.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Extreme_First</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Which final extreme’s first occurrence came earlier; SAME_BAR leaves internal order unknown.</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PUV_Points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H − O. In the example, 40 points.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PDV_Points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O − L. In the example, 30 points.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PUV_Percent</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100 × 40 ÷ 6000 = 0.6667%. A stored 0.6667 means that percentage.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PDV_Percent</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100 × 30 ÷ 6000 = 0.50%. A positive downward magnitude.</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RTH_Range_Points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H − L = 70 points. Does not include an overnight gap by itself.</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Calendar_Days_Since_Previous_Complete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Gap between accepted dates. Friday to Monday gives 3.</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ATR_Sequence_Reset</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1 when an accepted-date gap of at least seven days resets ATR; otherwise 0.</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Previous_Complete_RTH_Close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Previous accepted close available in the current ATR sequence; blank initially or after reset.</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TR_RTH</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True range, including the previous close where available. Explained next.</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ATR14_Previous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ATR available before this historical session. Use it to normalize this session.</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ATR14_End</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ATR after this session’s TR is incorporated. It becomes usable for a later session.</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PUV_ATR</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40 ÷ prior ATR. If ATR = 80, the result is 0.50.</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PDV_ATR</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30 ÷ prior ATR. If ATR = 80, the result is 0.375.</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RTH_Volume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Sum of RTH volume. No bid/ask split, delta, or price-by-price volume is implied.</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Bar_Count</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390, 78, or 26 for an accepted 1m, 5m, or 15m session.</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Duplicate_Bars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Zero in newly accepted converter rows because duplicate sessions are excluded.</w:t>
            </w:r>
          </w:p>
        </w:tc>
      </w:tr>
    </w:tbl>
    <w:p>
      <w:pPr>
        <w:spacing w:after="20"/>
      </w:pPr>
    </w:p>
    <w:p>
      <w:r>
        <w:t>The older eight-column manual record supplies prices, times, and volume, but does not satisfy the full calculator input contract by itself. Blank ATR during legitimate warm-up means unavailable, not zero. Inventing an ATR or bar count would turn missing information into false evidence.</w:t>
      </w:r>
    </w:p>
    <w:p>
      <w:pPr>
        <w:pStyle w:val="Heading1"/>
      </w:pPr>
      <w:r>
        <w:t>5 Points percentages and ATR</w:t>
      </w:r>
    </w:p>
    <w:p>
      <w:r>
        <w:rPr>
          <w:i/>
          <w:sz w:val="18"/>
        </w:rPr>
        <w:t>Source: section 5, lines 206–277.</w:t>
      </w:r>
    </w:p>
    <w:p>
      <w:pPr>
        <w:pStyle w:val="Heading2"/>
      </w:pPr>
      <w:r>
        <w:t>Section 5.1 Points</w:t>
      </w:r>
    </w:p>
    <w:p>
      <w:pPr>
        <w:keepNext/>
        <w:spacing w:before="80"/>
        <w:ind w:left="216"/>
      </w:pPr>
      <w:r>
        <w:rPr>
          <w:rFonts w:ascii="Calibri" w:hAnsi="Calibri"/>
          <w:sz w:val="24"/>
        </w:rPr>
        <w:t>uᵢ = Hᵢ − Oᵢ     and     dᵢ = Oᵢ − Lᵢ</w:t>
      </w:r>
    </w:p>
    <w:p>
      <w:r>
        <w:t>The lowercase u and d are shorter names for PUV and PDV. Every i is a different session. These distances are directly readable on a chart. However, 40 points from an open of 2000 is 2%, while 40 points from 8000 is 0.5%. Mixing them in one raw-points distribution ignores that difference in scale.</w:t>
      </w:r>
    </w:p>
    <w:p>
      <w:pPr>
        <w:pStyle w:val="Heading2"/>
      </w:pPr>
      <w:r>
        <w:t>Section 5.2 Percentages</w:t>
      </w:r>
    </w:p>
    <w:p>
      <w:pPr>
        <w:keepNext/>
        <w:spacing w:before="80"/>
        <w:ind w:left="216"/>
      </w:pPr>
      <w:r>
        <w:rPr>
          <w:rFonts w:ascii="Calibri" w:hAnsi="Calibri"/>
          <w:sz w:val="24"/>
        </w:rPr>
        <w:t>uᵢ% = 100 × (Hᵢ − Oᵢ) ÷ Oᵢ</w:t>
      </w:r>
    </w:p>
    <w:p>
      <w:pPr>
        <w:keepNext/>
        <w:spacing w:before="80"/>
        <w:ind w:left="216"/>
      </w:pPr>
      <w:r>
        <w:rPr>
          <w:rFonts w:ascii="Calibri" w:hAnsi="Calibri"/>
          <w:sz w:val="24"/>
        </w:rPr>
        <w:t>dᵢ% = 100 × (Oᵢ − Lᵢ) ÷ Oᵢ</w:t>
      </w:r>
    </w:p>
    <w:p>
      <w:r>
        <w:t>Subtract to get a distance, divide by that same session’s open, then multiply by 100 to express the ratio as a percentage. For a 30-point move from 6000: 30 ÷ 6000 = 0.005, and 100 × 0.005 = 0.5%.</w:t>
      </w:r>
    </w:p>
    <w:p>
      <w:r>
        <w:t>Normalize each observation first. Suppose one day moves 20 from 2000, or 1%, and another moves 40 from 8000, or 0.5%. The average daily percentage is (1 + 0.5) ÷ 2 = 0.75%. Dividing average distance 30 by average open 5000 gives 0.60%. Those are different statistics because division and averaging do not generally commute.</w:t>
      </w:r>
    </w:p>
    <w:p>
      <w:r>
        <w:t>Percentages correct price scale. They do not make a quiet session and a news-driven volatile session equivalent merely because both opened at 6000.</w:t>
      </w:r>
    </w:p>
    <w:p>
      <w:pPr>
        <w:pStyle w:val="Heading2"/>
      </w:pPr>
      <w:r>
        <w:t>Section 5.3 True range</w:t>
      </w:r>
    </w:p>
    <w:p>
      <w:pPr>
        <w:keepNext/>
        <w:spacing w:before="80"/>
        <w:ind w:left="216"/>
      </w:pPr>
      <w:r>
        <w:rPr>
          <w:rFonts w:ascii="Calibri" w:hAnsi="Calibri"/>
          <w:sz w:val="24"/>
        </w:rPr>
        <w:t>TRᵢ = max(Hᵢ − Lᵢ, |Hᵢ − C_previous|, |Lᵢ − C_previous|)</w:t>
      </w:r>
    </w:p>
    <w:p>
      <w:r>
        <w:t>Calculate three distances and keep the largest. The first is today’s daytime range. The other two measure how far today’s extremes are from the previous accepted close. Absolute-value bars make both distances nonnegative.</w:t>
      </w:r>
    </w:p>
    <w:p>
      <w:r>
        <w:t>Example: previous close 5950; today O = 6000, H = 6040, L = 5980. The candidates are 60, 90, and 30 points. TR = 90. It includes the displacement from yesterday’s close even though the RTH range is only 60. If no previous close exists in the sequence, use H − L.</w:t>
      </w:r>
    </w:p>
    <w:p>
      <w:pPr>
        <w:pStyle w:val="Heading2"/>
      </w:pPr>
      <w:r>
        <w:t>Seeding and updating ATR14</w:t>
      </w:r>
    </w:p>
    <w:p>
      <w:pPr>
        <w:keepNext/>
        <w:spacing w:before="80"/>
        <w:ind w:left="216"/>
      </w:pPr>
      <w:r>
        <w:rPr>
          <w:rFonts w:ascii="Calibri" w:hAnsi="Calibri"/>
          <w:sz w:val="24"/>
        </w:rPr>
        <w:t>First ATR_End = (TR₁ + TR₂ + … + TR₁₄) ÷ 14</w:t>
      </w:r>
    </w:p>
    <w:p>
      <w:r>
        <w:t>This seed is just an arithmetic average. If the first 14 true ranges sum to 1120, their initial ending ATR is 80 points. It is first available after session 14 finishes.</w:t>
      </w:r>
    </w:p>
    <w:p>
      <w:pPr>
        <w:keepNext/>
        <w:spacing w:before="80"/>
        <w:ind w:left="216"/>
      </w:pPr>
      <w:r>
        <w:rPr>
          <w:rFonts w:ascii="Calibri" w:hAnsi="Calibri"/>
          <w:sz w:val="24"/>
        </w:rPr>
        <w:t>New ATR_End = (13 × Previous ATR_End + Today TR) ÷ 14</w:t>
      </w:r>
    </w:p>
    <w:p>
      <w:r>
        <w:t>With previous ATR 80 and today TR 108, calculate (1040 + 108) ÷ 14 = 82. An equivalent, more intuitive expression is New ATR = Old ATR + (Today TR − Old ATR) ÷ 14. Today is 28 points above the old ATR, so ATR moves upward by 28 ÷ 14 = 2 points.</w:t>
      </w:r>
    </w:p>
    <w:p>
      <w:r>
        <w:t>Wilder smoothing retains 13/14 of the old estimate and assigns 1/14 to the new TR. After the initial seed, it is not a simple rolling average of only the last 14 values: older information remains through the recursive previous ATR. This is similar to a smoothed instrument reading that responds gradually rather than jumping fully to the newest measurement.</w:t>
      </w:r>
    </w:p>
    <w:p>
      <w:r>
        <w:t>For session 15, ATR14_Previous is session 14’s ending value, 80. Session 15’s ending value, 82 in the example, is too late to be known at its own open. Session 16 can use it. This ordering is central to a fair forecast.</w:t>
      </w:r>
    </w:p>
    <w:p>
      <w:r>
        <w:t>An accepted-date gap of seven or more calendar days restarts this process. A normal weekend does not. First ending ATR: session 14 of the new sequence. First normalized excursion: session 15. Two normalized observations for an SD and SE: ordinarily by session 16. This project convention may differ from your chart platform’s ATR.</w:t>
      </w:r>
    </w:p>
    <w:p>
      <w:pPr>
        <w:pStyle w:val="Heading2"/>
      </w:pPr>
      <w:r>
        <w:t>Section 5.4 ATR normalization</w:t>
      </w:r>
    </w:p>
    <w:p>
      <w:pPr>
        <w:keepNext/>
        <w:spacing w:before="80"/>
        <w:ind w:left="216"/>
      </w:pPr>
      <w:r>
        <w:rPr>
          <w:rFonts w:ascii="Calibri" w:hAnsi="Calibri"/>
          <w:sz w:val="24"/>
        </w:rPr>
        <w:t>uᵢ_ATR = (Hᵢ − Oᵢ) ÷ ATR14_Previousᵢ</w:t>
      </w:r>
    </w:p>
    <w:p>
      <w:pPr>
        <w:keepNext/>
        <w:spacing w:before="80"/>
        <w:ind w:left="216"/>
      </w:pPr>
      <w:r>
        <w:rPr>
          <w:rFonts w:ascii="Calibri" w:hAnsi="Calibri"/>
          <w:sz w:val="24"/>
        </w:rPr>
        <w:t>dᵢ_ATR = (Oᵢ − Lᵢ) ÷ ATR14_Previousᵢ</w:t>
      </w:r>
    </w:p>
    <w:p>
      <w:r>
        <w:t>Divide points by points and the units cancel. A 40-point upside excursion with prior ATR 80 equals 0.50 ATR. Another day’s 60-point move with prior ATR 120 is also 0.50 ATR. These are comparable relative sizes, although their price distances differ.</w:t>
      </w:r>
    </w:p>
    <w:p>
      <w:r>
        <w:t>“0.50 ATR” means half of a volatility scale. It says nothing by itself about a 50% probability. ATR can lag a sudden volatility change, and the normalized distribution can also change.</w:t>
      </w:r>
    </w:p>
    <w:p>
      <w:r>
        <w:t>Day-trading relevance: identify exactly which ATR your level uses. This is prior Wilder RTH session ATR14, not 14 one-minute bars and not a full overnight futures daily ATR. Matching the period number while changing the underlying observations does not match the model.</w:t>
      </w:r>
    </w:p>
    <w:p>
      <w:pPr>
        <w:pStyle w:val="Heading1"/>
      </w:pPr>
      <w:r>
        <w:t>6 Means and the seven session exercise</w:t>
      </w:r>
    </w:p>
    <w:p>
      <w:r>
        <w:rPr>
          <w:i/>
          <w:sz w:val="18"/>
        </w:rPr>
        <w:t>Source: section 6, lines 278–317.</w:t>
      </w:r>
    </w:p>
    <w:p>
      <w:pPr>
        <w:keepNext/>
        <w:spacing w:before="80"/>
        <w:ind w:left="216"/>
      </w:pPr>
      <w:r>
        <w:rPr>
          <w:rFonts w:ascii="Calibri" w:hAnsi="Calibri"/>
          <w:sz w:val="24"/>
        </w:rPr>
        <w:t>x̄ = (x₁ + x₂ + … + xₙ) ÷ n</w:t>
      </w:r>
    </w:p>
    <w:p>
      <w:r>
        <w:t>The sigma in the README means the addition inside these parentheses. x is a placeholder: it might be upside points, downside percentages, or timing minutes. Calculate one kind at a time; do not average quantities with different units.</w:t>
      </w:r>
    </w:p>
    <w:p>
      <w:r>
        <w:t>The README’s upside distances are 50, 63, 40, 33, 35, 29, 48. Their sum is 298 and n = 7, giving 42.571429 points. Downside distances are 36, 84, 60, 20, 13, 30, 58. Their sum is 301, giving 43 points.</w:t>
      </w:r>
    </w:p>
    <w:p>
      <w:r>
        <w:t>At a hypothetical new open of 7800, the points mean upper reference is 7800 + 42.571429 = 7842.571429; the lower reference is 7800 − 43 = 7757. The numbers summarize average distances, not guaranteed stopping prices.</w:t>
      </w:r>
    </w:p>
    <w:p>
      <w:r>
        <w:t>The means are almost equal, but the samples do not have equal spread. The reported upside sample SD is 11.844227 points and downside SD is 25.304809 points. Downside observations are much more dispersed in these seven sessions. An average alone hides that distinction.</w:t>
      </w:r>
    </w:p>
    <w:p>
      <w:r>
        <w:t>Percentage means, 0.548690% up and 0.554172% down, come from dividing each distance by its own daily open first. You cannot recover them exactly just by dividing the mean point distances by one arbitrary opening price.</w:t>
      </w:r>
    </w:p>
    <w:p>
      <w:r>
        <w:t>The table’s “IID standard uncertainty” values, 4.476697 and 9.564319 points, concern precision of the respective averages. They are not typical daily excursion sizes. This seven-row exercise lacks closes, timing, and prior ATR, so it cannot supply those missing analyses.</w:t>
      </w:r>
    </w:p>
    <w:p>
      <w:pPr>
        <w:pStyle w:val="Heading1"/>
      </w:pPr>
      <w:r>
        <w:t>7 Standard uncertainty and bootstrap confidence intervals</w:t>
      </w:r>
    </w:p>
    <w:p>
      <w:r>
        <w:rPr>
          <w:i/>
          <w:sz w:val="18"/>
        </w:rPr>
        <w:t>Source: section 7, lines 318–383. This is the most important conceptual chapter.</w:t>
      </w:r>
    </w:p>
    <w:p>
      <w:pPr>
        <w:pStyle w:val="Heading2"/>
      </w:pPr>
      <w:r>
        <w:t>Section 7.1 Standard deviation step by step</w:t>
      </w:r>
    </w:p>
    <w:p>
      <w:pPr>
        <w:keepNext/>
        <w:spacing w:before="80"/>
        <w:ind w:left="216"/>
      </w:pPr>
      <w:r>
        <w:rPr>
          <w:rFonts w:ascii="Calibri" w:hAnsi="Calibri"/>
          <w:sz w:val="24"/>
        </w:rPr>
        <w:t>s = √[sum of (xᵢ − x̄)² ÷ (n − 1)]</w:t>
      </w:r>
    </w:p>
    <w:p>
      <w:r>
        <w:t>Subtract the mean from every observation. Square each difference so negative and positive deviations cannot cancel. Add the squares. Divide by n − 1. Finally take the square root to return from squared points to points.</w:t>
      </w:r>
    </w:p>
    <w:p>
      <w:r>
        <w:t>Small teaching sample: 20, 40, 60 points. Mean = 40. Deviations = −20, 0, 20. Squared deviations = 400, 0, 400. Sum = 800. Divide by 3 − 1 = 2 to get sample variance 400 points squared. Square root gives s = 20 points.</w:t>
      </w:r>
    </w:p>
    <w:p>
      <w:r>
        <w:t>Why n − 1? Once you estimated the sample mean, the deviations must sum to zero; only n − 1 can vary freely. This correction makes the sample variance unbiased for population variance under the usual IID model. It does not make every individual SD estimate exact.</w:t>
      </w:r>
    </w:p>
    <w:p>
      <w:pPr>
        <w:pStyle w:val="Heading2"/>
      </w:pPr>
      <w:r>
        <w:t>Standard error of the mean</w:t>
      </w:r>
    </w:p>
    <w:p>
      <w:pPr>
        <w:keepNext/>
        <w:spacing w:before="80"/>
        <w:ind w:left="216"/>
      </w:pPr>
      <w:r>
        <w:rPr>
          <w:rFonts w:ascii="Calibri" w:hAnsi="Calibri"/>
          <w:sz w:val="24"/>
        </w:rPr>
        <w:t>SE_IID = s ÷ √n</w:t>
      </w:r>
    </w:p>
    <w:p>
      <w:r>
        <w:t>Using that sample, SE = 20 ÷ √3 ≈ 11.55 points. The SD describes variation among days. The SE describes how much the calculated average would vary across repeated samples under the model. IID means independent and identically distributed: observations do not depend on one another and come from the same distribution.</w:t>
      </w:r>
    </w:p>
    <w:p>
      <w:r>
        <w:t>Suppose s remains 20. With 100 independent observations, SE is 2 points; with 400, it is 1 point. The daily spread remains 20 points. More days make the estimated average steadier; they do not force the next session to behave like the average.</w:t>
      </w:r>
    </w:p>
    <w:p>
      <w:r>
        <w:t>For your physics background: estimating an average property from repeated observations is different from bounding the next observation. Here each day is itself economically variable. This SE also does not include a pressure-sensor-style manufacturer tolerance, vendor errors, or wrong timestamp settings.</w:t>
      </w:r>
    </w:p>
    <w:p>
      <w:pPr>
        <w:pStyle w:val="Heading2"/>
      </w:pPr>
      <w:r>
        <w:t>Section 7.2 What MeanSE and CI95 mean</w:t>
      </w:r>
    </w:p>
    <w:p>
      <w:r>
        <w:t>MeanSE uses the mean plus or minus one IID SE, with a zero floor on excursion distances. If mean = 40 and SE = 2, the distance interval is 38–42. It describes an estimator-oriented neighborhood around 40. It is not a future-day prediction interval.</w:t>
      </w:r>
    </w:p>
    <w:p>
      <w:r>
        <w:t>For comparison, the explanatory conventional mean confidence interval is mean ± t × SE. The t multiplier depends on sample size and confidence level; around 1.96 is a large-sample reference for 95%. The README’s exported CI95 uses bootstrap percentiles instead. Under its assumptions, a 95% confidence procedure aims to cover the population statistic in about 95% of repeated samples; it does not assert that 95% of tomorrow’s extremes fall inside it. [Reference 2]</w:t>
      </w:r>
    </w:p>
    <w:p>
      <w:pPr>
        <w:pStyle w:val="Heading2"/>
      </w:pPr>
      <w:r>
        <w:t>Section 7.3 Bootstrap in ordinary language</w:t>
      </w:r>
    </w:p>
    <w:p>
      <w:r>
        <w:t>A bootstrap asks how much a statistic changes when the observed data are resampled. Create a new sample from the original observations, recalculate the statistic, and repeat. You get a distribution of estimates, rather than just the original distribution of daily excursions.</w:t>
      </w:r>
    </w:p>
    <w:p>
      <w:r>
        <w:t>The project uses blocks of consecutive eligible sessions to retain some short-range dependence. Imagine rows A B C D E F with block length 2. One resample could use E F, B C, and F A. F A illustrates circular wraparound. The resample has six rows, includes repeats, and omits some original rows. This is a computational sensitivity experiment, not a simulation of a plausible new chronological market path. [Reference 4]</w:t>
      </w:r>
    </w:p>
    <w:p>
      <w:r>
        <w:t>Each resample might yield a mean such as 39, 42, 40, or 41. The SD across these resampled means is the block standard error of the mean. When estimating P90, calculate P90 inside each resample instead; then measure the spread of those P90 estimates.</w:t>
      </w:r>
    </w:p>
    <w:p>
      <w:pPr>
        <w:keepNext/>
        <w:spacing w:before="80"/>
        <w:ind w:left="216"/>
      </w:pPr>
      <w:r>
        <w:rPr>
          <w:rFonts w:ascii="Calibri" w:hAnsi="Calibri"/>
          <w:sz w:val="24"/>
        </w:rPr>
        <w:t>SE_Block = √[sum of (replicate estimate − average replicate estimate)² ÷ (B − 1)]</w:t>
      </w:r>
    </w:p>
    <w:p>
      <w:r>
        <w:t>θ̂ is whatever statistic you are studying. b labels a resample. B is the number of usable replicate estimates. The star labels a resampled estimate. The formula is the familiar sample SD again, but its inputs are estimates from resamples rather than raw daily distances.</w:t>
      </w:r>
    </w:p>
    <w:p>
      <w:r>
        <w:t>CI95_Low and CI95_High select the 2.5th and 97.5th percentiles of finite replicate estimates. This approximate interval can be asymmetric. Do not automatically reconstruct it as estimate ± 1.96 × SE_Block.</w:t>
      </w:r>
    </w:p>
    <w:p>
      <w:pPr>
        <w:pStyle w:val="Heading2"/>
      </w:pPr>
      <w:r>
        <w:t>Defaults and the small sample formula</w:t>
      </w:r>
    </w:p>
    <w:p>
      <w:r>
        <w:t>The documented defaults are 1000 resamples, requested blocks of 5 sessions, and random seed 731. The seed makes the random choices reproducible; 731 has no market significance. More repetitions make the numerical bootstrap result less noisy but do not turn 60 observed market sessions into 60,000 independent days.</w:t>
      </w:r>
    </w:p>
    <w:p>
      <w:pPr>
        <w:keepNext/>
        <w:spacing w:before="80"/>
        <w:ind w:left="216"/>
      </w:pPr>
      <w:r>
        <w:rPr>
          <w:rFonts w:ascii="Calibri" w:hAnsi="Calibri"/>
          <w:sz w:val="24"/>
        </w:rPr>
        <w:t>Effective block = min(requested block, max(1, floor(n ÷ 3)))</w:t>
      </w:r>
    </w:p>
    <w:p>
      <w:r>
        <w:t>Work from inside outward. If n = 5, floor(5 ÷ 3) = 1; max(1,1) = 1; min(5,1) = 1. If n = 12, the effective block is 4. If n = 60, it remains the requested 5. This avoids repeatedly taking the entire tiny dataset as one block, which can misleadingly make the mean identical in every resample.</w:t>
      </w:r>
    </w:p>
    <w:p>
      <w:r>
        <w:t>Block SE can be smaller or larger than IID SE. Neither measures every possible source of model error. Five rows remain a tiny sample even when the code produces a valid number. Blocks also follow eligible rows, which can skip excluded calendar dates.</w:t>
      </w:r>
    </w:p>
    <w:p>
      <w:pPr>
        <w:pStyle w:val="Heading2"/>
      </w:pPr>
      <w:r>
        <w:t>Section 7.4 What gets bootstrapped</w:t>
      </w:r>
    </w:p>
    <w:p>
      <w:r>
        <w:t>Means, quantiles, widths, MeanSE endpoints, timing statistics, timing shares, and order ratios each have their own estimator uncertainty. For a MeanSE endpoint, the code recalculates both the mean and its IID SE inside every resample. The endpoint’s uncertainty is therefore not simply the mean’s original SE.</w:t>
      </w:r>
    </w:p>
    <w:p>
      <w:r>
        <w:t>Valid_Replicates counts finite estimates used. A ratio dividing by zero is undefined and excluded. A tied discrete quantile can remain identical in all resamples and yield zero SE. That means this resampling exercise showed no variation, not that the market value is known without uncertainty.</w:t>
      </w:r>
    </w:p>
    <w:p>
      <w:r>
        <w:t>Day-trading relevance: use uncertainty to judge the stability of a statistic. Do not automatically add it to a stop, interpret it as a reversal probability, or use a narrow MeanSE band as a precise target for today’s final high.</w:t>
      </w:r>
    </w:p>
    <w:p>
      <w:pPr>
        <w:pStyle w:val="Heading1"/>
      </w:pPr>
      <w:r>
        <w:t>8 Percentiles and excursion zones</w:t>
      </w:r>
    </w:p>
    <w:p>
      <w:r>
        <w:rPr>
          <w:i/>
          <w:sz w:val="18"/>
        </w:rPr>
        <w:t>Source: section 8, lines 384–419.</w:t>
      </w:r>
    </w:p>
    <w:p>
      <w:pPr>
        <w:pStyle w:val="Heading2"/>
      </w:pPr>
      <w:r>
        <w:t>Section 8.1 What a percentile answers</w:t>
      </w:r>
    </w:p>
    <w:p>
      <w:r>
        <w:t>P75 is a distance threshold associated with roughly 75% of the historical observations being at or below it. If upside P75 = 60 points, roughly three quarters of historical upside excursions were no larger than 60 points in that sample. It does not say that 75% of touches at open + 60 reverse.</w:t>
      </w:r>
    </w:p>
    <w:p>
      <w:r>
        <w:t>P50 is the median, the middle of the sorted distribution. P90 concerns the upper tail. q = 0.90 is the fraction selecting a threshold; Qq is the threshold value, potentially 85 points or 1.1 ATR. A probability index and the resulting distance have different units.</w:t>
      </w:r>
    </w:p>
    <w:p>
      <w:pPr>
        <w:pStyle w:val="Heading2"/>
      </w:pPr>
      <w:r>
        <w:t>Linear interpolation without mystery</w:t>
      </w:r>
    </w:p>
    <w:p>
      <w:r>
        <w:t>The README uses h = (n − 1)q, j = floor(h), and g = h − j. Sort the data and temporarily number positions starting at zero. j selects the lower neighboring value; g tells you how far to move toward the next value.</w:t>
      </w:r>
    </w:p>
    <w:p>
      <w:pPr>
        <w:keepNext/>
        <w:spacing w:before="80"/>
        <w:ind w:left="216"/>
      </w:pPr>
      <w:r>
        <w:rPr>
          <w:rFonts w:ascii="Calibri" w:hAnsi="Calibri"/>
          <w:sz w:val="24"/>
        </w:rPr>
        <w:t>Qq = (1 − g) × xⱼ + g × xⱼ₊₁</w:t>
      </w:r>
    </w:p>
    <w:p>
      <w:r>
        <w:t>Example: sorted values 10, 20, 40, 80; n = 4; q = 0.75. h = 3 × 0.75 = 2.25; j = 2; g = 0.25. The zero-based value at position 2 is 40 and the next is 80. Q75 = 0.75 × 40 + 0.25 × 80 = 50. It is a quarter of the way from 40 to 80. Only three of four observations are below 50 here; in other small samples or with ties, counts need not equal the percentile label exactly. At an endpoint such as q = 1, use the endpoint directly. [Reference 5]</w:t>
      </w:r>
    </w:p>
    <w:p>
      <w:pPr>
        <w:pStyle w:val="Heading2"/>
      </w:pPr>
      <w:r>
        <w:t>Section 8.2 The three zone types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3106"/>
        <w:gridCol w:w="4076"/>
      </w:tblGrid>
      <w:tr>
        <w:trPr>
          <w:tblHeader/>
          <w:cantSplit/>
        </w:trPr>
        <w:tc>
          <w:tcPr>
            <w:tcW w:type="dxa" w:w="2523"/>
            <w:vAlign w:val="center"/>
            <w:tcMar>
              <w:top w:w="85" w:type="dxa"/>
              <w:left w:w="85" w:type="dxa"/>
              <w:bottom w:w="85" w:type="dxa"/>
              <w:right w:w="85" w:type="dxa"/>
            </w:tcMar>
            <w:shd w:fill="E5EAF0"/>
          </w:tcPr>
          <w:p>
            <w:pPr>
              <w:spacing w:after="40" w:before="40" w:line="245" w:lineRule="auto"/>
            </w:pPr>
            <w:r>
              <w:rPr>
                <w:b/>
                <w:sz w:val="20"/>
              </w:rPr>
              <w:t>Zone</w:t>
            </w:r>
          </w:p>
        </w:tc>
        <w:tc>
          <w:tcPr>
            <w:tcW w:type="dxa" w:w="3106"/>
            <w:vAlign w:val="center"/>
            <w:tcMar>
              <w:top w:w="85" w:type="dxa"/>
              <w:left w:w="85" w:type="dxa"/>
              <w:bottom w:w="85" w:type="dxa"/>
              <w:right w:w="85" w:type="dxa"/>
            </w:tcMar>
            <w:shd w:fill="E5EAF0"/>
          </w:tcPr>
          <w:p>
            <w:pPr>
              <w:spacing w:after="40" w:before="40" w:line="245" w:lineRule="auto"/>
            </w:pPr>
            <w:r>
              <w:rPr>
                <w:b/>
                <w:sz w:val="20"/>
              </w:rPr>
              <w:t>Calculation</w:t>
            </w:r>
          </w:p>
        </w:tc>
        <w:tc>
          <w:tcPr>
            <w:tcW w:type="dxa" w:w="4076"/>
            <w:vAlign w:val="center"/>
            <w:tcMar>
              <w:top w:w="85" w:type="dxa"/>
              <w:left w:w="85" w:type="dxa"/>
              <w:bottom w:w="85" w:type="dxa"/>
              <w:right w:w="85" w:type="dxa"/>
            </w:tcMar>
            <w:shd w:fill="E5EAF0"/>
          </w:tcPr>
          <w:p>
            <w:pPr>
              <w:spacing w:after="40" w:before="40" w:line="245" w:lineRule="auto"/>
            </w:pPr>
            <w:r>
              <w:rPr>
                <w:b/>
                <w:sz w:val="20"/>
              </w:rPr>
              <w:t>Meaning</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MeanSE</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max(0, mean − SE) to mean + SE</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Neighborhood around an estimated mean</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P25_P75</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P25 to P75</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Middle approximately 50% of historical individual distances</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P10_P90</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P10 to P90</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Middle approximately 80% of historical individual distances</w:t>
            </w:r>
          </w:p>
        </w:tc>
      </w:tr>
    </w:tbl>
    <w:p>
      <w:pPr>
        <w:spacing w:after="20"/>
      </w:pPr>
    </w:p>
    <w:p>
      <w:r>
        <w:t>If mean = 40 and SE = 2, MeanSE is 38–42. Suppose P25 = 20, P50 = 35, and P75 = 60. P25_P75 is 20–60, with center 35. Its arithmetic midpoint is 40, but the exported center is the median 35. “Center” in this output names a chosen statistic, not necessarily the geometric center of the band.</w:t>
      </w:r>
    </w:p>
    <w:p>
      <w:pPr>
        <w:keepNext/>
        <w:spacing w:before="80"/>
        <w:ind w:left="216"/>
      </w:pPr>
      <w:r>
        <w:rPr>
          <w:rFonts w:ascii="Calibri" w:hAnsi="Calibri"/>
          <w:sz w:val="24"/>
        </w:rPr>
        <w:t>IQR = P75 − P25</w:t>
      </w:r>
    </w:p>
    <w:p>
      <w:pPr>
        <w:keepNext/>
        <w:spacing w:before="80"/>
        <w:ind w:left="216"/>
      </w:pPr>
      <w:r>
        <w:rPr>
          <w:rFonts w:ascii="Calibri" w:hAnsi="Calibri"/>
          <w:sz w:val="24"/>
        </w:rPr>
        <w:t>P10P90_Width = P90 − P10</w:t>
      </w:r>
    </w:p>
    <w:p>
      <w:r>
        <w:t>With P25 = 20 and P75 = 60, IQR is 40 points. It measures dispersion of individual outcomes. A bootstrap SE attached to that width measures uncertainty about the estimated dispersion. There are two different layers again.</w:t>
      </w:r>
    </w:p>
    <w:p>
      <w:pPr>
        <w:pStyle w:val="Heading2"/>
      </w:pPr>
      <w:r>
        <w:t>Section 8.3 Why this matters</w:t>
      </w:r>
    </w:p>
    <w:p>
      <w:r>
        <w:t>A large sample may shrink MeanSE dramatically while leaving P25_P75 wide. That is expected. Adding the upper boundary’s SE changes the rule; P90 + SE is not still the same P90 forecast. Any adjusted rule needs its own calibration.</w:t>
      </w:r>
    </w:p>
    <w:p>
      <w:r>
        <w:t>Day-trading relevance: percentile zones explain how extended a move is relative to a historical distribution. Even a tail excursion can continue expanding. The unconditional daily quantile does not answer what happens next after a fast early-session touch.</w:t>
      </w:r>
    </w:p>
    <w:p>
      <w:pPr>
        <w:pStyle w:val="Heading1"/>
      </w:pPr>
      <w:r>
        <w:t>9 Projecting statistics into current prices</w:t>
      </w:r>
    </w:p>
    <w:p>
      <w:r>
        <w:rPr>
          <w:i/>
          <w:sz w:val="18"/>
        </w:rPr>
        <w:t>Source: section 9, lines 420–483.</w:t>
      </w:r>
    </w:p>
    <w:p>
      <w:r>
        <w:t>O* is the new session’s actual open. A* is the prior RTH ATR known for that session. k converts the historical units into current price points.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3106"/>
        <w:gridCol w:w="4076"/>
      </w:tblGrid>
      <w:tr>
        <w:trPr>
          <w:tblHeader/>
          <w:cantSplit/>
        </w:trPr>
        <w:tc>
          <w:tcPr>
            <w:tcW w:type="dxa" w:w="2523"/>
            <w:vAlign w:val="center"/>
            <w:tcMar>
              <w:top w:w="85" w:type="dxa"/>
              <w:left w:w="85" w:type="dxa"/>
              <w:bottom w:w="85" w:type="dxa"/>
              <w:right w:w="85" w:type="dxa"/>
            </w:tcMar>
            <w:shd w:fill="E5EAF0"/>
          </w:tcPr>
          <w:p>
            <w:pPr>
              <w:spacing w:after="40" w:before="40" w:line="245" w:lineRule="auto"/>
            </w:pPr>
            <w:r>
              <w:rPr>
                <w:b/>
                <w:sz w:val="20"/>
              </w:rPr>
              <w:t>Historical model</w:t>
            </w:r>
          </w:p>
        </w:tc>
        <w:tc>
          <w:tcPr>
            <w:tcW w:type="dxa" w:w="3106"/>
            <w:vAlign w:val="center"/>
            <w:tcMar>
              <w:top w:w="85" w:type="dxa"/>
              <w:left w:w="85" w:type="dxa"/>
              <w:bottom w:w="85" w:type="dxa"/>
              <w:right w:w="85" w:type="dxa"/>
            </w:tcMar>
            <w:shd w:fill="E5EAF0"/>
          </w:tcPr>
          <w:p>
            <w:pPr>
              <w:spacing w:after="40" w:before="40" w:line="245" w:lineRule="auto"/>
            </w:pPr>
            <w:r>
              <w:rPr>
                <w:b/>
                <w:sz w:val="20"/>
              </w:rPr>
              <w:t>k</w:t>
            </w:r>
          </w:p>
        </w:tc>
        <w:tc>
          <w:tcPr>
            <w:tcW w:type="dxa" w:w="4076"/>
            <w:vAlign w:val="center"/>
            <w:tcMar>
              <w:top w:w="85" w:type="dxa"/>
              <w:left w:w="85" w:type="dxa"/>
              <w:bottom w:w="85" w:type="dxa"/>
              <w:right w:w="85" w:type="dxa"/>
            </w:tcMar>
            <w:shd w:fill="E5EAF0"/>
          </w:tcPr>
          <w:p>
            <w:pPr>
              <w:spacing w:after="40" w:before="40" w:line="245" w:lineRule="auto"/>
            </w:pPr>
            <w:r>
              <w:rPr>
                <w:b/>
                <w:sz w:val="20"/>
              </w:rPr>
              <w:t>Example</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Points</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1</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40 points stays 40 points</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Percentage</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Current open ÷ 100</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At 6000, a statistic of 0.60 becomes 60 × 0.60 = 36 points</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ATR</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Current prior ATR</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At ATR 80, a statistic of 0.50 becomes 80 × 0.50 = 40 points</w:t>
            </w:r>
          </w:p>
        </w:tc>
      </w:tr>
    </w:tbl>
    <w:p>
      <w:pPr>
        <w:spacing w:after="20"/>
      </w:pPr>
    </w:p>
    <w:p>
      <w:pPr>
        <w:keepNext/>
        <w:spacing w:before="80"/>
        <w:ind w:left="216"/>
      </w:pPr>
      <w:r>
        <w:rPr>
          <w:rFonts w:ascii="Calibri" w:hAnsi="Calibri"/>
          <w:sz w:val="24"/>
        </w:rPr>
        <w:t>Upper = O* + k × upside statistic</w:t>
      </w:r>
    </w:p>
    <w:p>
      <w:pPr>
        <w:keepNext/>
        <w:spacing w:before="80"/>
        <w:ind w:left="216"/>
      </w:pPr>
      <w:r>
        <w:rPr>
          <w:rFonts w:ascii="Calibri" w:hAnsi="Calibri"/>
          <w:sz w:val="24"/>
        </w:rPr>
        <w:t>Lower = O* − k × downside statistic</w:t>
      </w:r>
    </w:p>
    <w:p>
      <w:r>
        <w:t>Add an upside distance and subtract a downside distance. Upside and downside statistics can differ. Different normalizations summarize transformations of the same underlying sessions, so agreement between them is not equivalent to three independent studies confirming a trade.</w:t>
      </w:r>
    </w:p>
    <w:p>
      <w:pPr>
        <w:pStyle w:val="Heading2"/>
      </w:pPr>
      <w:r>
        <w:t>Section 9.1 Reversing downside endpoints</w:t>
      </w:r>
    </w:p>
    <w:p>
      <w:r>
        <w:t>Let a = 15 and b = 50 be a downside distance interval. At O = 6000 and k = 1, the smaller distance gives 5985, while the larger distance gives 5950. Write the price interval in increasing numerical order: 5950–5985.</w:t>
      </w:r>
    </w:p>
    <w:p>
      <w:pPr>
        <w:keepNext/>
        <w:spacing w:before="80"/>
        <w:ind w:left="216"/>
      </w:pPr>
      <w:r>
        <w:rPr>
          <w:rFonts w:ascii="Calibri" w:hAnsi="Calibri"/>
          <w:sz w:val="24"/>
        </w:rPr>
        <w:t>HOD zone = [O* + k × a, O* + k × b]</w:t>
      </w:r>
    </w:p>
    <w:p>
      <w:pPr>
        <w:keepNext/>
        <w:spacing w:before="80"/>
        <w:ind w:left="216"/>
      </w:pPr>
      <w:r>
        <w:rPr>
          <w:rFonts w:ascii="Calibri" w:hAnsi="Calibri"/>
          <w:sz w:val="24"/>
        </w:rPr>
        <w:t>LOD zone = [O* − k × b, O* − k × a]</w:t>
      </w:r>
    </w:p>
    <w:p>
      <w:r>
        <w:t>Multiplication by a negative sign reverses order. This is the same algebra you learned when multiplying an inequality by −1. It also explains why a LOD zone’s lower-price edge comes from its higher downside percentile.</w:t>
      </w:r>
    </w:p>
    <w:p>
      <w:pPr>
        <w:pStyle w:val="Heading2"/>
      </w:pPr>
      <w:r>
        <w:t>Section 9.2 Reading the worked examples</w:t>
      </w:r>
    </w:p>
    <w:p>
      <w:r>
        <w:t>At open 6000, upside points P25/P75 of 20/60 give HOD zone 6020–6060. Downside 15/50 gives LOD zone 5950–5985. A final high of 6070 reached the HOD zone’s near edge but did not finish as a final extreme inside the zone. “Reached” and “final extreme inside” test different events.</w:t>
      </w:r>
    </w:p>
    <w:p>
      <w:r>
        <w:t>Percentage mean 0.60 gives 6000 + 6000 × 0.60 ÷ 100 = 6036. ATR mean 0.50 with A = 80 gives 6040. They are alternative fitted models; disagreement is possible.</w:t>
      </w:r>
    </w:p>
    <w:p>
      <w:pPr>
        <w:pStyle w:val="Heading2"/>
      </w:pPr>
      <w:r>
        <w:t>Section 9.3 Scaling estimator uncertainty</w:t>
      </w:r>
    </w:p>
    <w:p>
      <w:pPr>
        <w:keepNext/>
        <w:spacing w:before="80"/>
        <w:ind w:left="216"/>
      </w:pPr>
      <w:r>
        <w:rPr>
          <w:rFonts w:ascii="Calibri" w:hAnsi="Calibri"/>
          <w:sz w:val="24"/>
        </w:rPr>
        <w:t>Price SE = k × statistic SE</w:t>
      </w:r>
    </w:p>
    <w:p>
      <w:r>
        <w:t>If a percentage statistic has SE 0.03 percentage points and the open is 6000, price SE = 60 × 0.03 = 1.8 points. If an ATR statistic has SE 0.04 and A = 80, price SE = 3.2 points. Subtracting a distance on the downside does not make its SE negative; standard errors are nonnegative magnitudes.</w:t>
      </w:r>
    </w:p>
    <w:p>
      <w:r>
        <w:t>This calculation treats the supplied open and ATR as fixed constants. It does not quantify uncertainty about tomorrow’s volatility or add an ATR forecast error. If you transform a downside distance confidence interval, reverse its endpoints just as you reversed the zone endpoints.</w:t>
      </w:r>
    </w:p>
    <w:p>
      <w:r>
        <w:t>The statistical estimates can fall between tradable ticks. Displaying two decimal places is not a tick-rounding policy. Chart references and executable order prices require a deliberate distinction when a strategy is implemented.</w:t>
      </w:r>
    </w:p>
    <w:p>
      <w:pPr>
        <w:pStyle w:val="Heading1"/>
      </w:pPr>
      <w:r>
        <w:t>10 Outer envelopes and containment</w:t>
      </w:r>
    </w:p>
    <w:p>
      <w:r>
        <w:rPr>
          <w:i/>
          <w:sz w:val="18"/>
        </w:rPr>
        <w:t>Source: section 10, lines 484–528.</w:t>
      </w:r>
    </w:p>
    <w:p>
      <w:r>
        <w:t>An extreme zone is a band for one final high or low. An envelope is the full lower-to-upper region intended to contain the session range. It has one lower limit and one upper limit, rather than an inner and outer edge for each extreme.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3"/>
        <w:gridCol w:w="6503"/>
      </w:tblGrid>
      <w:tr>
        <w:trPr>
          <w:tblHeader/>
          <w:cantSplit/>
        </w:trPr>
        <w:tc>
          <w:tcPr>
            <w:tcW w:type="dxa" w:w="3203"/>
            <w:vAlign w:val="center"/>
            <w:tcMar>
              <w:top w:w="85" w:type="dxa"/>
              <w:left w:w="85" w:type="dxa"/>
              <w:bottom w:w="85" w:type="dxa"/>
              <w:right w:w="85" w:type="dxa"/>
            </w:tcMar>
            <w:shd w:fill="E5EAF0"/>
          </w:tcPr>
          <w:p>
            <w:pPr>
              <w:spacing w:after="40" w:before="40" w:line="245" w:lineRule="auto"/>
            </w:pPr>
            <w:r>
              <w:rPr>
                <w:b/>
                <w:sz w:val="20"/>
              </w:rPr>
              <w:t>Envelope</w:t>
            </w:r>
          </w:p>
        </w:tc>
        <w:tc>
          <w:tcPr>
            <w:tcW w:type="dxa" w:w="6503"/>
            <w:vAlign w:val="center"/>
            <w:tcMar>
              <w:top w:w="85" w:type="dxa"/>
              <w:left w:w="85" w:type="dxa"/>
              <w:bottom w:w="85" w:type="dxa"/>
              <w:right w:w="85" w:type="dxa"/>
            </w:tcMar>
            <w:shd w:fill="E5EAF0"/>
          </w:tcPr>
          <w:p>
            <w:pPr>
              <w:spacing w:after="40" w:before="40" w:line="245" w:lineRule="auto"/>
            </w:pPr>
            <w:r>
              <w:rPr>
                <w:b/>
                <w:sz w:val="20"/>
              </w:rPr>
              <w:t>Distance used on each side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Mean</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That side’s average</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MeanPlusSE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That side’s mean plus one IID SE, moving outward</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Q50</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That side’s median</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Q75</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That side’s 75th percentile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Q90</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That side’s 90th percentile</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Q95</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That side’s 95th percentile</w:t>
            </w:r>
          </w:p>
        </w:tc>
      </w:tr>
    </w:tbl>
    <w:p>
      <w:pPr>
        <w:spacing w:after="20"/>
      </w:pPr>
    </w:p>
    <w:p>
      <w:pPr>
        <w:keepNext/>
        <w:spacing w:before="80"/>
        <w:ind w:left="216"/>
      </w:pPr>
      <w:r>
        <w:rPr>
          <w:rFonts w:ascii="Calibri" w:hAnsi="Calibri"/>
          <w:sz w:val="24"/>
        </w:rPr>
        <w:t>Uq = O* + k × Qq_up</w:t>
      </w:r>
    </w:p>
    <w:p>
      <w:pPr>
        <w:keepNext/>
        <w:spacing w:before="80"/>
        <w:ind w:left="216"/>
      </w:pPr>
      <w:r>
        <w:rPr>
          <w:rFonts w:ascii="Calibri" w:hAnsi="Calibri"/>
          <w:sz w:val="24"/>
        </w:rPr>
        <w:t>Lq = O* − k × Qq_down</w:t>
      </w:r>
    </w:p>
    <w:p>
      <w:pPr>
        <w:keepNext/>
        <w:spacing w:before="80"/>
        <w:ind w:left="216"/>
      </w:pPr>
      <w:r>
        <w:rPr>
          <w:rFonts w:ascii="Calibri" w:hAnsi="Calibri"/>
          <w:sz w:val="24"/>
        </w:rPr>
        <w:t>Width = Uq − Lq = k × (Qq_up + Qq_down)</w:t>
      </w:r>
    </w:p>
    <w:p>
      <w:r>
        <w:t>With upside 90 points and downside 70, the envelope is 160 points wide. It is not 160 points on each side. Mean and MeanPlusSE have no built-in nominal coverage percentage.</w:t>
      </w:r>
    </w:p>
    <w:p>
      <w:pPr>
        <w:pStyle w:val="Heading2"/>
      </w:pPr>
      <w:r>
        <w:t>Why Q90 does not mean 90 percent joint containment</w:t>
      </w:r>
    </w:p>
    <w:p>
      <w:r>
        <w:t>Let A mean “the high respects the upper limit,” and B mean “the low respects the lower limit.” Entire-session containment requires A AND B. Even if each event has probability 0.90 in the future population, the probability that both happen depends on their relationship.</w:t>
      </w:r>
    </w:p>
    <w:p>
      <w:r>
        <w:t>Imagine 100 sessions with ten upper failures and ten lower failures. If the same ten sessions fail both sides, 90 sessions remain fully contained. If the two failure groups are disjoint, 20 sessions fail at least one side and only 80 remain contained. Those are the possible extremes under exactly calibrated equal marginals.</w:t>
      </w:r>
    </w:p>
    <w:p>
      <w:pPr>
        <w:keepNext/>
        <w:spacing w:before="80"/>
        <w:ind w:left="216"/>
      </w:pPr>
      <w:r>
        <w:rPr>
          <w:rFonts w:ascii="Calibri" w:hAnsi="Calibri"/>
          <w:sz w:val="24"/>
        </w:rPr>
        <w:t>max(0, 2q − 1) ≤ probability of both contained ≤ q</w:t>
      </w:r>
    </w:p>
    <w:p>
      <w:r>
        <w:t>The upper bound follows because “both” cannot be more frequent than either individual success. The lower bound follows because the two failure rates sum to at most 2(1 − q). For q = 0.90, the bounds are 0.80–0.90. For q = 0.95, they are 0.90–0.95. If independence happened to hold, q² would give 0.81 or 0.9025, but the project does not assume it.</w:t>
      </w:r>
    </w:p>
    <w:p>
      <w:r>
        <w:t>These theoretical bounds assume correctly calibrated future marginal probabilities. A sample P90 label does not guarantee that assumption. Regime change can make actual future marginal coverage different.</w:t>
      </w:r>
    </w:p>
    <w:p>
      <w:r>
        <w:t>A tiny upside excursion can stay inside the Q90 envelope but lie below the P10 near edge of a P10_P90 HOD zone. Thus “both final extremes in their central zones” is stricter than “neither extreme exceeds its outer boundary.”</w:t>
      </w:r>
    </w:p>
    <w:p>
      <w:pPr>
        <w:pStyle w:val="Heading1"/>
      </w:pPr>
      <w:r>
        <w:t>11 HOD and LOD timing statistics</w:t>
      </w:r>
    </w:p>
    <w:p>
      <w:r>
        <w:rPr>
          <w:i/>
          <w:sz w:val="18"/>
        </w:rPr>
        <w:t>Source: section 11, lines 529–577.</w:t>
      </w:r>
    </w:p>
    <w:p>
      <w:pPr>
        <w:pStyle w:val="Heading2"/>
      </w:pPr>
      <w:r>
        <w:t>Section 11.1 Converting a clock into a number</w:t>
      </w:r>
    </w:p>
    <w:p>
      <w:pPr>
        <w:keepNext/>
        <w:spacing w:before="80"/>
        <w:ind w:left="216"/>
      </w:pPr>
      <w:r>
        <w:rPr>
          <w:rFonts w:ascii="Calibri" w:hAnsi="Calibri"/>
          <w:sz w:val="24"/>
        </w:rPr>
        <w:t>t = 60 × hour + minute + second ÷ 60 − 570</w:t>
      </w:r>
    </w:p>
    <w:p>
      <w:r>
        <w:t>09:30 is 9 × 60 + 30 = 570 minutes after midnight. Subtract 570 so the RTH open becomes zero. At 10:15, 615 − 570 = 45 minutes. At 12:00, 720 − 570 = 150. At 16:00, the offset is 390.</w:t>
      </w:r>
    </w:p>
    <w:p>
      <w:r>
        <w:t>To convert back, add 570 and express the result in hours and minutes. Ordinary averages work because all times are in the same daytime interval; this is not the problematic case of averaging 23:59 and 00:01 across midnight.</w:t>
      </w:r>
    </w:p>
    <w:p>
      <w:pPr>
        <w:pStyle w:val="Heading2"/>
      </w:pPr>
      <w:r>
        <w:t>Section 11.2 Means medians and ranges</w:t>
      </w:r>
    </w:p>
    <w:p>
      <w:r>
        <w:t>Mean time averages the offsets. Median time splits the sorted labels in half. Percentile timing ranges describe the spread of individual recorded labels. Their SEs describe uncertainty about those estimates and are durations in minutes.</w:t>
      </w:r>
    </w:p>
    <w:p>
      <w:r>
        <w:t>Example: half the extremes occur at 09:45 and half at 15:45. The mean is 12:45 even though none occurred then. A mean can lie between two clusters. Median can also fall between them, depending on the sample and interpolation. The most frequent time window is a different concept: the mode.</w:t>
      </w:r>
    </w:p>
    <w:p>
      <w:r>
        <w:t>A printed 11:25:30 can come from arithmetic on one-minute labels. The extra “:30” does not make the input data accurate to half a minute. A mean with SE 2 minutes also does not mean tomorrow’s extreme should occur within two minutes of it.</w:t>
      </w:r>
    </w:p>
    <w:p>
      <w:pPr>
        <w:pStyle w:val="Heading2"/>
      </w:pPr>
      <w:r>
        <w:t>Section 11.3 Half hour windows</w:t>
      </w:r>
    </w:p>
    <w:p>
      <w:r>
        <w:t>The 390-minute session divides into 13 half-hour bins. Labels at 10:00 belong to 10:00–10:30; the final bin includes 16:00. These are bins of end labels, so the bar ending 10:00 may cover trading before 10:00 while belonging to the later label bin.</w:t>
      </w:r>
    </w:p>
    <w:p>
      <w:pPr>
        <w:keepNext/>
        <w:spacing w:before="80"/>
        <w:ind w:left="216"/>
      </w:pPr>
      <w:r>
        <w:rPr>
          <w:rFonts w:ascii="Calibri" w:hAnsi="Calibri"/>
          <w:sz w:val="24"/>
        </w:rPr>
        <w:t>Window share = count in that window ÷ all valid labels for that side</w:t>
      </w:r>
    </w:p>
    <w:p>
      <w:pPr>
        <w:keepNext/>
        <w:spacing w:before="80"/>
        <w:ind w:left="216"/>
      </w:pPr>
      <w:r>
        <w:rPr>
          <w:rFonts w:ascii="Calibri" w:hAnsi="Calibri"/>
          <w:sz w:val="24"/>
        </w:rPr>
        <w:t>Share SE_IID = √[p̂ × (1 − p̂) ÷ n]</w:t>
      </w:r>
    </w:p>
    <w:p>
      <w:r>
        <w:t>If 30 of 100 valid LOD labels are in a window, p̂ = 0.30. The independent-reference SE is √(0.30 × 0.70 ÷ 100) ≈ 0.0458, or 4.58 percentage points. The denominator is all valid low labels, not only mornings and not the number of trades.</w:t>
      </w:r>
    </w:p>
    <w:p>
      <w:r>
        <w:t>Is_Mode means the window is tied for the largest count. There can be several. Bootstrap_Mode_Inclusion_Rate measures how often the window is among the modes after resampling. It is a measure of stability of its modal status, not tomorrow’s event probability. Several windows can be modes in one resample, so their inclusion rates can sum above 100%.</w:t>
      </w:r>
    </w:p>
    <w:p>
      <w:pPr>
        <w:pStyle w:val="Heading2"/>
      </w:pPr>
      <w:r>
        <w:t>Section 11.4 Missing labels</w:t>
      </w:r>
    </w:p>
    <w:p>
      <w:r>
        <w:t>Valid OHLC can still contribute to price statistics when timing is unavailable. HOD and LOD timing therefore may use different sample sizes from price statistics. Read the corresponding N and invalid-time audit fields.</w:t>
      </w:r>
    </w:p>
    <w:p>
      <w:r>
        <w:t>Day-trading relevance: historical timing is a background distribution. At 10:30, the relevant remaining-session question conditions on what has already happened. These unconditional final-extreme time tables do not compute that conditional probability.</w:t>
      </w:r>
    </w:p>
    <w:p>
      <w:pPr>
        <w:pStyle w:val="Heading1"/>
      </w:pPr>
      <w:r>
        <w:t>12 Which extreme happened first</w:t>
      </w:r>
    </w:p>
    <w:p>
      <w:r>
        <w:rPr>
          <w:i/>
          <w:sz w:val="18"/>
        </w:rPr>
        <w:t>Source: section 12, lines 578–600.</w:t>
      </w:r>
    </w:p>
    <w:p>
      <w:r>
        <w:t>Compare the times of the final high and final low, using their first recorded occurrences. LOD_FIRST means the final low occurred first. HOD_FIRST means the final high occurred first. SAME_BAR leaves order unresolved within the source bar. A missing time also prevents a known ordering.</w:t>
      </w:r>
    </w:p>
    <w:p>
      <w:pPr>
        <w:keepNext/>
        <w:spacing w:before="80"/>
        <w:ind w:left="216"/>
      </w:pPr>
      <w:r>
        <w:rPr>
          <w:rFonts w:ascii="Calibri" w:hAnsi="Calibri"/>
          <w:sz w:val="24"/>
        </w:rPr>
        <w:t>LOD to HOD ratio = N_L ÷ N_H</w:t>
      </w:r>
    </w:p>
    <w:p>
      <w:pPr>
        <w:keepNext/>
        <w:spacing w:before="80"/>
        <w:ind w:left="216"/>
      </w:pPr>
      <w:r>
        <w:rPr>
          <w:rFonts w:ascii="Calibri" w:hAnsi="Calibri"/>
          <w:sz w:val="24"/>
        </w:rPr>
        <w:t>LOD first share = N_L ÷ (N_L + N_H)</w:t>
      </w:r>
    </w:p>
    <w:p>
      <w:r>
        <w:t>For 60 low-first days and 40 high-first days, ratio = 60 ÷ 40 = 1.5; share = 60 ÷ 100 = 0.60 = 60%. A ratio can exceed 1; a probability cannot exceed 1. With ratio r and known ordering, share = r ÷ (1 + r), so 1.5 ÷ 2.5 = 0.60.</w:t>
      </w:r>
    </w:p>
    <w:p>
      <w:r>
        <w:t>If 10 additional sessions are SAME_BAR, they do not turn the share into 60/110. The published share is explicitly conditional on having a known strict order. Its coverage of all sessions depends on how much ordering is missing.</w:t>
      </w:r>
    </w:p>
    <w:p>
      <w:r>
        <w:t>If N_H = 0, the ratio is undefined. null or None is a missing value, not a zero ratio. Some bootstrap replicates can have this problem even if the original sample does not; the valid and undefined replicate counts describe it.</w:t>
      </w:r>
    </w:p>
    <w:p>
      <w:r>
        <w:t>Day-trading relevance: this is retrospective ordering of final extremes. A historical 53% low-first share does not identify the live low, predict a bullish close with 53% probability, or prove that buying the opening dip has an advantage.</w:t>
      </w:r>
    </w:p>
    <w:p>
      <w:pPr>
        <w:pStyle w:val="Heading1"/>
      </w:pPr>
      <w:r>
        <w:t>13 Full history recent windows and regime change</w:t>
      </w:r>
    </w:p>
    <w:p>
      <w:r>
        <w:rPr>
          <w:i/>
          <w:sz w:val="18"/>
        </w:rPr>
        <w:t>Source: section 13, lines 601–623.</w:t>
      </w:r>
    </w:p>
    <w:p>
      <w:r>
        <w:t>A cohort is the historical group selected for one calculation. All uses all eligible earlier rows. Last60 uses up to the latest 60 eligible rows. Last252 uses up to 252. A custom LastN is added with --lookback. These are observations, not necessarily calendar days.</w:t>
      </w:r>
    </w:p>
    <w:p>
      <w:r>
        <w:t>All becomes an expanding window if you rerun it daily: yesterday’s sample plus the newest completed row. A rolling window adds the new row and drops the oldest once full. All offers more data; recent cohorts put more emphasis on the current period by excluding older periods entirely.</w:t>
      </w:r>
    </w:p>
    <w:p>
      <w:r>
        <w:t>Small sample versus stale sample is the tradeoff. Last60 has little direct information about rare tails: 5% of 60 is only three observations, a useful intuition for why P95 can be unstable. All may estimate an older mixed-regime distribution very precisely while missing today’s conditions.</w:t>
      </w:r>
    </w:p>
    <w:p>
      <w:r>
        <w:t>Date filtering occurs before cohort selection. Rows on or after the forecast date are excluded. ATR-unavailable rows are then omitted within the selected cohort’s ATR distribution. Last60 does not automatically extend backward to find 60 valid ATR values.</w:t>
      </w:r>
    </w:p>
    <w:p>
      <w:r>
        <w:t>The cohorts overlap. You cannot treat their difference as the difference between two independent experiments. In general, variance of a difference equals variance one plus variance two minus twice their covariance. That covariance is not automatically zero for overlapping samples. This explanatory identity is not a drift test implemented by the project.</w:t>
      </w:r>
    </w:p>
    <w:p>
      <w:r>
        <w:t>“Stationarity” means relevant distributional behavior stays stable over time. Neither rolling windows nor ATR division proves it. IV and GJR-GARCH are mentioned as possible future volatility approaches: IV is volatility inferred from option prices; GJR-GARCH is a time-series variance model allowing asymmetric shock effects. Their equations and blend weights are not part of this README’s implemented model.</w:t>
      </w:r>
    </w:p>
    <w:p>
      <w:r>
        <w:t>Day-trading relevance: compare recent and long-history values as a diagnostic. Do not select whichever cohort happens to make your preferred trade look best after seeing today’s movement.</w:t>
      </w:r>
    </w:p>
    <w:p>
      <w:pPr>
        <w:pStyle w:val="Heading1"/>
      </w:pPr>
      <w:r>
        <w:t>14 How to run both commands</w:t>
      </w:r>
    </w:p>
    <w:p>
      <w:r>
        <w:rPr>
          <w:i/>
          <w:sz w:val="18"/>
        </w:rPr>
        <w:t>Source: section 14, lines 624–735. These are operational instructions documented by the README, not commands run for this guide.</w:t>
      </w:r>
    </w:p>
    <w:p>
      <w:pPr>
        <w:pStyle w:val="Heading2"/>
      </w:pPr>
      <w:r>
        <w:t>Section 14.1 Installation</w:t>
      </w:r>
    </w:p>
    <w:p>
      <w:r>
        <w:t>python tells the system to run Python. The script filename selects the program. pandas and numpy are data and numerical libraries; tzdata supplies timezone definitions where needed. Match the actual filenames, including _v2 and _v4.</w:t>
      </w:r>
    </w:p>
    <w:p>
      <w:r>
        <w:rPr>
          <w:rFonts w:ascii="Consolas" w:hAnsi="Consolas"/>
          <w:sz w:val="18"/>
        </w:rPr>
        <w:t>python -m pip install pandas numpy tzdata</w:t>
      </w:r>
    </w:p>
    <w:p>
      <w:pPr>
        <w:pStyle w:val="Heading2"/>
      </w:pPr>
      <w:r>
        <w:t>Section 14.2 Converter command</w:t>
      </w:r>
    </w:p>
    <w:p>
      <w:r>
        <w:rPr>
          <w:rFonts w:ascii="Consolas" w:hAnsi="Consolas"/>
          <w:sz w:val="18"/>
        </w:rPr>
        <w:t>python 01_build_rth_sessions_v2.py raw_ohlcv.csv --source-timezone America/New_York --timestamp-label start --timeframe 1 --output sessions.csv --no-download</w:t>
      </w:r>
    </w:p>
    <w:p>
      <w:r>
        <w:t>The raw filename is the input. Each --name introduces a setting; its following value belongs to it unless it is a simple on/off flag. This example assumes real Eastern start-labeled one-minute data. It is not a universal setting for all exports.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3"/>
        <w:gridCol w:w="6503"/>
      </w:tblGrid>
      <w:tr>
        <w:trPr>
          <w:tblHeader/>
          <w:cantSplit/>
        </w:trPr>
        <w:tc>
          <w:tcPr>
            <w:tcW w:type="dxa" w:w="3203"/>
            <w:vAlign w:val="center"/>
            <w:tcMar>
              <w:top w:w="85" w:type="dxa"/>
              <w:left w:w="85" w:type="dxa"/>
              <w:bottom w:w="85" w:type="dxa"/>
              <w:right w:w="85" w:type="dxa"/>
            </w:tcMar>
            <w:shd w:fill="E5EAF0"/>
          </w:tcPr>
          <w:p>
            <w:pPr>
              <w:spacing w:after="40" w:before="40" w:line="245" w:lineRule="auto"/>
            </w:pPr>
            <w:r>
              <w:rPr>
                <w:b/>
                <w:sz w:val="20"/>
              </w:rPr>
              <w:t>Converter argument</w:t>
            </w:r>
          </w:p>
        </w:tc>
        <w:tc>
          <w:tcPr>
            <w:tcW w:type="dxa" w:w="6503"/>
            <w:vAlign w:val="center"/>
            <w:tcMar>
              <w:top w:w="85" w:type="dxa"/>
              <w:left w:w="85" w:type="dxa"/>
              <w:bottom w:w="85" w:type="dxa"/>
              <w:right w:w="85" w:type="dxa"/>
            </w:tcMar>
            <w:shd w:fill="E5EAF0"/>
          </w:tcPr>
          <w:p>
            <w:pPr>
              <w:spacing w:after="40" w:before="40" w:line="245" w:lineRule="auto"/>
            </w:pPr>
            <w:r>
              <w:rPr>
                <w:b/>
                <w:sz w:val="20"/>
              </w:rPr>
              <w:t>Read it as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input_csv</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Which raw file to process; omission starts an upload or path prompt</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--output</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Where to write accepted session rows; not the raw input path</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--timeframe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Actual interval: auto, 1, 5, or 15</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--source-timezone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Clock used by the raw export before conversion</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--timestamp-label</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Whether raw labels mark start or end</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--date-format</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How ambiguous date text is ordered; %m is month, %d day, %Y four-digit year</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--chunksize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Rows read per memory chunk; default 200000; not a trading lookback</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--no-download</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Suppress the download helper; output files are still written</w:t>
            </w:r>
          </w:p>
        </w:tc>
      </w:tr>
    </w:tbl>
    <w:p>
      <w:pPr>
        <w:spacing w:after="20"/>
      </w:pPr>
    </w:p>
    <w:p>
      <w:r>
        <w:t>Accepted CSV, excluded-date CSV, and metadata JSON have different jobs: observations, rejection explanations, and settings/provenance. A header-only accepted CSV means no complete sessions passed, not that the market had zero range.</w:t>
      </w:r>
    </w:p>
    <w:p>
      <w:pPr>
        <w:pStyle w:val="Heading2"/>
      </w:pPr>
      <w:r>
        <w:t>Sections 14.3 and 14.4 Statistics and projection</w:t>
      </w:r>
    </w:p>
    <w:p>
      <w:r>
        <w:t>--stats-only calculates historical distributions without translating them around a current open. Projection additionally needs the actual forecast-session RTH opening price. An arbitrary open shifts or rescales the levels and produces an illustration rather than that day’s true references.</w:t>
      </w:r>
    </w:p>
    <w:p>
      <w:r>
        <w:rPr>
          <w:rFonts w:ascii="Consolas" w:hAnsi="Consolas"/>
          <w:sz w:val="18"/>
        </w:rPr>
        <w:t>python 02_calculate_rth_levels_v4.py sessions.csv --forecast-date 2026-09-11 --open 6000 --display-window Last252 --output-dir levels_2026_09_11</w:t>
      </w:r>
    </w:p>
    <w:p>
      <w:r>
        <w:t>This is the README’s dated example, not a current market instruction. The default projection ATR is the latest available ending ATR strictly before the forecast date, taken before optional historical estimation-date filters. Historical normalized observations still each use their own prior ATR.</w:t>
      </w:r>
    </w:p>
    <w:p>
      <w:r>
        <w:t>If the input is stale, “latest available” may not mean “yesterday.” The calculator does not fetch missing sessions or magically update ATR for a distant future date. Check the last available date before interpreting a projection as current.</w:t>
      </w:r>
    </w:p>
    <w:p>
      <w:pPr>
        <w:pStyle w:val="Heading2"/>
      </w:pPr>
      <w:r>
        <w:t>Section 14.5 Every calculator argument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3"/>
        <w:gridCol w:w="6503"/>
      </w:tblGrid>
      <w:tr>
        <w:trPr>
          <w:tblHeader/>
          <w:cantSplit/>
        </w:trPr>
        <w:tc>
          <w:tcPr>
            <w:tcW w:type="dxa" w:w="3203"/>
            <w:vAlign w:val="center"/>
            <w:tcMar>
              <w:top w:w="85" w:type="dxa"/>
              <w:left w:w="85" w:type="dxa"/>
              <w:bottom w:w="85" w:type="dxa"/>
              <w:right w:w="85" w:type="dxa"/>
            </w:tcMar>
            <w:shd w:fill="E5EAF0"/>
          </w:tcPr>
          <w:p>
            <w:pPr>
              <w:spacing w:after="40" w:before="40" w:line="245" w:lineRule="auto"/>
            </w:pPr>
            <w:r>
              <w:rPr>
                <w:b/>
                <w:sz w:val="20"/>
              </w:rPr>
              <w:t>Argument</w:t>
            </w:r>
          </w:p>
        </w:tc>
        <w:tc>
          <w:tcPr>
            <w:tcW w:type="dxa" w:w="6503"/>
            <w:vAlign w:val="center"/>
            <w:tcMar>
              <w:top w:w="85" w:type="dxa"/>
              <w:left w:w="85" w:type="dxa"/>
              <w:bottom w:w="85" w:type="dxa"/>
              <w:right w:w="85" w:type="dxa"/>
            </w:tcMar>
            <w:shd w:fill="E5EAF0"/>
          </w:tcPr>
          <w:p>
            <w:pPr>
              <w:spacing w:after="40" w:before="40" w:line="245" w:lineRule="auto"/>
            </w:pPr>
            <w:r>
              <w:rPr>
                <w:b/>
                <w:sz w:val="20"/>
              </w:rPr>
              <w:t>Meaning and consequence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session_csv</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Input file of completed sessions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--open</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Actual RTH open anchor; prompted if omitted outside stats-only mode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--current-atr</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Override current projection scale; does not rewrite historical normalized observations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--forecast-date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Exclude this date and all later dates from training; set explicitly</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--start</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Inclusive earliest training date</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--end</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Inclusive latest training date, still subject to strict forecast cutoff</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--lookback</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Add a custom exported cohort with at least two requested sessions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--display-window</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Console cohort: All, Last60, or Last252; custom LastN is not accepted here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--bootstrap</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Number of resamples; default 1000, minimum 100</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--block-length</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Requested consecutive rows per block; default 5, positive integer</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--seed</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Reproducible base random seed, default 731</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--stats-only</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Skip price projections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--output-dir</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Directory for this run; use a distinct dated location</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--summary-output</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Alternate path for statistical_summary.csv</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--levels-output</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Alternate path for projected_zones.csv; does not relocate every other output</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--timing-output</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Alternate path for timing_summary.json</w:t>
            </w:r>
          </w:p>
        </w:tc>
      </w:tr>
    </w:tbl>
    <w:p>
      <w:pPr>
        <w:spacing w:after="20"/>
      </w:pPr>
    </w:p>
    <w:p>
      <w:r>
        <w:t>--start in this calculator restricts training history. The earlier backtester used the same flag name for test-period start. The English name is not enough; read the specific program’s definition.</w:t>
      </w:r>
    </w:p>
    <w:p>
      <w:pPr>
        <w:pStyle w:val="Heading2"/>
      </w:pPr>
      <w:r>
        <w:t>Section 14.6 Colab</w:t>
      </w:r>
    </w:p>
    <w:p>
      <w:r>
        <w:t>Uploading a script does not execute it. %run executes an uploaded script in Colab. Pasting the whole standalone script is another documented route. Command 1 attempts automatic download; Command 2 writes files that you can download using the Files panel or files.download. The injected -f argument is notebook infrastructure, which the documented scripts filter out; it is not a forecasting parameter.</w:t>
      </w:r>
    </w:p>
    <w:p>
      <w:pPr>
        <w:pStyle w:val="Heading1"/>
      </w:pPr>
      <w:r>
        <w:t>15 Reading every kind of console output</w:t>
      </w:r>
    </w:p>
    <w:p>
      <w:r>
        <w:rPr>
          <w:i/>
          <w:sz w:val="18"/>
        </w:rPr>
        <w:t>Source: section 15, lines 736–775.</w:t>
      </w:r>
    </w:p>
    <w:p>
      <w:r>
        <w:t>Read output in this order: data eligibility, cohort and actual N, model and units, zone or envelope type, price boundaries, then estimator uncertainty. This order prevents attaching a meaningful-looking number to the wrong sample or definition.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3"/>
        <w:gridCol w:w="6503"/>
      </w:tblGrid>
      <w:tr>
        <w:trPr>
          <w:tblHeader/>
          <w:cantSplit/>
        </w:trPr>
        <w:tc>
          <w:tcPr>
            <w:tcW w:type="dxa" w:w="3203"/>
            <w:vAlign w:val="center"/>
            <w:tcMar>
              <w:top w:w="85" w:type="dxa"/>
              <w:left w:w="85" w:type="dxa"/>
              <w:bottom w:w="85" w:type="dxa"/>
              <w:right w:w="85" w:type="dxa"/>
            </w:tcMar>
            <w:shd w:fill="E5EAF0"/>
          </w:tcPr>
          <w:p>
            <w:pPr>
              <w:spacing w:after="40" w:before="40" w:line="245" w:lineRule="auto"/>
            </w:pPr>
            <w:r>
              <w:rPr>
                <w:b/>
                <w:sz w:val="20"/>
              </w:rPr>
              <w:t>Printed item</w:t>
            </w:r>
          </w:p>
        </w:tc>
        <w:tc>
          <w:tcPr>
            <w:tcW w:type="dxa" w:w="6503"/>
            <w:vAlign w:val="center"/>
            <w:tcMar>
              <w:top w:w="85" w:type="dxa"/>
              <w:left w:w="85" w:type="dxa"/>
              <w:bottom w:w="85" w:type="dxa"/>
              <w:right w:w="85" w:type="dxa"/>
            </w:tcMar>
            <w:shd w:fill="E5EAF0"/>
          </w:tcPr>
          <w:p>
            <w:pPr>
              <w:spacing w:after="40" w:before="40" w:line="245" w:lineRule="auto"/>
            </w:pPr>
            <w:r>
              <w:rPr>
                <w:b/>
                <w:sz w:val="20"/>
              </w:rPr>
              <w:t>What to understand</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Read source bars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Raw processing progress, including bars outside RTH</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Converted complete sessions and excluded dates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How many full accepted observations survived</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Timeframe and expected count</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Whether the selected interval agrees with full RTH coverage</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ATR14 warm-up</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ATR is not yet available; blanks are intentional</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Converted CSV, Exclusions, Settings/audit</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Locations of the three different outputs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Calculating All / Last60 / Last252</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Selected row counts before each metric’s missing-value exclusions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Only n of requested sessions available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The cohort name does not imply the requested sample size was reached</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Small sample block reduced</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Tiny-sample bootstrap safeguard activated</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HISTORICAL TIMING</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Statistics of final extreme labels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LOD/HOD average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Mean clock time; its SE is in minutes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LOD/HOD median plus or minus minutes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Median and its estimator SE, not a forecast arrival window</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Timing P25–P75 and endpoint SEs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Spread interval plus uncertainty of its boundaries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Modal window and percent of sessions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Most frequent bin and historical frequency; ties possible</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LOD-first/HOD-first</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Count ratio; not a percentage or a direction signal</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POINTS LEVELS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Raw-distance statistics projected into prices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PERCENTAGE LEVELS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Percentage-normalized statistics converted back to price levels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ATR LEVELS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ATR-normalized statistics converted back to price levels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HOD or LOD MeanSE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Area around the estimated mean excursion</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HOD or LOD P25_P75</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Central historical 50% distance zone projected into prices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HOD or LOD P10_P90</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Central historical 80% distance zone projected into prices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Boundary block SE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Separate estimator uncertainties for the displayed low and high price edges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Q90 or Q95 envelope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Two marginal percentile limits; no measured joint future probability is printed</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Unavailable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Necessary sample or input missing; not a zero estimate</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Files saved in</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Directory containing detailed outputs and other cohorts</w:t>
            </w:r>
          </w:p>
        </w:tc>
      </w:tr>
    </w:tbl>
    <w:p>
      <w:pPr>
        <w:spacing w:after="20"/>
      </w:pPr>
    </w:p>
    <w:p>
      <w:r>
        <w:t>For the README’s invented line “HOD P25_P75: 6020.00–6060.00; boundary block SE: 2.00, 4.00 points,” identify four things. HOD is the upside. P25_P75 identifies the central historical distance interval. 6020–6060 are projected prices. The two SEs concern the estimated lower and upper boundaries separately. The line supplies no trade win rate.</w:t>
      </w:r>
    </w:p>
    <w:p>
      <w:r>
        <w:t>The console is only a selected display. Mean centers and additional envelopes such as Mean, Q50, and Q75 can be present in exported files even when not printed. Displaying one cohort does not stop the others from being calculated.</w:t>
      </w:r>
    </w:p>
    <w:p>
      <w:pPr>
        <w:pStyle w:val="Heading1"/>
      </w:pPr>
      <w:r>
        <w:t>16 CSV and JSON output dictionary</w:t>
      </w:r>
    </w:p>
    <w:p>
      <w:r>
        <w:rPr>
          <w:i/>
          <w:sz w:val="18"/>
        </w:rPr>
        <w:t>Source: section 16, lines 776–894.</w:t>
      </w:r>
    </w:p>
    <w:p>
      <w:r>
        <w:t>CSV is a table of rows and columns. JSON organizes named values inside nested objects and lists. They are two representations of data, not different forecasting methods. To read a row correctly, first identify its configuration keys.</w:t>
      </w:r>
    </w:p>
    <w:p>
      <w:pPr>
        <w:pStyle w:val="Heading2"/>
      </w:pPr>
      <w:r>
        <w:t>Section 16.1 Converter audits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3"/>
        <w:gridCol w:w="6503"/>
      </w:tblGrid>
      <w:tr>
        <w:trPr>
          <w:tblHeader/>
          <w:cantSplit/>
        </w:trPr>
        <w:tc>
          <w:tcPr>
            <w:tcW w:type="dxa" w:w="3203"/>
            <w:vAlign w:val="center"/>
            <w:tcMar>
              <w:top w:w="85" w:type="dxa"/>
              <w:left w:w="85" w:type="dxa"/>
              <w:bottom w:w="85" w:type="dxa"/>
              <w:right w:w="85" w:type="dxa"/>
            </w:tcMar>
            <w:shd w:fill="E5EAF0"/>
          </w:tcPr>
          <w:p>
            <w:pPr>
              <w:spacing w:after="40" w:before="40" w:line="245" w:lineRule="auto"/>
            </w:pPr>
            <w:r>
              <w:rPr>
                <w:b/>
                <w:sz w:val="20"/>
              </w:rPr>
              <w:t>Exclusion field</w:t>
            </w:r>
          </w:p>
        </w:tc>
        <w:tc>
          <w:tcPr>
            <w:tcW w:type="dxa" w:w="6503"/>
            <w:vAlign w:val="center"/>
            <w:tcMar>
              <w:top w:w="85" w:type="dxa"/>
              <w:left w:w="85" w:type="dxa"/>
              <w:bottom w:w="85" w:type="dxa"/>
              <w:right w:w="85" w:type="dxa"/>
            </w:tcMar>
            <w:shd w:fill="E5EAF0"/>
          </w:tcPr>
          <w:p>
            <w:pPr>
              <w:spacing w:after="40" w:before="40" w:line="245" w:lineRule="auto"/>
            </w:pPr>
            <w:r>
              <w:rPr>
                <w:b/>
                <w:sz w:val="20"/>
              </w:rPr>
              <w:t>Explanation</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Date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Rejected date after interpreting the source clock</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Reasons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Failed rules, possibly more than one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Expected_Bars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Required count for the interval</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Observed_Bars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Overlapping raw records, including invalid or duplicate ones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Duplicate_Bars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Extra repeated timestamps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Missing_Bars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Expected labels not found</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First_Missing_Labels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First examples of missing end labels to investigate</w:t>
            </w:r>
          </w:p>
        </w:tc>
      </w:tr>
    </w:tbl>
    <w:p>
      <w:pPr>
        <w:spacing w:after="20"/>
      </w:pPr>
    </w:p>
    <w:p>
      <w:r>
        <w:t>METADATA records the input fingerprint, rows, label range, timezone, date parsing, bar-label convention, interval selection, RTH definition, accepted/excluded counts and dates, and ATR convention. SHA-256 is a file fingerprint: it helps identify identical bytes. It cannot prove the bytes accurately describe the market.</w:t>
      </w:r>
    </w:p>
    <w:p>
      <w:pPr>
        <w:pStyle w:val="Heading2"/>
      </w:pPr>
      <w:r>
        <w:t>Section 16.2 Statistical summary</w:t>
      </w:r>
    </w:p>
    <w:p>
      <w:r>
        <w:t>One row is one cohort × model × side × metric. The multiplication symbol here means a combination of categories, not multiplying their text values. Example: Last252, ATR, HOD, P90 describes one threshold in one specific historical distribution.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3"/>
        <w:gridCol w:w="6503"/>
      </w:tblGrid>
      <w:tr>
        <w:trPr>
          <w:tblHeader/>
          <w:cantSplit/>
        </w:trPr>
        <w:tc>
          <w:tcPr>
            <w:tcW w:type="dxa" w:w="3203"/>
            <w:vAlign w:val="center"/>
            <w:tcMar>
              <w:top w:w="85" w:type="dxa"/>
              <w:left w:w="85" w:type="dxa"/>
              <w:bottom w:w="85" w:type="dxa"/>
              <w:right w:w="85" w:type="dxa"/>
            </w:tcMar>
            <w:shd w:fill="E5EAF0"/>
          </w:tcPr>
          <w:p>
            <w:pPr>
              <w:spacing w:after="40" w:before="40" w:line="245" w:lineRule="auto"/>
            </w:pPr>
            <w:r>
              <w:rPr>
                <w:b/>
                <w:sz w:val="20"/>
              </w:rPr>
              <w:t>Field</w:t>
            </w:r>
          </w:p>
        </w:tc>
        <w:tc>
          <w:tcPr>
            <w:tcW w:type="dxa" w:w="6503"/>
            <w:vAlign w:val="center"/>
            <w:tcMar>
              <w:top w:w="85" w:type="dxa"/>
              <w:left w:w="85" w:type="dxa"/>
              <w:bottom w:w="85" w:type="dxa"/>
              <w:right w:w="85" w:type="dxa"/>
            </w:tcMar>
            <w:shd w:fill="E5EAF0"/>
          </w:tcPr>
          <w:p>
            <w:pPr>
              <w:spacing w:after="40" w:before="40" w:line="245" w:lineRule="auto"/>
            </w:pPr>
            <w:r>
              <w:rPr>
                <w:b/>
                <w:sz w:val="20"/>
              </w:rPr>
              <w:t>How to read it</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Cohort</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Historical group selected</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Model</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Points, Percentage, ATR, or Time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Side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HOD or LOD</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Metric</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Mean; P10/P25/P50/P75/P90/P95; MeanSE_Low/High; or either width</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N</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Finite observations actually used</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Value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Estimate in the Unit column, not necessarily a projected price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Unit</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points, percentage_points, ATR, or minutes_after_09:30</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Clock_Time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Readable clock for time locations; blank for durations or other models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SE_IID</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Mean’s IID SE only on Mean rows; blank elsewhere is not zero</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SE_Block</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Bootstrap estimator uncertainty in the same units as Value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CI95_Low and CI95_High</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Bootstrap confidence limits for that statistic</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Valid_Replicates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Finite resample estimates retained</w:t>
            </w:r>
          </w:p>
        </w:tc>
      </w:tr>
    </w:tbl>
    <w:p>
      <w:pPr>
        <w:spacing w:after="20"/>
      </w:pPr>
    </w:p>
    <w:p>
      <w:r>
        <w:t>For a Time width row, the inherited unit label minutes_after_09:30 is potentially confusing: a width of 100 means a 100-minute duration, not 11:10. Sample_SD is in nested JSON rather than a separate flattened metric row.</w:t>
      </w:r>
    </w:p>
    <w:p>
      <w:pPr>
        <w:pStyle w:val="Heading2"/>
      </w:pPr>
      <w:r>
        <w:t>Section 16.3 Timing windows</w:t>
      </w:r>
    </w:p>
    <w:p>
      <w:r>
        <w:t>Cohort, Side, and Window identify a bin. Count is the number of labels in it. Share is a fraction of all valid labels for that side. Share_SE_IID is its independent-reference uncertainty. SE_Block, CI95 limits, and Valid_Replicates describe its resampling uncertainty. Is_Mode flags highest observed frequency. Bootstrap_Mode_Inclusion_Rate measures how often it retains modal status after resampling.</w:t>
      </w:r>
    </w:p>
    <w:p>
      <w:r>
        <w:t>Share = 0.293 means 29.3%. SE_Block = 0.0074 means 0.74 percentage points. Multiply both by 100 to change fractional probability units to percentage units. Do not multiply one but forget the other.</w:t>
      </w:r>
    </w:p>
    <w:p>
      <w:pPr>
        <w:pStyle w:val="Heading2"/>
      </w:pPr>
      <w:r>
        <w:t>Section 16.4 Timing summary JSON</w:t>
      </w:r>
    </w:p>
    <w:p>
      <w:r>
        <w:t>Timing_Minutes_After_Open contains N, Sample_SD, Mean_SE_IID, Estimates, Uncertainty, and Clock_Estimates. Thirty_Minute_Windows contains all bins; Modal_Windows contains the observed winners, including ties. These are containers holding the quantities already explained.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3"/>
        <w:gridCol w:w="6503"/>
      </w:tblGrid>
      <w:tr>
        <w:trPr>
          <w:tblHeader/>
          <w:cantSplit/>
        </w:trPr>
        <w:tc>
          <w:tcPr>
            <w:tcW w:type="dxa" w:w="3203"/>
            <w:vAlign w:val="center"/>
            <w:tcMar>
              <w:top w:w="85" w:type="dxa"/>
              <w:left w:w="85" w:type="dxa"/>
              <w:bottom w:w="85" w:type="dxa"/>
              <w:right w:w="85" w:type="dxa"/>
            </w:tcMar>
            <w:shd w:fill="E5EAF0"/>
          </w:tcPr>
          <w:p>
            <w:pPr>
              <w:spacing w:after="40" w:before="40" w:line="245" w:lineRule="auto"/>
            </w:pPr>
            <w:r>
              <w:rPr>
                <w:b/>
                <w:sz w:val="20"/>
              </w:rPr>
              <w:t>Order field</w:t>
            </w:r>
          </w:p>
        </w:tc>
        <w:tc>
          <w:tcPr>
            <w:tcW w:type="dxa" w:w="6503"/>
            <w:vAlign w:val="center"/>
            <w:tcMar>
              <w:top w:w="85" w:type="dxa"/>
              <w:left w:w="85" w:type="dxa"/>
              <w:bottom w:w="85" w:type="dxa"/>
              <w:right w:w="85" w:type="dxa"/>
            </w:tcMar>
            <w:shd w:fill="E5EAF0"/>
          </w:tcPr>
          <w:p>
            <w:pPr>
              <w:spacing w:after="40" w:before="40" w:line="245" w:lineRule="auto"/>
            </w:pPr>
            <w:r>
              <w:rPr>
                <w:b/>
                <w:sz w:val="20"/>
              </w:rPr>
              <w:t>Meaning</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LOD_First and HOD_First</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Known strict-order counts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Same_Bar</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Equal recorded labels; intrabar order unresolved</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Missing_Pair</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At least one timing value unavailable</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Known_Order_N</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Sum of the two strict-order counts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LOD_First_Share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Low-first count divided by known-order count</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Share_SE_IID</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Independent-reference SE of the share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Share_Uncertainty</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Block SE, confidence limits, and replicate count for the share</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LOD_to_HOD_Ratio</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Low-first count divided by high-first count</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Ratio_Uncertainty</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Resampling uncertainty of that ratio</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Undefined_Ratio_Replicates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Resamples with zero high-first denominator</w:t>
            </w:r>
          </w:p>
        </w:tc>
      </w:tr>
    </w:tbl>
    <w:p>
      <w:pPr>
        <w:spacing w:after="20"/>
      </w:pPr>
    </w:p>
    <w:p>
      <w:pPr>
        <w:pStyle w:val="Heading2"/>
      </w:pPr>
      <w:r>
        <w:t>Section 16.5 Projected zones</w:t>
      </w:r>
    </w:p>
    <w:p>
      <w:r>
        <w:t>One row is cohort × model × side × zone. Three cohorts × three models × two sides × three zones = 54 possible default rows when all models are available. This is 54 configurations, not 54 independent pieces of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3"/>
        <w:gridCol w:w="6503"/>
      </w:tblGrid>
      <w:tr>
        <w:trPr>
          <w:tblHeader/>
          <w:cantSplit/>
        </w:trPr>
        <w:tc>
          <w:tcPr>
            <w:tcW w:type="dxa" w:w="3203"/>
            <w:vAlign w:val="center"/>
            <w:tcMar>
              <w:top w:w="85" w:type="dxa"/>
              <w:left w:w="85" w:type="dxa"/>
              <w:bottom w:w="85" w:type="dxa"/>
              <w:right w:w="85" w:type="dxa"/>
            </w:tcMar>
            <w:shd w:fill="E5EAF0"/>
          </w:tcPr>
          <w:p>
            <w:pPr>
              <w:spacing w:after="40" w:before="40" w:line="245" w:lineRule="auto"/>
            </w:pPr>
            <w:r>
              <w:rPr>
                <w:b/>
                <w:sz w:val="20"/>
              </w:rPr>
              <w:t>Field</w:t>
            </w:r>
          </w:p>
        </w:tc>
        <w:tc>
          <w:tcPr>
            <w:tcW w:type="dxa" w:w="6503"/>
            <w:vAlign w:val="center"/>
            <w:tcMar>
              <w:top w:w="85" w:type="dxa"/>
              <w:left w:w="85" w:type="dxa"/>
              <w:bottom w:w="85" w:type="dxa"/>
              <w:right w:w="85" w:type="dxa"/>
            </w:tcMar>
            <w:shd w:fill="E5EAF0"/>
          </w:tcPr>
          <w:p>
            <w:pPr>
              <w:spacing w:after="40" w:before="40" w:line="245" w:lineRule="auto"/>
            </w:pPr>
            <w:r>
              <w:rPr>
                <w:b/>
                <w:sz w:val="20"/>
              </w:rPr>
              <w:t>Meaning</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Cohort, Model, Side, Zone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Identify exactly which forecast the row represents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N</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Historical valid sample size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RTH_Open</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Supplied new-session anchor</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Previous_ATR</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Current prior ATR, including as context on other model rows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Center</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Mean price for MeanSE; median price for percentile zones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Low and High</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Numerically ordered price edges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Center_SE_Block_Points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Estimator uncertainty of the selected center</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Low_SE_Block_Points and High_SE_Block_Points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Estimator uncertainty of the two price edges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Mean_SE_IID_Points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Scaled mean SE, even on percentile-zone rows; not their edge SE</w:t>
            </w:r>
          </w:p>
        </w:tc>
      </w:tr>
    </w:tbl>
    <w:p>
      <w:pPr>
        <w:spacing w:after="20"/>
      </w:pPr>
    </w:p>
    <w:p>
      <w:r>
        <w:t>Projected 95% confidence endpoints are not included here. Their native-unit source values are in detailed statistics. To transform them, use the correct scale and reverse downside endpoints.</w:t>
      </w:r>
    </w:p>
    <w:p>
      <w:pPr>
        <w:pStyle w:val="Heading2"/>
      </w:pPr>
      <w:r>
        <w:t>Section 16.6 Projected envelopes</w:t>
      </w:r>
    </w:p>
    <w:p>
      <w:r>
        <w:t>Three cohorts × three models × six envelope rules = 54 rows when available. Without ATR, two models yield 36. Cohort, Model, and Envelope identify the rule. RTH_Open and Previous_ATR record inputs. Lower and Upper are the limits. Width_Points = Upper − Lower. Lower_SE_Block_Points and Upper_SE_Block_Points concern boundary estimator uncertainty. There is no measured future containment probability column in this file.</w:t>
      </w:r>
    </w:p>
    <w:p>
      <w:pPr>
        <w:pStyle w:val="Heading2"/>
      </w:pPr>
      <w:r>
        <w:t>Sections 16.7 and 16.8 Combined record and audit</w:t>
      </w:r>
    </w:p>
    <w:p>
      <w:r>
        <w:t>analysis.json records Forecast_Date, Input_Audit, Cohorts, methodology, and timing conventions. With projection it adds RTH_Open, Previous_ATR, Projected_Zones, Projected_Envelopes, and Outer_Envelopes. That last nested object represents the selected display cohort; the broader projected tables still cover all cohorts.</w:t>
      </w:r>
    </w:p>
    <w:p>
      <w:r>
        <w:t>Within a model, N_HOD and N_LOD are side-specific counts. Scale is k. Envelopes and Zones hold the respective configurations. Up_Distance and Down_Distance are distances, whereas Upper and Lower are prices. Q is the quantile fraction where relevant and null for non-quantile rules.</w:t>
      </w:r>
    </w:p>
    <w:p>
      <w:r>
        <w:t>Each cohort records its date range, row count, repetition count, requested/effective block lengths, timing, and excursions. The audit records source SHA256, Rows, First_Date, Last_Date, Annual_Counts, Missing_Bar_Count_Dates, Bar_Timeframes_Minutes, invalid times, derived-value and ATR mismatches, Input_Was_Sorted, and notes. Audit Rows is the original file size; it can exceed the actual filtered training count.</w:t>
      </w:r>
    </w:p>
    <w:p>
      <w:r>
        <w:t>The loader checks consistency of available session fields and sorts dates after rejecting duplicates. It does not reconstruct missing intraday bars or independently prove every recorded complete day was complete. A blank bar count can be permitted and flagged. A passed loader is a consistency check within its scope, not a complete vendor-data certification.</w:t>
      </w:r>
    </w:p>
    <w:p>
      <w:pPr>
        <w:pStyle w:val="Heading1"/>
      </w:pPr>
      <w:r>
        <w:t>17 Walk forward calibration and backtest metrics</w:t>
      </w:r>
    </w:p>
    <w:p>
      <w:r>
        <w:rPr>
          <w:i/>
          <w:sz w:val="18"/>
        </w:rPr>
        <w:t>Source: section 17, lines 895–1035. This describes the earlier research package, not a new run performed for this companion.</w:t>
      </w:r>
    </w:p>
    <w:p>
      <w:pPr>
        <w:pStyle w:val="Heading2"/>
      </w:pPr>
      <w:r>
        <w:t>Section 17.1 Forecast before observing the answer</w:t>
      </w:r>
    </w:p>
    <w:p>
      <w:r>
        <w:t>For test date t, use only earlier dates to fit distributions. At the open, use the known opening price and prior ATR. Freeze the levels. After the session ends, compare its outcomes with those frozen forecasts. Repeat for the next date.</w:t>
      </w:r>
    </w:p>
    <w:p>
      <w:r>
        <w:t>Using future 2026 sessions to calculate a level judged on 2025 is look-ahead leakage: the model has seen part of the answer. The calculator’s forecast-date cutoff makes one dated calculation chronological, but a multi-day backtest must repeat that calculation for each date.</w:t>
      </w:r>
    </w:p>
    <w:p>
      <w:r>
        <w:t>The earlier research required 252 prior rows for All, 60 for Last60, and 252 for Last252. Training requirements are distinct from the number of test days. Do not delete older training rows merely because you want to start evaluating in 2025.</w:t>
      </w:r>
    </w:p>
    <w:p>
      <w:pPr>
        <w:pStyle w:val="Heading2"/>
      </w:pPr>
      <w:r>
        <w:t>Section 17.2 Every envelope event</w:t>
      </w:r>
    </w:p>
    <w:p>
      <w:r>
        <w:t>Let U = upper forecast price, L_bound = lower forecast price, H_actual = final high, L_actual = final low, and C_actual = final close. This expanded notation avoids confusing the lower forecast L with the actual low Lₜ in the README.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3"/>
        <w:gridCol w:w="6503"/>
      </w:tblGrid>
      <w:tr>
        <w:trPr>
          <w:tblHeader/>
          <w:cantSplit/>
        </w:trPr>
        <w:tc>
          <w:tcPr>
            <w:tcW w:type="dxa" w:w="3203"/>
            <w:vAlign w:val="center"/>
            <w:tcMar>
              <w:top w:w="85" w:type="dxa"/>
              <w:left w:w="85" w:type="dxa"/>
              <w:bottom w:w="85" w:type="dxa"/>
              <w:right w:w="85" w:type="dxa"/>
            </w:tcMar>
            <w:shd w:fill="E5EAF0"/>
          </w:tcPr>
          <w:p>
            <w:pPr>
              <w:spacing w:after="40" w:before="40" w:line="245" w:lineRule="auto"/>
            </w:pPr>
            <w:r>
              <w:rPr>
                <w:b/>
                <w:sz w:val="20"/>
              </w:rPr>
              <w:t>Metric</w:t>
            </w:r>
          </w:p>
        </w:tc>
        <w:tc>
          <w:tcPr>
            <w:tcW w:type="dxa" w:w="6503"/>
            <w:vAlign w:val="center"/>
            <w:tcMar>
              <w:top w:w="85" w:type="dxa"/>
              <w:left w:w="85" w:type="dxa"/>
              <w:bottom w:w="85" w:type="dxa"/>
              <w:right w:w="85" w:type="dxa"/>
            </w:tcMar>
            <w:shd w:fill="E5EAF0"/>
          </w:tcPr>
          <w:p>
            <w:pPr>
              <w:spacing w:after="40" w:before="40" w:line="245" w:lineRule="auto"/>
            </w:pPr>
            <w:r>
              <w:rPr>
                <w:b/>
                <w:sz w:val="20"/>
              </w:rPr>
              <w:t>Exact question</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Contained_RTH</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Is H_actual ≤ U AND L_actual ≥ L_bound?</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HOD_Within_Upper</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Is H_actual ≤ U?</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LOD_Within_Lower</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Is L_actual ≥ L_bound?</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Close_Inside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Is L_bound ≤ C_actual ≤ U?</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Upper_Reached</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Is H_actual ≥ U?</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Lower_Reached</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Is L_actual ≤ L_bound?</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Upper_Breached</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Is H_actual &gt; U?</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Lower_Breached</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Is L_actual &lt; L_bound?</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Both_Breached</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Did both strict breach conditions hold?</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Only_Upper_Breached</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Upper breach and no lower breach?</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Only_Lower_Breached</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Lower breach and no upper breach?</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Breach_Then_Close_Inside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Any breach and a final close inside, counted over all evaluated days?</w:t>
            </w:r>
          </w:p>
        </w:tc>
      </w:tr>
    </w:tbl>
    <w:p>
      <w:pPr>
        <w:spacing w:after="20"/>
      </w:pPr>
    </w:p>
    <w:p>
      <w:r>
        <w:t>Example: envelope 5940–6080; actual H = 6090, low = 5960, close = 6010. Entire containment fails; upper respect fails; lower respect succeeds; close inside succeeds; only upper breach succeeds; breach then close inside succeeds. These can coexist because they ask different questions.</w:t>
      </w:r>
    </w:p>
    <w:p>
      <w:r>
        <w:t>If H_actual = U exactly, upper reached and upper respected are both true. Reached is not the complement of respected. Strict breach is the complement of respect under consistent comparison rules. The numerical tolerance of 10⁻⁹ points handles floating-point arithmetic; it is not an execution allowance.</w:t>
      </w:r>
    </w:p>
    <w:p>
      <w:r>
        <w:t>Contained, only upper breached, only lower breached, and both breached form four mutually exclusive exhaustive categories. Their shares sum to 100% over a common eligible sample. The other metrics overlap and should not be added as if they formed such a partition.</w:t>
      </w:r>
    </w:p>
    <w:p>
      <w:r>
        <w:t>If 20 of 100 days breach and 12 of those close inside, the unconditional breach-and-close-inside rate is 12%. The conditional close-inside rate among breach days is 12/20 = 60%. The README’s event reports the former. Neither includes a defined entry, stop, target, or fill.</w:t>
      </w:r>
    </w:p>
    <w:p>
      <w:pPr>
        <w:pStyle w:val="Heading2"/>
      </w:pPr>
      <w:r>
        <w:t>Section 17.3 Every extreme-zone event</w:t>
      </w:r>
    </w:p>
    <w:p>
      <w:r>
        <w:t>HOD_In_Zone checks that the final high lies between both HOD edges. LOD_In_Zone does the same for the final low. Both_Extremes_In_Zones requires both. HOD_Zone_Reached checks only that the high meets or exceeds the near edge; LOD_Zone_Reached uses the corresponding downside near edge. Joint_Outer_Containment ignores both near edges and tests only the far edges.</w:t>
      </w:r>
    </w:p>
    <w:p>
      <w:r>
        <w:t>For HOD zone 6020–6060, a high of 6010 is below the zone; 6040 is inside; 6080 exceeds it. Both 6040 and 6080 satisfy zone reached. Only 6040 satisfies final high in zone. Price OHLC establishes these threshold relations, not the exact intraday path or a resting order’s fill.</w:t>
      </w:r>
    </w:p>
    <w:p>
      <w:pPr>
        <w:pStyle w:val="Heading2"/>
      </w:pPr>
      <w:r>
        <w:t>Section 17.4 Width and overshoot</w:t>
      </w:r>
    </w:p>
    <w:p>
      <w:pPr>
        <w:keepNext/>
        <w:spacing w:before="80"/>
        <w:ind w:left="216"/>
      </w:pPr>
      <w:r>
        <w:rPr>
          <w:rFonts w:ascii="Calibri" w:hAnsi="Calibri"/>
          <w:sz w:val="24"/>
        </w:rPr>
        <w:t>Width = U − L_bound</w:t>
      </w:r>
    </w:p>
    <w:p>
      <w:pPr>
        <w:keepNext/>
        <w:spacing w:before="80"/>
        <w:ind w:left="216"/>
      </w:pPr>
      <w:r>
        <w:rPr>
          <w:rFonts w:ascii="Calibri" w:hAnsi="Calibri"/>
          <w:sz w:val="24"/>
        </w:rPr>
        <w:t>Width_ATR = Width ÷ prior ATR</w:t>
      </w:r>
    </w:p>
    <w:p>
      <w:r>
        <w:t>A 160-point envelope with ATR 80 has width 2 ATR. A wider region mechanically makes containment easier. Therefore compare containment together with width, using the same dates and definitions.</w:t>
      </w:r>
    </w:p>
    <w:p>
      <w:pPr>
        <w:keepNext/>
        <w:spacing w:before="80"/>
        <w:ind w:left="216"/>
      </w:pPr>
      <w:r>
        <w:rPr>
          <w:rFonts w:ascii="Calibri" w:hAnsi="Calibri"/>
          <w:sz w:val="24"/>
        </w:rPr>
        <w:t>Up overshoot = max(H_actual − U, 0)</w:t>
      </w:r>
    </w:p>
    <w:p>
      <w:pPr>
        <w:keepNext/>
        <w:spacing w:before="80"/>
        <w:ind w:left="216"/>
      </w:pPr>
      <w:r>
        <w:rPr>
          <w:rFonts w:ascii="Calibri" w:hAnsi="Calibri"/>
          <w:sz w:val="24"/>
        </w:rPr>
        <w:t>Down overshoot = max(L_bound − L_actual, 0)</w:t>
      </w:r>
    </w:p>
    <w:p>
      <w:pPr>
        <w:keepNext/>
        <w:spacing w:before="80"/>
        <w:ind w:left="216"/>
      </w:pPr>
      <w:r>
        <w:rPr>
          <w:rFonts w:ascii="Calibri" w:hAnsi="Calibri"/>
          <w:sz w:val="24"/>
        </w:rPr>
        <w:t>Total overshoot ATR = (up overshoot + down overshoot) ÷ prior ATR</w:t>
      </w:r>
    </w:p>
    <w:p>
      <w:r>
        <w:t>For limits 5940–6080 and actual high 6090, low 5935, overshoots are 10 and 5 points. Their total is 15; with ATR 80 it is 0.1875 ATR. If a side is respected, its overshoot is zero, not negative.</w:t>
      </w:r>
    </w:p>
    <w:p>
      <w:r>
        <w:t>P95_Overshoot_Points sorts total overshoots across all evaluated days, including zeros, and takes P95. A percentile calculated only among breach days answers a different and often more severe question. A low all-day percentile can hide large losses on a small number of breach days; actual strategy losses remain a separate calculation.</w:t>
      </w:r>
    </w:p>
    <w:p>
      <w:pPr>
        <w:pStyle w:val="Heading2"/>
      </w:pPr>
      <w:r>
        <w:t>Pinball loss step by step</w:t>
      </w:r>
    </w:p>
    <w:p>
      <w:pPr>
        <w:keepNext/>
        <w:spacing w:before="80"/>
        <w:ind w:left="216"/>
      </w:pPr>
      <w:r>
        <w:rPr>
          <w:rFonts w:ascii="Calibri" w:hAnsi="Calibri"/>
          <w:sz w:val="24"/>
        </w:rPr>
        <w:t>ρq(e) = max(q × e, (q − 1) × e)</w:t>
      </w:r>
    </w:p>
    <w:p>
      <w:r>
        <w:t>ρ, pronounced rho, names the loss function. e is actual excursion minus its forecast quantile distance. The compact max formula has two branches: when e ≥ 0, loss = q × e; when e &lt; 0, loss = (1 − q) × |e|.</w:t>
      </w:r>
    </w:p>
    <w:p>
      <w:r>
        <w:t>For Q90, underpredicting by 10 points gives e = +10 and loss 0.90 × 10 = 9. Overpredicting by 10 gives e = −10 and loss 0.10 × 10 = 1. A high quantile is intended to sit above most outcomes, so underprediction is penalized more strongly. Setting an absurdly distant upper quantile still accumulates overprediction loss.</w:t>
      </w:r>
    </w:p>
    <w:p>
      <w:r>
        <w:t>Upside error is H_actual − U. Downside distance error is L_bound − L_actual. If the actual low goes below the forecast lower limit, downside error is positive: the forecast underestimated the downward distance.</w:t>
      </w:r>
    </w:p>
    <w:p>
      <w:pPr>
        <w:keepNext/>
        <w:spacing w:before="80"/>
        <w:ind w:left="216"/>
      </w:pPr>
      <w:r>
        <w:rPr>
          <w:rFonts w:ascii="Calibri" w:hAnsi="Calibri"/>
          <w:sz w:val="24"/>
        </w:rPr>
        <w:t>Pinball_Loss_ATR = [ρq(up error) + ρq(down error)] ÷ prior ATR</w:t>
      </w:r>
    </w:p>
    <w:p>
      <w:r>
        <w:t>With q = 0.90, upside error +10, downside error −20, and ATR 80: loss = (9 + 2) ÷ 80 = 0.1375. Compare lower values only for the same quantile and evaluation sample. It is a forecast loss, not account loss. Mean and MeanPlusSE have no corresponding q in this metric.</w:t>
      </w:r>
    </w:p>
    <w:p>
      <w:r>
        <w:t>Historical_Joint_Containment measures fitted coverage in a training sample. Mean_Historical_Joint_Containment averages those training rates. Contained_RTH Rate measures later test outcomes. Training fit and later performance are different evidence.</w:t>
      </w:r>
    </w:p>
    <w:p>
      <w:pPr>
        <w:pStyle w:val="Heading2"/>
      </w:pPr>
      <w:r>
        <w:t>Section 17.5 Timing errors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3"/>
        <w:gridCol w:w="6503"/>
      </w:tblGrid>
      <w:tr>
        <w:trPr>
          <w:tblHeader/>
          <w:cantSplit/>
        </w:trPr>
        <w:tc>
          <w:tcPr>
            <w:tcW w:type="dxa" w:w="3203"/>
            <w:vAlign w:val="center"/>
            <w:tcMar>
              <w:top w:w="85" w:type="dxa"/>
              <w:left w:w="85" w:type="dxa"/>
              <w:bottom w:w="85" w:type="dxa"/>
              <w:right w:w="85" w:type="dxa"/>
            </w:tcMar>
            <w:shd w:fill="E5EAF0"/>
          </w:tcPr>
          <w:p>
            <w:pPr>
              <w:spacing w:after="40" w:before="40" w:line="245" w:lineRule="auto"/>
            </w:pPr>
            <w:r>
              <w:rPr>
                <w:b/>
                <w:sz w:val="20"/>
              </w:rPr>
              <w:t>Metric</w:t>
            </w:r>
          </w:p>
        </w:tc>
        <w:tc>
          <w:tcPr>
            <w:tcW w:type="dxa" w:w="6503"/>
            <w:vAlign w:val="center"/>
            <w:tcMar>
              <w:top w:w="85" w:type="dxa"/>
              <w:left w:w="85" w:type="dxa"/>
              <w:bottom w:w="85" w:type="dxa"/>
              <w:right w:w="85" w:type="dxa"/>
            </w:tcMar>
            <w:shd w:fill="E5EAF0"/>
          </w:tcPr>
          <w:p>
            <w:pPr>
              <w:spacing w:after="40" w:before="40" w:line="245" w:lineRule="auto"/>
            </w:pPr>
            <w:r>
              <w:rPr>
                <w:b/>
                <w:sz w:val="20"/>
              </w:rPr>
              <w:t>Meaning</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MeanSE_Hit</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Actual final label in training mean ± one IID SE interval</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P25_P75_Hit and P10_P90_Hit</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Actual final label in the historical percentile interval</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Modal_Window_Hit</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Actual label in any predicted modal bin</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Mean_Absolute_Error_Minutes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Mean absolute error using the mean-time prediction</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Median_Absolute_Error_Minutes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Mean absolute error using the median-time prediction, despite the ambiguous name</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Mean_Bias_Minutes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Average actual minus mean-predicted offset; positive means later</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Mean_RMSE_Minutes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Root mean squared error of mean-time predictions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Mean_Modal_Width_Minutes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Average combined duration of all modal bins predicted</w:t>
            </w:r>
          </w:p>
        </w:tc>
      </w:tr>
    </w:tbl>
    <w:p>
      <w:pPr>
        <w:spacing w:after="20"/>
      </w:pPr>
    </w:p>
    <w:p>
      <w:r>
        <w:t>For prediction errors −60 and +120 minutes, bias = (−60 + 120)/2 = 30 minutes late on average. MAE = (60 + 120)/2 = 90 minutes. RMSE = √[(3600 + 14400)/2] ≈ 94.87 minutes. Squaring gives larger errors more influence. A small bias can coexist with large absolute errors because positive and negative errors cancel in the bias.</w:t>
      </w:r>
    </w:p>
    <w:p>
      <w:r>
        <w:t>Two predicted modal bins cover 60 total minutes, even when disjoint. More tied modes can increase hit rate by increasing the time covered; compare hit rate and width together.</w:t>
      </w:r>
    </w:p>
    <w:p>
      <w:pPr>
        <w:pStyle w:val="Heading2"/>
      </w:pPr>
      <w:r>
        <w:t>Section 17.6 Uncertainty of a success rate</w:t>
      </w:r>
    </w:p>
    <w:p>
      <w:r>
        <w:t>Iₜ is an indicator: 1 if the precisely defined event happened on day t, otherwise 0. Summing indicators counts hits.</w:t>
      </w:r>
    </w:p>
    <w:p>
      <w:pPr>
        <w:keepNext/>
        <w:spacing w:before="80"/>
        <w:ind w:left="216"/>
      </w:pPr>
      <w:r>
        <w:rPr>
          <w:rFonts w:ascii="Calibri" w:hAnsi="Calibri"/>
          <w:sz w:val="24"/>
        </w:rPr>
        <w:t>p̂ = Hits ÷ N</w:t>
      </w:r>
    </w:p>
    <w:p>
      <w:pPr>
        <w:keepNext/>
        <w:spacing w:before="80"/>
        <w:ind w:left="216"/>
      </w:pPr>
      <w:r>
        <w:rPr>
          <w:rFonts w:ascii="Calibri" w:hAnsi="Calibri"/>
          <w:sz w:val="24"/>
        </w:rPr>
        <w:t>SE_IID = √[p̂ × (1 − p̂) ÷ N]</w:t>
      </w:r>
    </w:p>
    <w:p>
      <w:r>
        <w:t>For 80 hits out of 100, p̂ = 0.80 and SE = √(0.16/100) = 0.04, or 4 percentage points. This uncertainty concerns the estimated event rate. It does not make an individual session “80% ± 4%” in any directly observed sense.</w:t>
      </w:r>
    </w:p>
    <w:p>
      <w:pPr>
        <w:pStyle w:val="Heading2"/>
      </w:pPr>
      <w:r>
        <w:t>Decoding the Wilson formula</w:t>
      </w:r>
    </w:p>
    <w:p>
      <w:r>
        <w:t>The README’s long Wilson expression can be evaluated in four pieces. Use z ≈ 1.96 for a 95% reference interval. Define D = 1 + z²/N. Define A = p̂ + z²/(2N). Define B = z × √[p̂(1 − p̂)/N + z²/(4N²)]. Then lower = (A − B)/D and upper = (A + B)/D.</w:t>
      </w:r>
    </w:p>
    <w:p>
      <w:r>
        <w:t>With p̂ = 0.80 and N = 100: z² = 3.8416; D = 1.038416; A = 0.819208; B ≈ 0.080719. The interval is approximately 0.711–0.867, or 71.1%–86.7%. The adjustments account for finite sample uncertainty and keep the bounds within possible probability values. They do not adjust for serial dependence. [Reference 3]</w:t>
      </w:r>
    </w:p>
    <w:p>
      <w:r>
        <w:t>If all observed outcomes are successes, the empirical bootstrap may resample only successes and produce zero uncertainty. Wilson still gives a nontrivial interval under its binomial assumptions. With 10 successes out of 10, its lower 95% bound is about 72.2%, rather than treating 100% observed success as proof of certainty.</w:t>
      </w:r>
    </w:p>
    <w:p>
      <w:r>
        <w:t>The earlier backtest bootstrap resampled completed forecast outcomes while leaving the fitted forecasts fixed. It did not retrain the full model-selection procedure in every replicate. Therefore its interval does not cover every uncertainty caused by choosing models after examining results. Twenty-session block sensitivity changes the assumed dependence scale; it does not add new market history.</w:t>
      </w:r>
    </w:p>
    <w:p>
      <w:pPr>
        <w:pStyle w:val="Heading2"/>
      </w:pPr>
      <w:r>
        <w:t>Section 17.7 Files and filters</w:t>
      </w:r>
    </w:p>
    <w:p>
      <w:r>
        <w:t>Daily files record one date’s predictions and outcomes: daily_envelopes.csv, daily_extreme_zones.csv, and daily_timing.csv. Summary files aggregate each type. containment_block20_sensitivity.csv changes the resampling block choice. skipped_forecasts.csv explains ineligible cases where produced. backtest_metadata.json records settings and provenance.</w:t>
      </w:r>
    </w:p>
    <w:p>
      <w:r>
        <w:t>Date identifies the test day. Train_First and Train_Last delimit earlier training data. Train_Sessions is its size. RTH_Open and ATR_Known_Before_Open record the forecast inputs. Bar_Count_Verified records a metadata check. Always require Train_Last &lt; Date.</w:t>
      </w:r>
    </w:p>
    <w:p>
      <w:r>
        <w:t>Filter summary rows by configuration, Period, and Metric together. Period All means the available test period for that run. VerifiedBarCounts is a sensitivity subset, not a calendar year. The earlier check recognized exactly 390 bars, so valid 5m/15m sessions would require an explicit backtester update. “Verified” describes the check actually made, not blanket verification of the feed.</w:t>
      </w:r>
    </w:p>
    <w:p>
      <w:pPr>
        <w:pStyle w:val="Heading1"/>
      </w:pPr>
      <w:r>
        <w:t>18 Earlier research results and their limits</w:t>
      </w:r>
    </w:p>
    <w:p>
      <w:r>
        <w:rPr>
          <w:i/>
          <w:sz w:val="18"/>
        </w:rPr>
        <w:t>Source: section 18, lines 1036–1102. These numbers are reported by the README from an archived study and were not rerun for this companion.</w:t>
      </w:r>
    </w:p>
    <w:p>
      <w:r>
        <w:t>The archived input had 3499 sessions dated 7 June 2010–10 September 2026. The test had 420 available completed sessions: 247 in 2025 and 173 in 2026, ending 10 September. The ATR descriptive sample had 3290 valid observations. These three counts describe input rows, test outcomes, and ATR-eligible history respectively; they are not inconsistent merely because they differ.</w:t>
      </w:r>
    </w:p>
    <w:p>
      <w:r>
        <w:t>The separate 3699-row claim in the short README is unresolved. A filename or familiar dataset label is not enough to assume it is the same file. The fingerprint and actual audit are needed.</w:t>
      </w:r>
    </w:p>
    <w:p>
      <w:pPr>
        <w:pStyle w:val="Heading2"/>
      </w:pPr>
      <w:r>
        <w:t>Section 18.1 How to read every row of the containment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9"/>
        <w:gridCol w:w="2232"/>
        <w:gridCol w:w="2572"/>
        <w:gridCol w:w="2572"/>
      </w:tblGrid>
      <w:tr>
        <w:trPr>
          <w:tblHeader/>
          <w:cantSplit/>
        </w:trPr>
        <w:tc>
          <w:tcPr>
            <w:tcW w:type="dxa" w:w="2329"/>
            <w:vAlign w:val="center"/>
            <w:tcMar>
              <w:top w:w="85" w:type="dxa"/>
              <w:left w:w="85" w:type="dxa"/>
              <w:bottom w:w="85" w:type="dxa"/>
              <w:right w:w="85" w:type="dxa"/>
            </w:tcMar>
            <w:shd w:fill="E5EAF0"/>
          </w:tcPr>
          <w:p>
            <w:pPr>
              <w:spacing w:after="40" w:before="40" w:line="245" w:lineRule="auto"/>
            </w:pPr>
            <w:r>
              <w:rPr>
                <w:b/>
                <w:sz w:val="20"/>
              </w:rPr>
              <w:t>History and model</w:t>
            </w:r>
          </w:p>
        </w:tc>
        <w:tc>
          <w:tcPr>
            <w:tcW w:type="dxa" w:w="2232"/>
            <w:vAlign w:val="center"/>
            <w:tcMar>
              <w:top w:w="85" w:type="dxa"/>
              <w:left w:w="85" w:type="dxa"/>
              <w:bottom w:w="85" w:type="dxa"/>
              <w:right w:w="85" w:type="dxa"/>
            </w:tcMar>
            <w:shd w:fill="E5EAF0"/>
          </w:tcPr>
          <w:p>
            <w:pPr>
              <w:spacing w:after="40" w:before="40" w:line="245" w:lineRule="auto"/>
            </w:pPr>
            <w:r>
              <w:rPr>
                <w:b/>
                <w:sz w:val="20"/>
              </w:rPr>
              <w:t>MeanPlusSE containment</w:t>
            </w:r>
          </w:p>
        </w:tc>
        <w:tc>
          <w:tcPr>
            <w:tcW w:type="dxa" w:w="2572"/>
            <w:vAlign w:val="center"/>
            <w:tcMar>
              <w:top w:w="85" w:type="dxa"/>
              <w:left w:w="85" w:type="dxa"/>
              <w:bottom w:w="85" w:type="dxa"/>
              <w:right w:w="85" w:type="dxa"/>
            </w:tcMar>
            <w:shd w:fill="E5EAF0"/>
          </w:tcPr>
          <w:p>
            <w:pPr>
              <w:spacing w:after="40" w:before="40" w:line="245" w:lineRule="auto"/>
            </w:pPr>
            <w:r>
              <w:rPr>
                <w:b/>
                <w:sz w:val="20"/>
              </w:rPr>
              <w:t>Q90 containment and total width</w:t>
            </w:r>
          </w:p>
        </w:tc>
        <w:tc>
          <w:tcPr>
            <w:tcW w:type="dxa" w:w="2572"/>
            <w:vAlign w:val="center"/>
            <w:tcMar>
              <w:top w:w="85" w:type="dxa"/>
              <w:left w:w="85" w:type="dxa"/>
              <w:bottom w:w="85" w:type="dxa"/>
              <w:right w:w="85" w:type="dxa"/>
            </w:tcMar>
            <w:shd w:fill="E5EAF0"/>
          </w:tcPr>
          <w:p>
            <w:pPr>
              <w:spacing w:after="40" w:before="40" w:line="245" w:lineRule="auto"/>
            </w:pPr>
            <w:r>
              <w:rPr>
                <w:b/>
                <w:sz w:val="20"/>
              </w:rPr>
              <w:t>Q95 containment and total width</w:t>
            </w:r>
          </w:p>
        </w:tc>
      </w:tr>
      <w:tr>
        <w:trPr>
          <w:cantSplit/>
        </w:trPr>
        <w:tc>
          <w:tcPr>
            <w:tcW w:type="dxa" w:w="2329"/>
            <w:vAlign w:val="center"/>
            <w:tcMar>
              <w:top w:w="85" w:type="dxa"/>
              <w:left w:w="85" w:type="dxa"/>
              <w:bottom w:w="85" w:type="dxa"/>
              <w:right w:w="85" w:type="dxa"/>
            </w:tcMar>
            <w:shd w:fill="FFFFFF"/>
          </w:tcPr>
          <w:p>
            <w:pPr>
              <w:spacing w:after="40" w:before="40" w:line="245" w:lineRule="auto"/>
            </w:pPr>
            <w:r>
              <w:rPr>
                <w:b w:val="0"/>
                <w:sz w:val="20"/>
              </w:rPr>
              <w:t>All Points</w:t>
            </w:r>
          </w:p>
        </w:tc>
        <w:tc>
          <w:tcPr>
            <w:tcW w:type="dxa" w:w="2232"/>
            <w:vAlign w:val="center"/>
            <w:tcMar>
              <w:top w:w="85" w:type="dxa"/>
              <w:left w:w="85" w:type="dxa"/>
              <w:bottom w:w="85" w:type="dxa"/>
              <w:right w:w="85" w:type="dxa"/>
            </w:tcMar>
            <w:shd w:fill="FFFFFF"/>
          </w:tcPr>
          <w:p>
            <w:pPr>
              <w:spacing w:after="40" w:before="40" w:line="245" w:lineRule="auto"/>
            </w:pPr>
            <w:r>
              <w:rPr>
                <w:b w:val="0"/>
                <w:sz w:val="20"/>
              </w:rPr>
              <w:t>4.3%</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43.1% at 86.2 points</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66.4% at 119.7 points</w:t>
            </w:r>
          </w:p>
        </w:tc>
      </w:tr>
      <w:tr>
        <w:trPr>
          <w:cantSplit/>
        </w:trPr>
        <w:tc>
          <w:tcPr>
            <w:tcW w:type="dxa" w:w="2329"/>
            <w:vAlign w:val="center"/>
            <w:tcMar>
              <w:top w:w="85" w:type="dxa"/>
              <w:left w:w="85" w:type="dxa"/>
              <w:bottom w:w="85" w:type="dxa"/>
              <w:right w:w="85" w:type="dxa"/>
            </w:tcMar>
            <w:shd w:fill="F7F8FA"/>
          </w:tcPr>
          <w:p>
            <w:pPr>
              <w:spacing w:after="40" w:before="40" w:line="245" w:lineRule="auto"/>
            </w:pPr>
            <w:r>
              <w:rPr>
                <w:b w:val="0"/>
                <w:sz w:val="20"/>
              </w:rPr>
              <w:t>All Percentage</w:t>
            </w:r>
          </w:p>
        </w:tc>
        <w:tc>
          <w:tcPr>
            <w:tcW w:type="dxa" w:w="2232"/>
            <w:vAlign w:val="center"/>
            <w:tcMar>
              <w:top w:w="85" w:type="dxa"/>
              <w:left w:w="85" w:type="dxa"/>
              <w:bottom w:w="85" w:type="dxa"/>
              <w:right w:w="85" w:type="dxa"/>
            </w:tcMar>
            <w:shd w:fill="F7F8FA"/>
          </w:tcPr>
          <w:p>
            <w:pPr>
              <w:spacing w:after="40" w:before="40" w:line="245" w:lineRule="auto"/>
            </w:pPr>
            <w:r>
              <w:rPr>
                <w:b w:val="0"/>
                <w:sz w:val="20"/>
              </w:rPr>
              <w:t>21.4%</w:t>
            </w:r>
          </w:p>
        </w:tc>
        <w:tc>
          <w:tcPr>
            <w:tcW w:type="dxa" w:w="2572"/>
            <w:vAlign w:val="center"/>
            <w:tcMar>
              <w:top w:w="85" w:type="dxa"/>
              <w:left w:w="85" w:type="dxa"/>
              <w:bottom w:w="85" w:type="dxa"/>
              <w:right w:w="85" w:type="dxa"/>
            </w:tcMar>
            <w:shd w:fill="F7F8FA"/>
          </w:tcPr>
          <w:p>
            <w:pPr>
              <w:spacing w:after="40" w:before="40" w:line="245" w:lineRule="auto"/>
            </w:pPr>
            <w:r>
              <w:rPr>
                <w:b w:val="0"/>
                <w:sz w:val="20"/>
              </w:rPr>
              <w:t>71.9% at 131.1 points</w:t>
            </w:r>
          </w:p>
        </w:tc>
        <w:tc>
          <w:tcPr>
            <w:tcW w:type="dxa" w:w="2572"/>
            <w:vAlign w:val="center"/>
            <w:tcMar>
              <w:top w:w="85" w:type="dxa"/>
              <w:left w:w="85" w:type="dxa"/>
              <w:bottom w:w="85" w:type="dxa"/>
              <w:right w:w="85" w:type="dxa"/>
            </w:tcMar>
            <w:shd w:fill="F7F8FA"/>
          </w:tcPr>
          <w:p>
            <w:pPr>
              <w:spacing w:after="40" w:before="40" w:line="245" w:lineRule="auto"/>
            </w:pPr>
            <w:r>
              <w:rPr>
                <w:b w:val="0"/>
                <w:sz w:val="20"/>
              </w:rPr>
              <w:t>85.7% at 176.1 points</w:t>
            </w:r>
          </w:p>
        </w:tc>
      </w:tr>
      <w:tr>
        <w:trPr>
          <w:cantSplit/>
        </w:trPr>
        <w:tc>
          <w:tcPr>
            <w:tcW w:type="dxa" w:w="2329"/>
            <w:vAlign w:val="center"/>
            <w:tcMar>
              <w:top w:w="85" w:type="dxa"/>
              <w:left w:w="85" w:type="dxa"/>
              <w:bottom w:w="85" w:type="dxa"/>
              <w:right w:w="85" w:type="dxa"/>
            </w:tcMar>
            <w:shd w:fill="FFFFFF"/>
          </w:tcPr>
          <w:p>
            <w:pPr>
              <w:spacing w:after="40" w:before="40" w:line="245" w:lineRule="auto"/>
            </w:pPr>
            <w:r>
              <w:rPr>
                <w:b w:val="0"/>
                <w:sz w:val="20"/>
              </w:rPr>
              <w:t>All ATR</w:t>
            </w:r>
          </w:p>
        </w:tc>
        <w:tc>
          <w:tcPr>
            <w:tcW w:type="dxa" w:w="2232"/>
            <w:vAlign w:val="center"/>
            <w:tcMar>
              <w:top w:w="85" w:type="dxa"/>
              <w:left w:w="85" w:type="dxa"/>
              <w:bottom w:w="85" w:type="dxa"/>
              <w:right w:w="85" w:type="dxa"/>
            </w:tcMar>
            <w:shd w:fill="FFFFFF"/>
          </w:tcPr>
          <w:p>
            <w:pPr>
              <w:spacing w:after="40" w:before="40" w:line="245" w:lineRule="auto"/>
            </w:pPr>
            <w:r>
              <w:rPr>
                <w:b w:val="0"/>
                <w:sz w:val="20"/>
              </w:rPr>
              <w:t>29.3%</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83.6% at 156.7 points</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91.2% at 197.9 points</w:t>
            </w:r>
          </w:p>
        </w:tc>
      </w:tr>
      <w:tr>
        <w:trPr>
          <w:cantSplit/>
        </w:trPr>
        <w:tc>
          <w:tcPr>
            <w:tcW w:type="dxa" w:w="2329"/>
            <w:vAlign w:val="center"/>
            <w:tcMar>
              <w:top w:w="85" w:type="dxa"/>
              <w:left w:w="85" w:type="dxa"/>
              <w:bottom w:w="85" w:type="dxa"/>
              <w:right w:w="85" w:type="dxa"/>
            </w:tcMar>
            <w:shd w:fill="F7F8FA"/>
          </w:tcPr>
          <w:p>
            <w:pPr>
              <w:spacing w:after="40" w:before="40" w:line="245" w:lineRule="auto"/>
            </w:pPr>
            <w:r>
              <w:rPr>
                <w:b w:val="0"/>
                <w:sz w:val="20"/>
              </w:rPr>
              <w:t>Last60 Points</w:t>
            </w:r>
          </w:p>
        </w:tc>
        <w:tc>
          <w:tcPr>
            <w:tcW w:type="dxa" w:w="2232"/>
            <w:vAlign w:val="center"/>
            <w:tcMar>
              <w:top w:w="85" w:type="dxa"/>
              <w:left w:w="85" w:type="dxa"/>
              <w:bottom w:w="85" w:type="dxa"/>
              <w:right w:w="85" w:type="dxa"/>
            </w:tcMar>
            <w:shd w:fill="F7F8FA"/>
          </w:tcPr>
          <w:p>
            <w:pPr>
              <w:spacing w:after="40" w:before="40" w:line="245" w:lineRule="auto"/>
            </w:pPr>
            <w:r>
              <w:rPr>
                <w:b w:val="0"/>
                <w:sz w:val="20"/>
              </w:rPr>
              <w:t>35.5%</w:t>
            </w:r>
          </w:p>
        </w:tc>
        <w:tc>
          <w:tcPr>
            <w:tcW w:type="dxa" w:w="2572"/>
            <w:vAlign w:val="center"/>
            <w:tcMar>
              <w:top w:w="85" w:type="dxa"/>
              <w:left w:w="85" w:type="dxa"/>
              <w:bottom w:w="85" w:type="dxa"/>
              <w:right w:w="85" w:type="dxa"/>
            </w:tcMar>
            <w:shd w:fill="F7F8FA"/>
          </w:tcPr>
          <w:p>
            <w:pPr>
              <w:spacing w:after="40" w:before="40" w:line="245" w:lineRule="auto"/>
            </w:pPr>
            <w:r>
              <w:rPr>
                <w:b w:val="0"/>
                <w:sz w:val="20"/>
              </w:rPr>
              <w:t>75.2% at 144.0 points</w:t>
            </w:r>
          </w:p>
        </w:tc>
        <w:tc>
          <w:tcPr>
            <w:tcW w:type="dxa" w:w="2572"/>
            <w:vAlign w:val="center"/>
            <w:tcMar>
              <w:top w:w="85" w:type="dxa"/>
              <w:left w:w="85" w:type="dxa"/>
              <w:bottom w:w="85" w:type="dxa"/>
              <w:right w:w="85" w:type="dxa"/>
            </w:tcMar>
            <w:shd w:fill="F7F8FA"/>
          </w:tcPr>
          <w:p>
            <w:pPr>
              <w:spacing w:after="40" w:before="40" w:line="245" w:lineRule="auto"/>
            </w:pPr>
            <w:r>
              <w:rPr>
                <w:b w:val="0"/>
                <w:sz w:val="20"/>
              </w:rPr>
              <w:t>85.7% at 181.2 points</w:t>
            </w:r>
          </w:p>
        </w:tc>
      </w:tr>
      <w:tr>
        <w:trPr>
          <w:cantSplit/>
        </w:trPr>
        <w:tc>
          <w:tcPr>
            <w:tcW w:type="dxa" w:w="2329"/>
            <w:vAlign w:val="center"/>
            <w:tcMar>
              <w:top w:w="85" w:type="dxa"/>
              <w:left w:w="85" w:type="dxa"/>
              <w:bottom w:w="85" w:type="dxa"/>
              <w:right w:w="85" w:type="dxa"/>
            </w:tcMar>
            <w:shd w:fill="FFFFFF"/>
          </w:tcPr>
          <w:p>
            <w:pPr>
              <w:spacing w:after="40" w:before="40" w:line="245" w:lineRule="auto"/>
            </w:pPr>
            <w:r>
              <w:rPr>
                <w:b w:val="0"/>
                <w:sz w:val="20"/>
              </w:rPr>
              <w:t>Last60 Percentage</w:t>
            </w:r>
          </w:p>
        </w:tc>
        <w:tc>
          <w:tcPr>
            <w:tcW w:type="dxa" w:w="2232"/>
            <w:vAlign w:val="center"/>
            <w:tcMar>
              <w:top w:w="85" w:type="dxa"/>
              <w:left w:w="85" w:type="dxa"/>
              <w:bottom w:w="85" w:type="dxa"/>
              <w:right w:w="85" w:type="dxa"/>
            </w:tcMar>
            <w:shd w:fill="FFFFFF"/>
          </w:tcPr>
          <w:p>
            <w:pPr>
              <w:spacing w:after="40" w:before="40" w:line="245" w:lineRule="auto"/>
            </w:pPr>
            <w:r>
              <w:rPr>
                <w:b w:val="0"/>
                <w:sz w:val="20"/>
              </w:rPr>
              <w:t>36.7%</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76.9% at 147.6 points</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85.2% at 185.9 points</w:t>
            </w:r>
          </w:p>
        </w:tc>
      </w:tr>
      <w:tr>
        <w:trPr>
          <w:cantSplit/>
        </w:trPr>
        <w:tc>
          <w:tcPr>
            <w:tcW w:type="dxa" w:w="2329"/>
            <w:vAlign w:val="center"/>
            <w:tcMar>
              <w:top w:w="85" w:type="dxa"/>
              <w:left w:w="85" w:type="dxa"/>
              <w:bottom w:w="85" w:type="dxa"/>
              <w:right w:w="85" w:type="dxa"/>
            </w:tcMar>
            <w:shd w:fill="F7F8FA"/>
          </w:tcPr>
          <w:p>
            <w:pPr>
              <w:spacing w:after="40" w:before="40" w:line="245" w:lineRule="auto"/>
            </w:pPr>
            <w:r>
              <w:rPr>
                <w:b w:val="0"/>
                <w:sz w:val="20"/>
              </w:rPr>
              <w:t>Last60 ATR</w:t>
            </w:r>
          </w:p>
        </w:tc>
        <w:tc>
          <w:tcPr>
            <w:tcW w:type="dxa" w:w="2232"/>
            <w:vAlign w:val="center"/>
            <w:tcMar>
              <w:top w:w="85" w:type="dxa"/>
              <w:left w:w="85" w:type="dxa"/>
              <w:bottom w:w="85" w:type="dxa"/>
              <w:right w:w="85" w:type="dxa"/>
            </w:tcMar>
            <w:shd w:fill="F7F8FA"/>
          </w:tcPr>
          <w:p>
            <w:pPr>
              <w:spacing w:after="40" w:before="40" w:line="245" w:lineRule="auto"/>
            </w:pPr>
            <w:r>
              <w:rPr>
                <w:b w:val="0"/>
                <w:sz w:val="20"/>
              </w:rPr>
              <w:t>35.7%</w:t>
            </w:r>
          </w:p>
        </w:tc>
        <w:tc>
          <w:tcPr>
            <w:tcW w:type="dxa" w:w="2572"/>
            <w:vAlign w:val="center"/>
            <w:tcMar>
              <w:top w:w="85" w:type="dxa"/>
              <w:left w:w="85" w:type="dxa"/>
              <w:bottom w:w="85" w:type="dxa"/>
              <w:right w:w="85" w:type="dxa"/>
            </w:tcMar>
            <w:shd w:fill="F7F8FA"/>
          </w:tcPr>
          <w:p>
            <w:pPr>
              <w:spacing w:after="40" w:before="40" w:line="245" w:lineRule="auto"/>
            </w:pPr>
            <w:r>
              <w:rPr>
                <w:b w:val="0"/>
                <w:sz w:val="20"/>
              </w:rPr>
              <w:t>79.0% at 150.7 points</w:t>
            </w:r>
          </w:p>
        </w:tc>
        <w:tc>
          <w:tcPr>
            <w:tcW w:type="dxa" w:w="2572"/>
            <w:vAlign w:val="center"/>
            <w:tcMar>
              <w:top w:w="85" w:type="dxa"/>
              <w:left w:w="85" w:type="dxa"/>
              <w:bottom w:w="85" w:type="dxa"/>
              <w:right w:w="85" w:type="dxa"/>
            </w:tcMar>
            <w:shd w:fill="F7F8FA"/>
          </w:tcPr>
          <w:p>
            <w:pPr>
              <w:spacing w:after="40" w:before="40" w:line="245" w:lineRule="auto"/>
            </w:pPr>
            <w:r>
              <w:rPr>
                <w:b w:val="0"/>
                <w:sz w:val="20"/>
              </w:rPr>
              <w:t>85.7% at 191.0 points</w:t>
            </w:r>
          </w:p>
        </w:tc>
      </w:tr>
      <w:tr>
        <w:trPr>
          <w:cantSplit/>
        </w:trPr>
        <w:tc>
          <w:tcPr>
            <w:tcW w:type="dxa" w:w="2329"/>
            <w:vAlign w:val="center"/>
            <w:tcMar>
              <w:top w:w="85" w:type="dxa"/>
              <w:left w:w="85" w:type="dxa"/>
              <w:bottom w:w="85" w:type="dxa"/>
              <w:right w:w="85" w:type="dxa"/>
            </w:tcMar>
            <w:shd w:fill="FFFFFF"/>
          </w:tcPr>
          <w:p>
            <w:pPr>
              <w:spacing w:after="40" w:before="40" w:line="245" w:lineRule="auto"/>
            </w:pPr>
            <w:r>
              <w:rPr>
                <w:b w:val="0"/>
                <w:sz w:val="20"/>
              </w:rPr>
              <w:t>Last252 Points</w:t>
            </w:r>
          </w:p>
        </w:tc>
        <w:tc>
          <w:tcPr>
            <w:tcW w:type="dxa" w:w="2232"/>
            <w:vAlign w:val="center"/>
            <w:tcMar>
              <w:top w:w="85" w:type="dxa"/>
              <w:left w:w="85" w:type="dxa"/>
              <w:bottom w:w="85" w:type="dxa"/>
              <w:right w:w="85" w:type="dxa"/>
            </w:tcMar>
            <w:shd w:fill="FFFFFF"/>
          </w:tcPr>
          <w:p>
            <w:pPr>
              <w:spacing w:after="40" w:before="40" w:line="245" w:lineRule="auto"/>
            </w:pPr>
            <w:r>
              <w:rPr>
                <w:b w:val="0"/>
                <w:sz w:val="20"/>
              </w:rPr>
              <w:t>28.8%</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75.2% at 136.8 points</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87.1% at 178.9 points</w:t>
            </w:r>
          </w:p>
        </w:tc>
      </w:tr>
      <w:tr>
        <w:trPr>
          <w:cantSplit/>
        </w:trPr>
        <w:tc>
          <w:tcPr>
            <w:tcW w:type="dxa" w:w="2329"/>
            <w:vAlign w:val="center"/>
            <w:tcMar>
              <w:top w:w="85" w:type="dxa"/>
              <w:left w:w="85" w:type="dxa"/>
              <w:bottom w:w="85" w:type="dxa"/>
              <w:right w:w="85" w:type="dxa"/>
            </w:tcMar>
            <w:shd w:fill="F7F8FA"/>
          </w:tcPr>
          <w:p>
            <w:pPr>
              <w:spacing w:after="40" w:before="40" w:line="245" w:lineRule="auto"/>
            </w:pPr>
            <w:r>
              <w:rPr>
                <w:b w:val="0"/>
                <w:sz w:val="20"/>
              </w:rPr>
              <w:t>Last252 Percentage</w:t>
            </w:r>
          </w:p>
        </w:tc>
        <w:tc>
          <w:tcPr>
            <w:tcW w:type="dxa" w:w="2232"/>
            <w:vAlign w:val="center"/>
            <w:tcMar>
              <w:top w:w="85" w:type="dxa"/>
              <w:left w:w="85" w:type="dxa"/>
              <w:bottom w:w="85" w:type="dxa"/>
              <w:right w:w="85" w:type="dxa"/>
            </w:tcMar>
            <w:shd w:fill="F7F8FA"/>
          </w:tcPr>
          <w:p>
            <w:pPr>
              <w:spacing w:after="40" w:before="40" w:line="245" w:lineRule="auto"/>
            </w:pPr>
            <w:r>
              <w:rPr>
                <w:b w:val="0"/>
                <w:sz w:val="20"/>
              </w:rPr>
              <w:t>35.0%</w:t>
            </w:r>
          </w:p>
        </w:tc>
        <w:tc>
          <w:tcPr>
            <w:tcW w:type="dxa" w:w="2572"/>
            <w:vAlign w:val="center"/>
            <w:tcMar>
              <w:top w:w="85" w:type="dxa"/>
              <w:left w:w="85" w:type="dxa"/>
              <w:bottom w:w="85" w:type="dxa"/>
              <w:right w:w="85" w:type="dxa"/>
            </w:tcMar>
            <w:shd w:fill="F7F8FA"/>
          </w:tcPr>
          <w:p>
            <w:pPr>
              <w:spacing w:after="40" w:before="40" w:line="245" w:lineRule="auto"/>
            </w:pPr>
            <w:r>
              <w:rPr>
                <w:b w:val="0"/>
                <w:sz w:val="20"/>
              </w:rPr>
              <w:t>79.3% at 146.1 points</w:t>
            </w:r>
          </w:p>
        </w:tc>
        <w:tc>
          <w:tcPr>
            <w:tcW w:type="dxa" w:w="2572"/>
            <w:vAlign w:val="center"/>
            <w:tcMar>
              <w:top w:w="85" w:type="dxa"/>
              <w:left w:w="85" w:type="dxa"/>
              <w:bottom w:w="85" w:type="dxa"/>
              <w:right w:w="85" w:type="dxa"/>
            </w:tcMar>
            <w:shd w:fill="F7F8FA"/>
          </w:tcPr>
          <w:p>
            <w:pPr>
              <w:spacing w:after="40" w:before="40" w:line="245" w:lineRule="auto"/>
            </w:pPr>
            <w:r>
              <w:rPr>
                <w:b w:val="0"/>
                <w:sz w:val="20"/>
              </w:rPr>
              <w:t>87.6% at 191.5 points</w:t>
            </w:r>
          </w:p>
        </w:tc>
      </w:tr>
      <w:tr>
        <w:trPr>
          <w:cantSplit/>
        </w:trPr>
        <w:tc>
          <w:tcPr>
            <w:tcW w:type="dxa" w:w="2329"/>
            <w:vAlign w:val="center"/>
            <w:tcMar>
              <w:top w:w="85" w:type="dxa"/>
              <w:left w:w="85" w:type="dxa"/>
              <w:bottom w:w="85" w:type="dxa"/>
              <w:right w:w="85" w:type="dxa"/>
            </w:tcMar>
            <w:shd w:fill="FFFFFF"/>
          </w:tcPr>
          <w:p>
            <w:pPr>
              <w:spacing w:after="40" w:before="40" w:line="245" w:lineRule="auto"/>
            </w:pPr>
            <w:r>
              <w:rPr>
                <w:b w:val="0"/>
                <w:sz w:val="20"/>
              </w:rPr>
              <w:t>Last252 ATR</w:t>
            </w:r>
          </w:p>
        </w:tc>
        <w:tc>
          <w:tcPr>
            <w:tcW w:type="dxa" w:w="2232"/>
            <w:vAlign w:val="center"/>
            <w:tcMar>
              <w:top w:w="85" w:type="dxa"/>
              <w:left w:w="85" w:type="dxa"/>
              <w:bottom w:w="85" w:type="dxa"/>
              <w:right w:w="85" w:type="dxa"/>
            </w:tcMar>
            <w:shd w:fill="FFFFFF"/>
          </w:tcPr>
          <w:p>
            <w:pPr>
              <w:spacing w:after="40" w:before="40" w:line="245" w:lineRule="auto"/>
            </w:pPr>
            <w:r>
              <w:rPr>
                <w:b w:val="0"/>
                <w:sz w:val="20"/>
              </w:rPr>
              <w:t>32.4%</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79.8% at 152.2 points</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89.8% at 192.4 points</w:t>
            </w:r>
          </w:p>
        </w:tc>
      </w:tr>
    </w:tbl>
    <w:p>
      <w:pPr>
        <w:spacing w:after="20"/>
      </w:pPr>
    </w:p>
    <w:p>
      <w:r>
        <w:t>Read horizontally to see the coverage-versus-width change when moving from Q90 to Q95. Read vertically to compare models for the same event and test period. The All Points Q90 region was much narrower than All ATR Q90, so the difference in containment does not isolate model skill from width.</w:t>
      </w:r>
    </w:p>
    <w:p>
      <w:r>
        <w:t>For All ATR Q90, 351/420 = 83.5714%, rounding to 83.6%. Q95 gives 383/420 = 91.1905%, rounding to 91.2%. The reported block confidence intervals were 78.8%–87.9% and 87.6%–94.5%. These concern estimated coverage rates, not price boundaries.</w:t>
      </w:r>
    </w:p>
    <w:p>
      <w:r>
        <w:t>The reported block SEs, about 2.3 and 1.7 percentage points, are rate uncertainties. Twenty-session blocks produced somewhat different intervals: 78.6%–88.6% and 87.1%–94.8%. That is a sensitivity comparison under different resampling assumptions.</w:t>
      </w:r>
    </w:p>
    <w:p>
      <w:r>
        <w:t>Last252 ATR had reported Q90 pinball loss 0.18241 versus All ATR 0.18331. The difference is 0.00090 ATR units in that average loss. A small exploratory difference without an appropriate comparison of uncertainty and untouched testing does not establish a universally superior model.</w:t>
      </w:r>
    </w:p>
    <w:p>
      <w:pPr>
        <w:pStyle w:val="Heading2"/>
      </w:pPr>
      <w:r>
        <w:t>Section 18.2 Extreme zones answer another question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9"/>
        <w:gridCol w:w="2232"/>
        <w:gridCol w:w="2572"/>
        <w:gridCol w:w="2572"/>
      </w:tblGrid>
      <w:tr>
        <w:trPr>
          <w:tblHeader/>
          <w:cantSplit/>
        </w:trPr>
        <w:tc>
          <w:tcPr>
            <w:tcW w:type="dxa" w:w="2329"/>
            <w:vAlign w:val="center"/>
            <w:tcMar>
              <w:top w:w="85" w:type="dxa"/>
              <w:left w:w="85" w:type="dxa"/>
              <w:bottom w:w="85" w:type="dxa"/>
              <w:right w:w="85" w:type="dxa"/>
            </w:tcMar>
            <w:shd w:fill="E5EAF0"/>
          </w:tcPr>
          <w:p>
            <w:pPr>
              <w:spacing w:after="40" w:before="40" w:line="245" w:lineRule="auto"/>
            </w:pPr>
            <w:r>
              <w:rPr>
                <w:b/>
                <w:sz w:val="20"/>
              </w:rPr>
              <w:t>All ATR zone</w:t>
            </w:r>
          </w:p>
        </w:tc>
        <w:tc>
          <w:tcPr>
            <w:tcW w:type="dxa" w:w="2232"/>
            <w:vAlign w:val="center"/>
            <w:tcMar>
              <w:top w:w="85" w:type="dxa"/>
              <w:left w:w="85" w:type="dxa"/>
              <w:bottom w:w="85" w:type="dxa"/>
              <w:right w:w="85" w:type="dxa"/>
            </w:tcMar>
            <w:shd w:fill="E5EAF0"/>
          </w:tcPr>
          <w:p>
            <w:pPr>
              <w:spacing w:after="40" w:before="40" w:line="245" w:lineRule="auto"/>
            </w:pPr>
            <w:r>
              <w:rPr>
                <w:b/>
                <w:sz w:val="20"/>
              </w:rPr>
              <w:t>Final high inside</w:t>
            </w:r>
          </w:p>
        </w:tc>
        <w:tc>
          <w:tcPr>
            <w:tcW w:type="dxa" w:w="2572"/>
            <w:vAlign w:val="center"/>
            <w:tcMar>
              <w:top w:w="85" w:type="dxa"/>
              <w:left w:w="85" w:type="dxa"/>
              <w:bottom w:w="85" w:type="dxa"/>
              <w:right w:w="85" w:type="dxa"/>
            </w:tcMar>
            <w:shd w:fill="E5EAF0"/>
          </w:tcPr>
          <w:p>
            <w:pPr>
              <w:spacing w:after="40" w:before="40" w:line="245" w:lineRule="auto"/>
            </w:pPr>
            <w:r>
              <w:rPr>
                <w:b/>
                <w:sz w:val="20"/>
              </w:rPr>
              <w:t>Final low inside</w:t>
            </w:r>
          </w:p>
        </w:tc>
        <w:tc>
          <w:tcPr>
            <w:tcW w:type="dxa" w:w="2572"/>
            <w:vAlign w:val="center"/>
            <w:tcMar>
              <w:top w:w="85" w:type="dxa"/>
              <w:left w:w="85" w:type="dxa"/>
              <w:bottom w:w="85" w:type="dxa"/>
              <w:right w:w="85" w:type="dxa"/>
            </w:tcMar>
            <w:shd w:fill="E5EAF0"/>
          </w:tcPr>
          <w:p>
            <w:pPr>
              <w:spacing w:after="40" w:before="40" w:line="245" w:lineRule="auto"/>
            </w:pPr>
            <w:r>
              <w:rPr>
                <w:b/>
                <w:sz w:val="20"/>
              </w:rPr>
              <w:t>Both inside their own zones</w:t>
            </w:r>
          </w:p>
        </w:tc>
      </w:tr>
      <w:tr>
        <w:trPr>
          <w:cantSplit/>
        </w:trPr>
        <w:tc>
          <w:tcPr>
            <w:tcW w:type="dxa" w:w="2329"/>
            <w:vAlign w:val="center"/>
            <w:tcMar>
              <w:top w:w="85" w:type="dxa"/>
              <w:left w:w="85" w:type="dxa"/>
              <w:bottom w:w="85" w:type="dxa"/>
              <w:right w:w="85" w:type="dxa"/>
            </w:tcMar>
            <w:shd w:fill="FFFFFF"/>
          </w:tcPr>
          <w:p>
            <w:pPr>
              <w:spacing w:after="40" w:before="40" w:line="245" w:lineRule="auto"/>
            </w:pPr>
            <w:r>
              <w:rPr>
                <w:b w:val="0"/>
                <w:sz w:val="20"/>
              </w:rPr>
              <w:t>MeanSE</w:t>
            </w:r>
          </w:p>
        </w:tc>
        <w:tc>
          <w:tcPr>
            <w:tcW w:type="dxa" w:w="2232"/>
            <w:vAlign w:val="center"/>
            <w:tcMar>
              <w:top w:w="85" w:type="dxa"/>
              <w:left w:w="85" w:type="dxa"/>
              <w:bottom w:w="85" w:type="dxa"/>
              <w:right w:w="85" w:type="dxa"/>
            </w:tcMar>
            <w:shd w:fill="FFFFFF"/>
          </w:tcPr>
          <w:p>
            <w:pPr>
              <w:spacing w:after="40" w:before="40" w:line="245" w:lineRule="auto"/>
            </w:pPr>
            <w:r>
              <w:rPr>
                <w:b w:val="0"/>
                <w:sz w:val="20"/>
              </w:rPr>
              <w:t>1.4%</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3.1%</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0.0%</w:t>
            </w:r>
          </w:p>
        </w:tc>
      </w:tr>
      <w:tr>
        <w:trPr>
          <w:cantSplit/>
        </w:trPr>
        <w:tc>
          <w:tcPr>
            <w:tcW w:type="dxa" w:w="2329"/>
            <w:vAlign w:val="center"/>
            <w:tcMar>
              <w:top w:w="85" w:type="dxa"/>
              <w:left w:w="85" w:type="dxa"/>
              <w:bottom w:w="85" w:type="dxa"/>
              <w:right w:w="85" w:type="dxa"/>
            </w:tcMar>
            <w:shd w:fill="F7F8FA"/>
          </w:tcPr>
          <w:p>
            <w:pPr>
              <w:spacing w:after="40" w:before="40" w:line="245" w:lineRule="auto"/>
            </w:pPr>
            <w:r>
              <w:rPr>
                <w:b w:val="0"/>
                <w:sz w:val="20"/>
              </w:rPr>
              <w:t>P25_P75</w:t>
            </w:r>
          </w:p>
        </w:tc>
        <w:tc>
          <w:tcPr>
            <w:tcW w:type="dxa" w:w="2232"/>
            <w:vAlign w:val="center"/>
            <w:tcMar>
              <w:top w:w="85" w:type="dxa"/>
              <w:left w:w="85" w:type="dxa"/>
              <w:bottom w:w="85" w:type="dxa"/>
              <w:right w:w="85" w:type="dxa"/>
            </w:tcMar>
            <w:shd w:fill="F7F8FA"/>
          </w:tcPr>
          <w:p>
            <w:pPr>
              <w:spacing w:after="40" w:before="40" w:line="245" w:lineRule="auto"/>
            </w:pPr>
            <w:r>
              <w:rPr>
                <w:b w:val="0"/>
                <w:sz w:val="20"/>
              </w:rPr>
              <w:t>50.0%</w:t>
            </w:r>
          </w:p>
        </w:tc>
        <w:tc>
          <w:tcPr>
            <w:tcW w:type="dxa" w:w="2572"/>
            <w:vAlign w:val="center"/>
            <w:tcMar>
              <w:top w:w="85" w:type="dxa"/>
              <w:left w:w="85" w:type="dxa"/>
              <w:bottom w:w="85" w:type="dxa"/>
              <w:right w:w="85" w:type="dxa"/>
            </w:tcMar>
            <w:shd w:fill="F7F8FA"/>
          </w:tcPr>
          <w:p>
            <w:pPr>
              <w:spacing w:after="40" w:before="40" w:line="245" w:lineRule="auto"/>
            </w:pPr>
            <w:r>
              <w:rPr>
                <w:b w:val="0"/>
                <w:sz w:val="20"/>
              </w:rPr>
              <w:t>49.0%</w:t>
            </w:r>
          </w:p>
        </w:tc>
        <w:tc>
          <w:tcPr>
            <w:tcW w:type="dxa" w:w="2572"/>
            <w:vAlign w:val="center"/>
            <w:tcMar>
              <w:top w:w="85" w:type="dxa"/>
              <w:left w:w="85" w:type="dxa"/>
              <w:bottom w:w="85" w:type="dxa"/>
              <w:right w:w="85" w:type="dxa"/>
            </w:tcMar>
            <w:shd w:fill="F7F8FA"/>
          </w:tcPr>
          <w:p>
            <w:pPr>
              <w:spacing w:after="40" w:before="40" w:line="245" w:lineRule="auto"/>
            </w:pPr>
            <w:r>
              <w:rPr>
                <w:b w:val="0"/>
                <w:sz w:val="20"/>
              </w:rPr>
              <w:t>26.2%</w:t>
            </w:r>
          </w:p>
        </w:tc>
      </w:tr>
      <w:tr>
        <w:trPr>
          <w:cantSplit/>
        </w:trPr>
        <w:tc>
          <w:tcPr>
            <w:tcW w:type="dxa" w:w="2329"/>
            <w:vAlign w:val="center"/>
            <w:tcMar>
              <w:top w:w="85" w:type="dxa"/>
              <w:left w:w="85" w:type="dxa"/>
              <w:bottom w:w="85" w:type="dxa"/>
              <w:right w:w="85" w:type="dxa"/>
            </w:tcMar>
            <w:shd w:fill="FFFFFF"/>
          </w:tcPr>
          <w:p>
            <w:pPr>
              <w:spacing w:after="40" w:before="40" w:line="245" w:lineRule="auto"/>
            </w:pPr>
            <w:r>
              <w:rPr>
                <w:b w:val="0"/>
                <w:sz w:val="20"/>
              </w:rPr>
              <w:t>P10_P90</w:t>
            </w:r>
          </w:p>
        </w:tc>
        <w:tc>
          <w:tcPr>
            <w:tcW w:type="dxa" w:w="2232"/>
            <w:vAlign w:val="center"/>
            <w:tcMar>
              <w:top w:w="85" w:type="dxa"/>
              <w:left w:w="85" w:type="dxa"/>
              <w:bottom w:w="85" w:type="dxa"/>
              <w:right w:w="85" w:type="dxa"/>
            </w:tcMar>
            <w:shd w:fill="FFFFFF"/>
          </w:tcPr>
          <w:p>
            <w:pPr>
              <w:spacing w:after="40" w:before="40" w:line="245" w:lineRule="auto"/>
            </w:pPr>
            <w:r>
              <w:rPr>
                <w:b w:val="0"/>
                <w:sz w:val="20"/>
              </w:rPr>
              <w:t>84.0%</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79.8%</w:t>
            </w:r>
          </w:p>
        </w:tc>
        <w:tc>
          <w:tcPr>
            <w:tcW w:type="dxa" w:w="2572"/>
            <w:vAlign w:val="center"/>
            <w:tcMar>
              <w:top w:w="85" w:type="dxa"/>
              <w:left w:w="85" w:type="dxa"/>
              <w:bottom w:w="85" w:type="dxa"/>
              <w:right w:w="85" w:type="dxa"/>
            </w:tcMar>
            <w:shd w:fill="FFFFFF"/>
          </w:tcPr>
          <w:p>
            <w:pPr>
              <w:spacing w:after="40" w:before="40" w:line="245" w:lineRule="auto"/>
            </w:pPr>
            <w:r>
              <w:rPr>
                <w:b w:val="0"/>
                <w:sz w:val="20"/>
              </w:rPr>
              <w:t>68.1%</w:t>
            </w:r>
          </w:p>
        </w:tc>
      </w:tr>
    </w:tbl>
    <w:p>
      <w:pPr>
        <w:spacing w:after="20"/>
      </w:pPr>
    </w:p>
    <w:p>
      <w:r>
        <w:t>The MeanSE results demonstrate why a narrow band around an estimated average is unsuitable for claiming broad coverage of individual extremes. For P10_P90, both-inside is 68.1%, while Q90 outer containment is 83.6%. The former also excludes sessions whose excursions are too small to reach the inner edges.</w:t>
      </w:r>
    </w:p>
    <w:p>
      <w:pPr>
        <w:pStyle w:val="Heading2"/>
      </w:pPr>
      <w:r>
        <w:t>Section 18.3 Timing and order examples</w:t>
      </w:r>
    </w:p>
    <w:p>
      <w:r>
        <w:t>The reported mean low time was 12:02:58, with IID SE 2.41 minutes and block SE 2.34. Mean high time was 12:35:12, with corresponding SEs 2.56 and 2.48. These SEs concern mean precision. Compare them with much wider individual timing ranges: LOD P25–P75 was 09:49–14:21, and HOD P25–P75 was 10:01–15:20.</w:t>
      </w:r>
    </w:p>
    <w:p>
      <w:r>
        <w:t>Median low time was 11:11 and median high time 12:11. The most frequent half-hour window was 09:30–10:00 for both, containing 29.3% of low labels and 24.2% of high labels. A distribution can therefore have an early modal window and a midday mean without contradiction.</w:t>
      </w:r>
    </w:p>
    <w:p>
      <w:r>
        <w:t>Low-first/high-first counts were 1860/1639. Ratio = 1860 ÷ 1639 ≈ 1.135; low-first share = 1860 ÷ 3499 ≈ 53.2%. Its ratio block SE 0.036 is dimensionless. In the reported recent 60 rows, counts were 30/30, giving ratio 1 and share 50%. The samples overlap, so this is a descriptive comparison, not an automatic significance test.</w:t>
      </w:r>
    </w:p>
    <w:p>
      <w:r>
        <w:t>Walk-forward mean-time MAE was 124.7 minutes for lows and 135.3 for highs, about two hours. Mean ± SE windows caught zero lows and only two highs in 420 tests. Precisely knowing an average time clearly did not produce precise individual-day timing forecasts in this archived evaluation.</w:t>
      </w:r>
    </w:p>
    <w:p>
      <w:pPr>
        <w:pStyle w:val="Heading2"/>
      </w:pPr>
      <w:r>
        <w:t>Section 18.4 Why the conditions matter</w:t>
      </w:r>
    </w:p>
    <w:p>
      <w:r>
        <w:t>The README reports sparse early history, raw conversion concerns, mixed label conventions, and seven manual test rows lacking bar-count evidence. Its verified-count subset had 413 rows, seven fewer than 420. Later converter tests do not retroactively prove those historical rows were correctly reconstructed.</w:t>
      </w:r>
    </w:p>
    <w:p>
      <w:r>
        <w:t>For a within-session additive adjustment P′ = P + c, the point excursion is unchanged: (H + c) − (O + c) = H − O. The percentage becomes 100(H − O)/(O + c), so its denominator changes. For example, a 20-point move from 2000 is 1%; add 1000 to both open and high and it becomes 20/3000 × 100 = 0.6667%. Cross-session adjustments can also affect TR if previous and current prices are not shifted consistently.</w:t>
      </w:r>
    </w:p>
    <w:p>
      <w:r>
        <w:t>A historical file reconstructed later may contain adjustment information not available in that exact form on the original date. Excluding future rows does not itself audit the data vintage. In addition, inspecting 54 configurations on previously discussed years creates selection risk: choosing a winner after seeing those years does not leave them an untouched holdout.</w:t>
      </w:r>
    </w:p>
    <w:p>
      <w:r>
        <w:t>Day-trading relevance: these archived results help interpret the model’s questions. They do not establish an 83.6% or 91.2% trade win rate, a reversal probability at a touch, or a prop-evaluation pass rate.</w:t>
      </w:r>
    </w:p>
    <w:p>
      <w:pPr>
        <w:pStyle w:val="Heading1"/>
      </w:pPr>
      <w:r>
        <w:t>19 Project evolution and updates</w:t>
      </w:r>
    </w:p>
    <w:p>
      <w:r>
        <w:rPr>
          <w:i/>
          <w:sz w:val="18"/>
        </w:rPr>
        <w:t>Source: section 19, lines 1103–1133.</w:t>
      </w:r>
    </w:p>
    <w:p>
      <w:r>
        <w:t>This section records why the project became complicated. Each update either changes the observations, changes the statistics, clarifies uncertainty, or improves software operation. It is not a list of separately proven trading advantages.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3"/>
        <w:gridCol w:w="6503"/>
      </w:tblGrid>
      <w:tr>
        <w:trPr>
          <w:tblHeader/>
          <w:cantSplit/>
        </w:trPr>
        <w:tc>
          <w:tcPr>
            <w:tcW w:type="dxa" w:w="3203"/>
            <w:vAlign w:val="center"/>
            <w:tcMar>
              <w:top w:w="85" w:type="dxa"/>
              <w:left w:w="85" w:type="dxa"/>
              <w:bottom w:w="85" w:type="dxa"/>
              <w:right w:w="85" w:type="dxa"/>
            </w:tcMar>
            <w:shd w:fill="E5EAF0"/>
          </w:tcPr>
          <w:p>
            <w:pPr>
              <w:spacing w:after="40" w:before="40" w:line="245" w:lineRule="auto"/>
            </w:pPr>
            <w:r>
              <w:rPr>
                <w:b/>
                <w:sz w:val="20"/>
              </w:rPr>
              <w:t>Update passage</w:t>
            </w:r>
          </w:p>
        </w:tc>
        <w:tc>
          <w:tcPr>
            <w:tcW w:type="dxa" w:w="6503"/>
            <w:vAlign w:val="center"/>
            <w:tcMar>
              <w:top w:w="85" w:type="dxa"/>
              <w:left w:w="85" w:type="dxa"/>
              <w:bottom w:w="85" w:type="dxa"/>
              <w:right w:w="85" w:type="dxa"/>
            </w:tcMar>
            <w:shd w:fill="E5EAF0"/>
          </w:tcPr>
          <w:p>
            <w:pPr>
              <w:spacing w:after="40" w:before="40" w:line="245" w:lineRule="auto"/>
            </w:pPr>
            <w:r>
              <w:rPr>
                <w:b/>
                <w:sz w:val="20"/>
              </w:rPr>
              <w:t>What changed and why</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Original concept and seven-session exercise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Established open-relative upside/downside distances and demonstrated their averages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Date identification</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Replaced reliance on row numbers for chronology and merging</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Richer records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Added close, timing, and volume so ATR and timing/order analysis became possible</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Mean uncertainty</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Added SD and s/√n to distinguish spread from average precision</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Normalization</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Added own-open percentages and own-prior-ATR multiples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ATR provenance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Made timing, seed, reset, and denominator definitions explicit</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Manual updates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Added supplied sessions while retaining the completeness limitation</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Timing statistics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Added average extreme labels with uncertainties in minutes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Extreme order</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Separated counts, ratio, share, and unknown ordering</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Distribution detail</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Added medians, percentile intervals, and all half-hour bins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Recent comparisons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Added All, Last60, Last252, and optional LastN</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Bootstrap uncertainty</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Added resampling uncertainty for several estimator types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Outer envelopes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Separated whole-session containment from final-extreme location</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Separate backtest</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Evaluated earlier-data forecasts against later sessions in the archived package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Colab argument fix</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Handled notebook launcher arguments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Missing-helper fix</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Embedded calculator helpers in the current standalone script</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Converter rewrite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Clarified clock, labels, exact grid, exclusions, and metadata</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Multi-timeframe support</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Added genuine 1m, 5m, and 15m handling with honest timing precision</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Short-sample compatibility</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Allowed price-only output without inventing ATR and avoided degenerate full-sample blocks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Usability and scale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Added upload/download and chunked processing workflows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Documentation</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Connected formulas, outputs, code snapshot, and limits in one explanation</w:t>
            </w:r>
          </w:p>
        </w:tc>
      </w:tr>
    </w:tbl>
    <w:p>
      <w:pPr>
        <w:spacing w:after="20"/>
      </w:pPr>
    </w:p>
    <w:p>
      <w:r>
        <w:t>Noise Area, VWAP trend, prop evaluation, and GC stop/breakeven work are separate projects. Their rules do not become Andrice Levels rules just because they appeared in related discussions.</w:t>
      </w:r>
    </w:p>
    <w:p>
      <w:pPr>
        <w:pStyle w:val="Heading1"/>
      </w:pPr>
      <w:r>
        <w:t>20 Maintenance troubleshooting and validation</w:t>
      </w:r>
    </w:p>
    <w:p>
      <w:r>
        <w:rPr>
          <w:i/>
          <w:sz w:val="18"/>
        </w:rPr>
        <w:t>Source: section 20, lines 1134–1174.</w:t>
      </w:r>
    </w:p>
    <w:p>
      <w:pPr>
        <w:pStyle w:val="Heading2"/>
      </w:pPr>
      <w:r>
        <w:t>Section 20.1 Updating data</w:t>
      </w:r>
    </w:p>
    <w:p>
      <w:r>
        <w:t>The converter processes a supplied raw history; it does not automatically merge a completed-session file. A correct incremental update must preserve previous close and ATR state. Because ATR is recursive, correcting an earlier TR can alter all subsequent ending ATRs, historical normalized observations, and downstream statistics until a reset breaks that dependency.</w:t>
      </w:r>
    </w:p>
    <w:p>
      <w:r>
        <w:t>Record asset, contract convention, adjustment method, timezone, interval, and start/end labels. A dataset can look numerically plausible while combining incompatible definitions. Do not replace absent timing, volume semantics, or bar counts with guesses.</w:t>
      </w:r>
    </w:p>
    <w:p>
      <w:pPr>
        <w:pStyle w:val="Heading2"/>
      </w:pPr>
      <w:r>
        <w:t>Section 20.2 Troubleshooting translation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3"/>
        <w:gridCol w:w="6503"/>
      </w:tblGrid>
      <w:tr>
        <w:trPr>
          <w:tblHeader/>
          <w:cantSplit/>
        </w:trPr>
        <w:tc>
          <w:tcPr>
            <w:tcW w:type="dxa" w:w="3203"/>
            <w:vAlign w:val="center"/>
            <w:tcMar>
              <w:top w:w="85" w:type="dxa"/>
              <w:left w:w="85" w:type="dxa"/>
              <w:bottom w:w="85" w:type="dxa"/>
              <w:right w:w="85" w:type="dxa"/>
            </w:tcMar>
            <w:shd w:fill="E5EAF0"/>
          </w:tcPr>
          <w:p>
            <w:pPr>
              <w:spacing w:after="40" w:before="40" w:line="245" w:lineRule="auto"/>
            </w:pPr>
            <w:r>
              <w:rPr>
                <w:b/>
                <w:sz w:val="20"/>
              </w:rPr>
              <w:t>Symptom</w:t>
            </w:r>
          </w:p>
        </w:tc>
        <w:tc>
          <w:tcPr>
            <w:tcW w:type="dxa" w:w="6503"/>
            <w:vAlign w:val="center"/>
            <w:tcMar>
              <w:top w:w="85" w:type="dxa"/>
              <w:left w:w="85" w:type="dxa"/>
              <w:bottom w:w="85" w:type="dxa"/>
              <w:right w:w="85" w:type="dxa"/>
            </w:tcMar>
            <w:shd w:fill="E5EAF0"/>
          </w:tcPr>
          <w:p>
            <w:pPr>
              <w:spacing w:after="40" w:before="40" w:line="245" w:lineRule="auto"/>
            </w:pPr>
            <w:r>
              <w:rPr>
                <w:b/>
                <w:sz w:val="20"/>
              </w:rPr>
              <w:t>Interpretation</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Missing rth_stats module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Older helper-dependent script or notebook cell is being used</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Unrecognized -f</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Older CLI parser is seeing notebook arguments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No complete sessions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Investigate exclusion reasons and timestamp/coverage settings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Missing labels near boundaries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A bar-label or timezone mismatch is a plausible cause to check</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Unsupported timeframe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Re-export genuine supported bars; a flag cannot recover a path</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Blank ATR in five-session test</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Expected because the 14-session seed is unavailable</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Nonpositive ATR rejected</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Division needs a positive finite scale; zero is unsuitable</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Need two historical sessions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Too little eligible data remains for the relevant statistics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Duplicate date or derived mismatch</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Correct the records and calculations rather than bypassing checks</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Tiny or zero bootstrap SE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Examine ties, sample size, effective blocks, and valid replicates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Identical cohort statistics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There may be fewer rows than any requested window</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Unexpected old files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Reusing a directory can leave projection files from a prior run</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No calculator download</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Outputs were saved and require an explicit download step</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Stale forecast</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Check latest input date and prior ATR; missing history is not fetched</w:t>
            </w:r>
          </w:p>
        </w:tc>
      </w:tr>
    </w:tbl>
    <w:p>
      <w:pPr>
        <w:spacing w:after="20"/>
      </w:pPr>
    </w:p>
    <w:p>
      <w:pPr>
        <w:pStyle w:val="Heading2"/>
      </w:pPr>
      <w:r>
        <w:t>Sections 20.3 and 20.4 What tests prove</w:t>
      </w:r>
    </w:p>
    <w:p>
      <w:r>
        <w:t>The README reports eleven targeted converter/package tests and synthetic examples addressing labels, intervals, completeness, OHLC/volume, ATR, and notebook behavior. Synthetic tests can establish that a known input produces its intended output. They cannot show that a market strategy earns money or that an uninspected full historical vendor file is accurate.</w:t>
      </w:r>
    </w:p>
    <w:p>
      <w:r>
        <w:t>The synthetic five-session case had 2700 total raw one-minute bars, including non-RTH data; accepted sessions had 390 RTH bars each. Coarser aggregation preserved OHLC and volume but reduced time precision. The separately reported January sample excluded a date with only one overlapping RTH bar. These are examples of pipeline behavior, not new trading observations.</w:t>
      </w:r>
    </w:p>
    <w:p>
      <w:r>
        <w:t>Retain a reproducibility record: exact data fingerprint, code commit, settings, dates, current inputs, cohort choices, bootstrap parameters, and outputs. Freeze forecast inputs before comparing later outcomes. The source’s reported byte identity and test history are documentation claims; this companion has not rerun those tests.</w:t>
      </w:r>
    </w:p>
    <w:p>
      <w:pPr>
        <w:pStyle w:val="Heading1"/>
      </w:pPr>
      <w:r>
        <w:t>21 Extensions and remaining research</w:t>
      </w:r>
    </w:p>
    <w:p>
      <w:r>
        <w:rPr>
          <w:i/>
          <w:sz w:val="18"/>
        </w:rPr>
        <w:t>Source: section 21, lines 1175–1205.</w:t>
      </w:r>
    </w:p>
    <w:p>
      <w:pPr>
        <w:pStyle w:val="Heading2"/>
      </w:pPr>
      <w:r>
        <w:t>Section 21.1 Chart display</w:t>
      </w:r>
    </w:p>
    <w:p>
      <w:r>
        <w:t>The Python commands calculate and export references. They do not include a TradingView connection or Pine indicator. A display implementation must know the date, asset, clock, open, selected model/cohort, zone definitions, and stale-data behavior.</w:t>
      </w:r>
    </w:p>
    <w:p>
      <w:r>
        <w:t>The proposed display distinguishes the open, HOD/LOD percentile zones, Q90/Q95 outer boundaries, and a small amount of uncertainty/sample information. The purpose of limiting displayed configurations is readability. It does not justify quietly changing the model after seeing today’s outcome.</w:t>
      </w:r>
    </w:p>
    <w:p>
      <w:pPr>
        <w:pStyle w:val="Heading2"/>
      </w:pPr>
      <w:r>
        <w:t>Section 21.2 Conditional research</w:t>
      </w:r>
    </w:p>
    <w:p>
      <w:r>
        <w:t>“Given that the upper level was reached by 10:30” adds information about the live path. A conditional probability uses only observations satisfying that condition in its denominator. It is not supplied by the unconditional daily P90 table.</w:t>
      </w:r>
    </w:p>
    <w:p>
      <w:r>
        <w:t>Example: out of 100 days, suppose 20 reached a specified upper level by 10:30, and 8 of those then met a precisely defined later event. The conditional estimate would be 8/20 = 40%, not 8/100 = 8%. To calculate it honestly, you need intraday timestamps and a definition fixed before inspecting outcomes. These numbers illustrate the arithmetic only.</w:t>
      </w:r>
    </w:p>
    <w:p>
      <w:r>
        <w:t>Conditional breach severity, volatility-regime coverage, and adaptation are further research tasks. A rolling window changes which observations are used; exponential weighting would change their weights; a volatility forecast changes the scale. None is automatically implemented by being discussed.</w:t>
      </w:r>
    </w:p>
    <w:p>
      <w:pPr>
        <w:pStyle w:val="Heading2"/>
      </w:pPr>
      <w:r>
        <w:t>Section 21.3 From levels to trading rules</w:t>
      </w:r>
    </w:p>
    <w:p>
      <w:r>
        <w:t>An actual strategy needs an entry event, direction, execution price, stop, target, exit time, allowed sessions, sizing, commissions, slippage, and intrabar ambiguity rules. Order flow adds observations about executed trades and liquidity behavior that these session statistics do not contain.</w:t>
      </w:r>
    </w:p>
    <w:p>
      <w:r>
        <w:t>For example, a study could ask whether a specifically defined rejection after entering a percentile zone behaves differently from the same rejection elsewhere. It must define rejection mechanically, record all qualifying examples, and evaluate later unseen data. “It looked like absorption” after the outcome is known is not a reproducible rule.</w:t>
      </w:r>
    </w:p>
    <w:p>
      <w:r>
        <w:t>A useful accounting identity is expected net result = win probability × average win − loss probability × average loss − average costs. This is an additional teaching formula, not an Andrice Levels output. With 90% winners averaging 1 unit and 10% losers averaging 12 units, expectancy before costs is 0.9 − 1.2 = −0.3 units. Even a true high trade win rate would not alone establish profitability; containment is further removed from trade returns.</w:t>
      </w:r>
    </w:p>
    <w:p>
      <w:r>
        <w:t>A prop-evaluation model additionally needs the actual drawdown mechanism, targets, consistency rules, horizon, and chronological equity path. None can be inferred from the excursion distribution alone.</w:t>
      </w:r>
    </w:p>
    <w:p>
      <w:pPr>
        <w:pStyle w:val="Heading1"/>
      </w:pPr>
      <w:r>
        <w:t>22 Formula reference and source map</w:t>
      </w:r>
    </w:p>
    <w:p>
      <w:r>
        <w:rPr>
          <w:i/>
          <w:sz w:val="18"/>
        </w:rPr>
        <w:t>Source: section 22, lines 1206–1258 in this revision.</w:t>
      </w:r>
    </w:p>
    <w:p>
      <w:r>
        <w:t>The compact formula table repeats earlier formulas; it does not introduce a second calculation system. Use this index to return to the explanation rather than trying to memorize the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3"/>
        <w:gridCol w:w="6503"/>
      </w:tblGrid>
      <w:tr>
        <w:trPr>
          <w:tblHeader/>
          <w:cantSplit/>
        </w:trPr>
        <w:tc>
          <w:tcPr>
            <w:tcW w:type="dxa" w:w="3203"/>
            <w:vAlign w:val="center"/>
            <w:tcMar>
              <w:top w:w="85" w:type="dxa"/>
              <w:left w:w="85" w:type="dxa"/>
              <w:bottom w:w="85" w:type="dxa"/>
              <w:right w:w="85" w:type="dxa"/>
            </w:tcMar>
            <w:shd w:fill="E5EAF0"/>
          </w:tcPr>
          <w:p>
            <w:pPr>
              <w:spacing w:after="40" w:before="40" w:line="245" w:lineRule="auto"/>
            </w:pPr>
            <w:r>
              <w:rPr>
                <w:b/>
                <w:sz w:val="20"/>
              </w:rPr>
              <w:t>README formula entry</w:t>
            </w:r>
          </w:p>
        </w:tc>
        <w:tc>
          <w:tcPr>
            <w:tcW w:type="dxa" w:w="6503"/>
            <w:vAlign w:val="center"/>
            <w:tcMar>
              <w:top w:w="85" w:type="dxa"/>
              <w:left w:w="85" w:type="dxa"/>
              <w:bottom w:w="85" w:type="dxa"/>
              <w:right w:w="85" w:type="dxa"/>
            </w:tcMar>
            <w:shd w:fill="E5EAF0"/>
          </w:tcPr>
          <w:p>
            <w:pPr>
              <w:spacing w:after="40" w:before="40" w:line="245" w:lineRule="auto"/>
            </w:pPr>
            <w:r>
              <w:rPr>
                <w:b/>
                <w:sz w:val="20"/>
              </w:rPr>
              <w:t>Companion explanation</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PUV and PDV points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Chapters 1 and 5</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Percentage excursions</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Chapter 5 own-open normalization</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ATR excursions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Chapter 5 prior-ATR normalization</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RTH range and true range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Chapters 4 and 5</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ATR seed and Wilder continuation</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Chapter 5 stepwise example</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Sample mean</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Chapter 6</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Sample SD and IID mean uncertainty</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Chapter 7</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Block SE and bootstrap CI95</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Chapter 7 resampled estimates</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MeanSE and central zones</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Chapter 8</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Price projections and boundary SE</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Chapter 9</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Timing offset</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Chapter 11</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Low-first share and order ratio</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Chapter 12</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Event rate and its IID SE</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Chapter 17</w:t>
            </w:r>
          </w:p>
        </w:tc>
      </w:tr>
      <w:tr>
        <w:trPr>
          <w:cantSplit/>
        </w:trPr>
        <w:tc>
          <w:tcPr>
            <w:tcW w:type="dxa" w:w="3203"/>
            <w:vAlign w:val="center"/>
            <w:tcMar>
              <w:top w:w="85" w:type="dxa"/>
              <w:left w:w="85" w:type="dxa"/>
              <w:bottom w:w="85" w:type="dxa"/>
              <w:right w:w="85" w:type="dxa"/>
            </w:tcMar>
            <w:shd w:fill="F7F8FA"/>
          </w:tcPr>
          <w:p>
            <w:pPr>
              <w:spacing w:after="40" w:before="40" w:line="245" w:lineRule="auto"/>
            </w:pPr>
            <w:r>
              <w:rPr>
                <w:b w:val="0"/>
                <w:sz w:val="20"/>
              </w:rPr>
              <w:t>Entire RTH containment</w:t>
            </w:r>
          </w:p>
        </w:tc>
        <w:tc>
          <w:tcPr>
            <w:tcW w:type="dxa" w:w="6503"/>
            <w:vAlign w:val="center"/>
            <w:tcMar>
              <w:top w:w="85" w:type="dxa"/>
              <w:left w:w="85" w:type="dxa"/>
              <w:bottom w:w="85" w:type="dxa"/>
              <w:right w:w="85" w:type="dxa"/>
            </w:tcMar>
            <w:shd w:fill="F7F8FA"/>
          </w:tcPr>
          <w:p>
            <w:pPr>
              <w:spacing w:after="40" w:before="40" w:line="245" w:lineRule="auto"/>
            </w:pPr>
            <w:r>
              <w:rPr>
                <w:b w:val="0"/>
                <w:sz w:val="20"/>
              </w:rPr>
              <w:t>Chapters 10 and 17</w:t>
            </w:r>
          </w:p>
        </w:tc>
      </w:tr>
      <w:tr>
        <w:trPr>
          <w:cantSplit/>
        </w:trPr>
        <w:tc>
          <w:tcPr>
            <w:tcW w:type="dxa" w:w="3203"/>
            <w:vAlign w:val="center"/>
            <w:tcMar>
              <w:top w:w="85" w:type="dxa"/>
              <w:left w:w="85" w:type="dxa"/>
              <w:bottom w:w="85" w:type="dxa"/>
              <w:right w:w="85" w:type="dxa"/>
            </w:tcMar>
            <w:shd w:fill="FFFFFF"/>
          </w:tcPr>
          <w:p>
            <w:pPr>
              <w:spacing w:after="40" w:before="40" w:line="245" w:lineRule="auto"/>
            </w:pPr>
            <w:r>
              <w:rPr>
                <w:b w:val="0"/>
                <w:sz w:val="20"/>
              </w:rPr>
              <w:t>Overshoot</w:t>
            </w:r>
          </w:p>
        </w:tc>
        <w:tc>
          <w:tcPr>
            <w:tcW w:type="dxa" w:w="6503"/>
            <w:vAlign w:val="center"/>
            <w:tcMar>
              <w:top w:w="85" w:type="dxa"/>
              <w:left w:w="85" w:type="dxa"/>
              <w:bottom w:w="85" w:type="dxa"/>
              <w:right w:w="85" w:type="dxa"/>
            </w:tcMar>
            <w:shd w:fill="FFFFFF"/>
          </w:tcPr>
          <w:p>
            <w:pPr>
              <w:spacing w:after="40" w:before="40" w:line="245" w:lineRule="auto"/>
            </w:pPr>
            <w:r>
              <w:rPr>
                <w:b w:val="0"/>
                <w:sz w:val="20"/>
              </w:rPr>
              <w:t>Chapter 17</w:t>
            </w:r>
          </w:p>
        </w:tc>
      </w:tr>
    </w:tbl>
    <w:p>
      <w:pPr>
        <w:spacing w:after="20"/>
      </w:pPr>
    </w:p>
    <w:p>
      <w:r>
        <w:t>The source-map function names tell a developer where the documented behavior lives. Converter names timestamps and detect_timeframe concern clock/interval interpretation; summarize_day concerns daily aggregation; add_atr concerns volatility state; convert_file concerns the file pipeline; download_output concerns delivery; main runs the program. Calculator names load_sessions, describe, block_indices, uncertainty, timing_report, cohort_report, forecast, project_rows, and project_envelopes correspond respectively to loading, distributions, resampling indices, estimator precision, time statistics, cohorts, forecasts, zone export, and envelope export.</w:t>
      </w:r>
    </w:p>
    <w:p>
      <w:r>
        <w:t>The archived report and backtest source are additional historical materials cited by the README, not implicitly included in the linked source snapshot. The final Markdown snippet simply adds a clickable link from the short README to its detailed companion. Markdown headings, tables, math fences, and links are presentation syntax; they are not additional market formulas.</w:t>
      </w:r>
    </w:p>
    <w:p>
      <w:r>
        <w:t>When implementation changes, the source commit, argument names, formulas, outputs, and test claims must be updated together. Otherwise a mathematically correct explanation can describe a different program version from the one being run.</w:t>
      </w:r>
    </w:p>
    <w:p>
      <w:pPr>
        <w:pStyle w:val="Heading1"/>
      </w:pPr>
      <w:r>
        <w:t>A complete worked reading exercise</w:t>
      </w:r>
    </w:p>
    <w:p>
      <w:r>
        <w:t>This invented example joins the main concepts without claiming a trade recommendation. Assume today’s RTH open is 6000, prior RTH ATR is 80, and one preselected historical cohort has the following normalized quantiles.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3106"/>
        <w:gridCol w:w="4076"/>
      </w:tblGrid>
      <w:tr>
        <w:trPr>
          <w:tblHeader/>
          <w:cantSplit/>
        </w:trPr>
        <w:tc>
          <w:tcPr>
            <w:tcW w:type="dxa" w:w="2523"/>
            <w:vAlign w:val="center"/>
            <w:tcMar>
              <w:top w:w="85" w:type="dxa"/>
              <w:left w:w="85" w:type="dxa"/>
              <w:bottom w:w="85" w:type="dxa"/>
              <w:right w:w="85" w:type="dxa"/>
            </w:tcMar>
            <w:shd w:fill="E5EAF0"/>
          </w:tcPr>
          <w:p>
            <w:pPr>
              <w:spacing w:after="40" w:before="40" w:line="245" w:lineRule="auto"/>
            </w:pPr>
            <w:r>
              <w:rPr>
                <w:b/>
                <w:sz w:val="20"/>
              </w:rPr>
              <w:t>Statistic</w:t>
            </w:r>
          </w:p>
        </w:tc>
        <w:tc>
          <w:tcPr>
            <w:tcW w:type="dxa" w:w="3106"/>
            <w:vAlign w:val="center"/>
            <w:tcMar>
              <w:top w:w="85" w:type="dxa"/>
              <w:left w:w="85" w:type="dxa"/>
              <w:bottom w:w="85" w:type="dxa"/>
              <w:right w:w="85" w:type="dxa"/>
            </w:tcMar>
            <w:shd w:fill="E5EAF0"/>
          </w:tcPr>
          <w:p>
            <w:pPr>
              <w:spacing w:after="40" w:before="40" w:line="245" w:lineRule="auto"/>
            </w:pPr>
            <w:r>
              <w:rPr>
                <w:b/>
                <w:sz w:val="20"/>
              </w:rPr>
              <w:t>Upside ATR multiple</w:t>
            </w:r>
          </w:p>
        </w:tc>
        <w:tc>
          <w:tcPr>
            <w:tcW w:type="dxa" w:w="4076"/>
            <w:vAlign w:val="center"/>
            <w:tcMar>
              <w:top w:w="85" w:type="dxa"/>
              <w:left w:w="85" w:type="dxa"/>
              <w:bottom w:w="85" w:type="dxa"/>
              <w:right w:w="85" w:type="dxa"/>
            </w:tcMar>
            <w:shd w:fill="E5EAF0"/>
          </w:tcPr>
          <w:p>
            <w:pPr>
              <w:spacing w:after="40" w:before="40" w:line="245" w:lineRule="auto"/>
            </w:pPr>
            <w:r>
              <w:rPr>
                <w:b/>
                <w:sz w:val="20"/>
              </w:rPr>
              <w:t>Downside ATR multiple</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P10</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0.10</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0.08</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P25</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0.25</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0.20</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P50</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0.45</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0.40</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P75</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0.75</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0.65</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P90</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1.10</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0.95</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P95</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1.40</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1.25</w:t>
            </w:r>
          </w:p>
        </w:tc>
      </w:tr>
    </w:tbl>
    <w:p>
      <w:pPr>
        <w:spacing w:after="20"/>
      </w:pPr>
    </w:p>
    <w:p>
      <w:r>
        <w:t>HOD P25_P75 is 6000 + 80 × 0.25 through 6000 + 80 × 0.75, giving 6020–6060. Its median center is 6000 + 80 × 0.45 = 6036, not midpoint 6040.</w:t>
      </w:r>
    </w:p>
    <w:p>
      <w:r>
        <w:t>LOD P25_P75 is 6000 − 80 × 0.65 through 6000 − 80 × 0.20, giving 5948–5984. Its median center is 6000 − 80 × 0.40 = 5968. Note the reversed distance endpoints.</w:t>
      </w:r>
    </w:p>
    <w:p>
      <w:r>
        <w:t>HOD P10_P90 is 6008–6088. LOD P10_P90 is 5924–5993.60. The Q90 envelope uses the far boundaries only: 5924–6088, width 164 points or 2.05 ATR. The Q95 envelope is 5900–6112, width 212 points or 2.65 ATR.</w:t>
      </w:r>
    </w:p>
    <w:p>
      <w:r>
        <w:t>If the upside P90 estimator SE is 0.05 ATR, its projected upper-bound SE is 80 × 0.05 = 4 points. The boundary remains 6088 under the original Q90 rule; the SE does not automatically replace it with 6092.</w:t>
      </w:r>
    </w:p>
    <w:p>
      <w:r>
        <w:t>Now suppose the completed day has high 6070, low 5955, close 6030. Realized upside = 70/80 = 0.875 ATR. Realized downside = 45/80 = 0.5625 ATR. The final high is outside P25_P75 but inside P10_P90. The final low is inside both zones. Both extremes are inside the P10_P90 pair, and the Q90 envelope contains the full session.</w:t>
      </w:r>
    </w:p>
    <w:p>
      <w:r>
        <w:t>Change only the final high to 6095. Now the Q90 upper bound is breached by 7 points. The HOD P10_P90 zone was reached, but the final high is outside it. The low still respects the lower envelope. If the close stays 6030, close-inside succeeds despite containment failing. Total overshoot is 7 points, or 0.0875 ATR.</w:t>
      </w:r>
    </w:p>
    <w:p>
      <w:r>
        <w:t>At 10:15, however, neither of these final outcomes would have been known. An upper-zone touch then supplies a location observation. It does not reveal which completed-day case will eventually occur.</w:t>
      </w:r>
    </w:p>
    <w:p>
      <w:pPr>
        <w:pStyle w:val="Heading1"/>
      </w:pPr>
      <w:r>
        <w:t>Using the guide during your day trading study</w:t>
      </w:r>
    </w:p>
    <w:p>
      <w:r>
        <w:t>Your immediate goal is to interpret the references correctly. Choosing the most profitable cohort, quantile, or entry rule requires separate evidence. The following is a study workflow, not a validated strategy.</w:t>
      </w:r>
    </w:p>
    <w:p>
      <w:r>
        <w:t>Before the session, check the latest accepted date, actual sample sizes, timezone, source label convention, prior RTH ATR, and chosen configuration. Review distributions in native units. Before 09:30, the actual RTH open anchor is not yet known, so any opening-price projection remains provisional.</w:t>
      </w:r>
    </w:p>
    <w:p>
      <w:r>
        <w:t>Once the RTH open is known, translate the preselected statistics into prices and freeze that run. Keep the labels explicit, such as ATR / Last252 / HOD P25_P75. A line called simply “resistance” hides what was actually calculated.</w:t>
      </w:r>
    </w:p>
    <w:p>
      <w:r>
        <w:t>During your 10:00–12:00 and 14:00–16:00 ET study windows, record price location relative to the open and selected zones alongside the exact order-flow observations you are studying. These RTH statistics include the whole 09:30–16:00 window, so their unconditional frequencies are not automatically frequencies for your narrower trading windows. Likewise, excluding news from your trading does not mean news days were excluded from this historical sample.</w:t>
      </w:r>
    </w:p>
    <w:p>
      <w:r>
        <w:t>If you use footprints, distinguish executed buy/sell aggression from price response. A volume total in the Andrice file cannot reconstruct that information. Treat any proposed combination of flow and levels as a hypothesis requiring explicit rules and later testing, rather than assuming a percentile transforms a discretionary observation into a probability.</w:t>
      </w:r>
    </w:p>
    <w:p>
      <w:r>
        <w:t>After the close, record the final high/low, their labels, whether zones were reached, whether final extremes finished inside them, and whether envelopes were breached. Keep actual trading results in separate fields: entry, exit, risk, costs, and outcome. That preserves the difference between forecast quality and execution quality.</w:t>
      </w:r>
    </w:p>
    <w:p>
      <w:pPr>
        <w:pStyle w:val="Heading2"/>
      </w:pPr>
      <w:r>
        <w:t>A seven pass study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3106"/>
        <w:gridCol w:w="4076"/>
      </w:tblGrid>
      <w:tr>
        <w:trPr>
          <w:tblHeader/>
          <w:cantSplit/>
        </w:trPr>
        <w:tc>
          <w:tcPr>
            <w:tcW w:type="dxa" w:w="2523"/>
            <w:vAlign w:val="center"/>
            <w:tcMar>
              <w:top w:w="85" w:type="dxa"/>
              <w:left w:w="85" w:type="dxa"/>
              <w:bottom w:w="85" w:type="dxa"/>
              <w:right w:w="85" w:type="dxa"/>
            </w:tcMar>
            <w:shd w:fill="E5EAF0"/>
          </w:tcPr>
          <w:p>
            <w:pPr>
              <w:spacing w:after="40" w:before="40" w:line="245" w:lineRule="auto"/>
            </w:pPr>
            <w:r>
              <w:rPr>
                <w:b/>
                <w:sz w:val="20"/>
              </w:rPr>
              <w:t>Pass</w:t>
            </w:r>
          </w:p>
        </w:tc>
        <w:tc>
          <w:tcPr>
            <w:tcW w:type="dxa" w:w="3106"/>
            <w:vAlign w:val="center"/>
            <w:tcMar>
              <w:top w:w="85" w:type="dxa"/>
              <w:left w:w="85" w:type="dxa"/>
              <w:bottom w:w="85" w:type="dxa"/>
              <w:right w:w="85" w:type="dxa"/>
            </w:tcMar>
            <w:shd w:fill="E5EAF0"/>
          </w:tcPr>
          <w:p>
            <w:pPr>
              <w:spacing w:after="40" w:before="40" w:line="245" w:lineRule="auto"/>
            </w:pPr>
            <w:r>
              <w:rPr>
                <w:b/>
                <w:sz w:val="20"/>
              </w:rPr>
              <w:t>Read</w:t>
            </w:r>
          </w:p>
        </w:tc>
        <w:tc>
          <w:tcPr>
            <w:tcW w:type="dxa" w:w="4076"/>
            <w:vAlign w:val="center"/>
            <w:tcMar>
              <w:top w:w="85" w:type="dxa"/>
              <w:left w:w="85" w:type="dxa"/>
              <w:bottom w:w="85" w:type="dxa"/>
              <w:right w:w="85" w:type="dxa"/>
            </w:tcMar>
            <w:shd w:fill="E5EAF0"/>
          </w:tcPr>
          <w:p>
            <w:pPr>
              <w:spacing w:after="40" w:before="40" w:line="245" w:lineRule="auto"/>
            </w:pPr>
            <w:r>
              <w:rPr>
                <w:b/>
                <w:sz w:val="20"/>
              </w:rPr>
              <w:t>What you should be able to explain afterward</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1</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Chapters 1–5</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Build one session row and calculate all distance units without look-ahead</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2</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Chapters 6–7</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Explain why a precisely estimated mean does not predict a precise daily extreme</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3</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Chapters 8–10</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Calculate quantiles, zones, envelopes, and reversed downside bounds</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4</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Chapters 11–13</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Distinguish mean, median, mode, order ratio, and changing cohorts</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5</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Chapters 14–16</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Read a command and any output row without confusing units or sample counts</w:t>
            </w:r>
          </w:p>
        </w:tc>
      </w:tr>
      <w:tr>
        <w:trPr>
          <w:cantSplit/>
        </w:trPr>
        <w:tc>
          <w:tcPr>
            <w:tcW w:type="dxa" w:w="2523"/>
            <w:vAlign w:val="center"/>
            <w:tcMar>
              <w:top w:w="85" w:type="dxa"/>
              <w:left w:w="85" w:type="dxa"/>
              <w:bottom w:w="85" w:type="dxa"/>
              <w:right w:w="85" w:type="dxa"/>
            </w:tcMar>
            <w:shd w:fill="F7F8FA"/>
          </w:tcPr>
          <w:p>
            <w:pPr>
              <w:spacing w:after="40" w:before="40" w:line="245" w:lineRule="auto"/>
            </w:pPr>
            <w:r>
              <w:rPr>
                <w:b w:val="0"/>
                <w:sz w:val="20"/>
              </w:rPr>
              <w:t>6</w:t>
            </w:r>
          </w:p>
        </w:tc>
        <w:tc>
          <w:tcPr>
            <w:tcW w:type="dxa" w:w="3106"/>
            <w:vAlign w:val="center"/>
            <w:tcMar>
              <w:top w:w="85" w:type="dxa"/>
              <w:left w:w="85" w:type="dxa"/>
              <w:bottom w:w="85" w:type="dxa"/>
              <w:right w:w="85" w:type="dxa"/>
            </w:tcMar>
            <w:shd w:fill="F7F8FA"/>
          </w:tcPr>
          <w:p>
            <w:pPr>
              <w:spacing w:after="40" w:before="40" w:line="245" w:lineRule="auto"/>
            </w:pPr>
            <w:r>
              <w:rPr>
                <w:b w:val="0"/>
                <w:sz w:val="20"/>
              </w:rPr>
              <w:t>Chapters 17–18</w:t>
            </w:r>
          </w:p>
        </w:tc>
        <w:tc>
          <w:tcPr>
            <w:tcW w:type="dxa" w:w="4076"/>
            <w:vAlign w:val="center"/>
            <w:tcMar>
              <w:top w:w="85" w:type="dxa"/>
              <w:left w:w="85" w:type="dxa"/>
              <w:bottom w:w="85" w:type="dxa"/>
              <w:right w:w="85" w:type="dxa"/>
            </w:tcMar>
            <w:shd w:fill="F7F8FA"/>
          </w:tcPr>
          <w:p>
            <w:pPr>
              <w:spacing w:after="40" w:before="40" w:line="245" w:lineRule="auto"/>
            </w:pPr>
            <w:r>
              <w:rPr>
                <w:b w:val="0"/>
                <w:sz w:val="20"/>
              </w:rPr>
              <w:t>Interpret backtest events, uncertainty, width, and archived results</w:t>
            </w:r>
          </w:p>
        </w:tc>
      </w:tr>
      <w:tr>
        <w:trPr>
          <w:cantSplit/>
        </w:trPr>
        <w:tc>
          <w:tcPr>
            <w:tcW w:type="dxa" w:w="2523"/>
            <w:vAlign w:val="center"/>
            <w:tcMar>
              <w:top w:w="85" w:type="dxa"/>
              <w:left w:w="85" w:type="dxa"/>
              <w:bottom w:w="85" w:type="dxa"/>
              <w:right w:w="85" w:type="dxa"/>
            </w:tcMar>
            <w:shd w:fill="FFFFFF"/>
          </w:tcPr>
          <w:p>
            <w:pPr>
              <w:spacing w:after="40" w:before="40" w:line="245" w:lineRule="auto"/>
            </w:pPr>
            <w:r>
              <w:rPr>
                <w:b w:val="0"/>
                <w:sz w:val="20"/>
              </w:rPr>
              <w:t>7</w:t>
            </w:r>
          </w:p>
        </w:tc>
        <w:tc>
          <w:tcPr>
            <w:tcW w:type="dxa" w:w="3106"/>
            <w:vAlign w:val="center"/>
            <w:tcMar>
              <w:top w:w="85" w:type="dxa"/>
              <w:left w:w="85" w:type="dxa"/>
              <w:bottom w:w="85" w:type="dxa"/>
              <w:right w:w="85" w:type="dxa"/>
            </w:tcMar>
            <w:shd w:fill="FFFFFF"/>
          </w:tcPr>
          <w:p>
            <w:pPr>
              <w:spacing w:after="40" w:before="40" w:line="245" w:lineRule="auto"/>
            </w:pPr>
            <w:r>
              <w:rPr>
                <w:b w:val="0"/>
                <w:sz w:val="20"/>
              </w:rPr>
              <w:t>Chapters 19–22 and worked exercise</w:t>
            </w:r>
          </w:p>
        </w:tc>
        <w:tc>
          <w:tcPr>
            <w:tcW w:type="dxa" w:w="4076"/>
            <w:vAlign w:val="center"/>
            <w:tcMar>
              <w:top w:w="85" w:type="dxa"/>
              <w:left w:w="85" w:type="dxa"/>
              <w:bottom w:w="85" w:type="dxa"/>
              <w:right w:w="85" w:type="dxa"/>
            </w:tcMar>
            <w:shd w:fill="FFFFFF"/>
          </w:tcPr>
          <w:p>
            <w:pPr>
              <w:spacing w:after="40" w:before="40" w:line="245" w:lineRule="auto"/>
            </w:pPr>
            <w:r>
              <w:rPr>
                <w:b w:val="0"/>
                <w:sz w:val="20"/>
              </w:rPr>
              <w:t>Separate implementation status, research extensions, and trading hypotheses</w:t>
            </w:r>
          </w:p>
        </w:tc>
      </w:tr>
    </w:tbl>
    <w:p>
      <w:pPr>
        <w:spacing w:after="20"/>
      </w:pPr>
    </w:p>
    <w:p>
      <w:pPr>
        <w:pStyle w:val="Heading2"/>
      </w:pPr>
      <w:r>
        <w:t>Written checks with answers</w:t>
      </w:r>
    </w:p>
    <w:p>
      <w:r>
        <w:t>1. Open 6000, high 6035, low 5980. What are PUV, PDV, and range? Answer: 35, 20, and 55 points. PDV is positive.</w:t>
      </w:r>
    </w:p>
    <w:p>
      <w:r>
        <w:t>2. Prior ATR is 70. What is upside ATR distance? Answer: 35/70 = 0.50 ATR, a size ratio rather than a probability.</w:t>
      </w:r>
    </w:p>
    <w:p>
      <w:r>
        <w:t>3. Mean = 40, SD = 20, n = 100. What is mean SE? Answer: 2 points. Daily dispersion is still represented by SD 20, not SE 2.</w:t>
      </w:r>
    </w:p>
    <w:p>
      <w:r>
        <w:t>4. Downside distance zone is 0.25–0.75 ATR; open 6000 and ATR 80. What is the price zone? Answer: 5940–5980, with distance endpoints reversed.</w:t>
      </w:r>
    </w:p>
    <w:p>
      <w:r>
        <w:t>5. Does a Q90 upper boundary provide a 90% reversal probability after a touch? Answer: no; it is a fitted marginal daily excursion threshold.</w:t>
      </w:r>
    </w:p>
    <w:p>
      <w:r>
        <w:t>6. Upper/lower marginal containment are both truly 90%. Must joint containment be 90%? Answer: no; it can range from 80% to 90% under those assumptions.</w:t>
      </w:r>
    </w:p>
    <w:p>
      <w:r>
        <w:t>7. A mean HOD time has SE two minutes. Should today’s high occur within two minutes of it? Answer: no; that SE concerns the estimated mean.</w:t>
      </w:r>
    </w:p>
    <w:p>
      <w:r>
        <w:t>8. There are 60 low-first, 40 high-first, and 10 same-bar sessions. What are the published known-order share and ratio? Answer: 60% and 1.5; same-bar cases are excluded from that denominator.</w:t>
      </w:r>
    </w:p>
    <w:p>
      <w:r>
        <w:t>9. A final high equals the upper boundary exactly. Is it reached, respected, or breached? Answer: reached and respected; not strictly breached.</w:t>
      </w:r>
    </w:p>
    <w:p>
      <w:r>
        <w:t>10. A 95% containment result is observed. Can you calculate trade expectancy from it? Answer: no; there are no specified trade outcomes, average wins/losses, or costs.</w:t>
      </w:r>
    </w:p>
    <w:p>
      <w:pPr>
        <w:pStyle w:val="Heading1"/>
      </w:pPr>
      <w:r>
        <w:t>Glossary and references</w:t>
      </w:r>
    </w:p>
    <w:p>
      <w:r>
        <w:t>Excursion: largest distance above or below the session open. Demonstration: H − O = 40 measures upward excursion even if the close ends below the open.</w:t>
      </w:r>
    </w:p>
    <w:p>
      <w:r>
        <w:t>Normalization: conversion to a comparable scale. Demonstration: 40/80 and 60/120 both equal 0.50 ATR.</w:t>
      </w:r>
    </w:p>
    <w:p>
      <w:r>
        <w:t>True range: largest of the daytime range and distances from the previous close. It allows displacement between sessions to influence the volatility scale.</w:t>
      </w:r>
    </w:p>
    <w:p>
      <w:r>
        <w:t>Estimator: a rule that turns a sample into an estimate, such as its mean or P90. Sampling uncertainty concerns variation in that estimate across samples.</w:t>
      </w:r>
    </w:p>
    <w:p>
      <w:r>
        <w:t>Dispersion: spread of individual observations, measured here by SD or percentile widths. Standard error: estimated spread of an estimator, not spread of individual days.</w:t>
      </w:r>
    </w:p>
    <w:p>
      <w:r>
        <w:t>Quantile: a threshold indexed by a fraction of a distribution. Percentile: the same idea indexed from 0 to 100. Median: P50. IQR: P75 − P25.</w:t>
      </w:r>
    </w:p>
    <w:p>
      <w:r>
        <w:t>Confidence interval: an interval from a procedure intended to cover a population statistic at a stated long-run rate under its assumptions. Prediction interval: an interval intended for a future observation. MeanSE is not a calibrated prediction interval.</w:t>
      </w:r>
    </w:p>
    <w:p>
      <w:r>
        <w:t>Bootstrap: repeated resampling to assess estimator variability. Circular block bootstrap: resampling consecutive row blocks with wraparound. Dependence: observations being statistically related rather than independent.</w:t>
      </w:r>
    </w:p>
    <w:p>
      <w:r>
        <w:t>Marginal event: one side’s condition. Joint event: both conditions. Conditional probability: event frequency among cases satisfying a specified condition; its denominator changes.</w:t>
      </w:r>
    </w:p>
    <w:p>
      <w:r>
        <w:t>Calibration: agreement between claimed or intended event probabilities and observed later frequencies. Walk-forward: fit on earlier data, forecast the next eligible period, then advance chronologically.</w:t>
      </w:r>
    </w:p>
    <w:p>
      <w:r>
        <w:t>Regime: a period with a particular pattern of volatility or behavior. Stationarity: stability of relevant distributional properties. Look-ahead leakage: using information unavailable at the forecast time. Holdout: data reserved from model selection for later evaluation.</w:t>
      </w:r>
    </w:p>
    <w:p>
      <w:r>
        <w:t>Overshoot: distance beyond an outer forecast boundary. Pinball loss: asymmetric error score for a selected quantile. MAE: mean absolute prediction error. RMSE: square root of mean squared error. Bias: average signed prediction error.</w:t>
      </w:r>
    </w:p>
    <w:p>
      <w:r>
        <w:t>Cohort: selected historical sample. Metadata: information describing data and processing settings. Fingerprint: identifier of exact file bytes. Data vintage: the version of data available at a particular time. null/None/blank: unavailable or undefined, depending on the field, rather than numerical zero.</w:t>
      </w:r>
    </w:p>
    <w:p>
      <w:pPr>
        <w:keepNext/>
      </w:pPr>
      <w:r>
        <w:t>Reference 1 • Primary project source. README_ANDRICE_LEVELS_DETAILED.md, downloaded 13 September 2026 from the user-supplied GitHub location. All project-specific definitions, arguments, field names, implementation-status descriptions, and archived result figures above are explained from this source. Teaching examples and derivations are additional explanations.</w:t>
      </w:r>
    </w:p>
    <w:p>
      <w:hyperlink r:id="rId10">
        <w:r>
          <w:rPr>
            <w:color w:val="225588"/>
          </w:rPr>
          <w:t>Open source reference</w:t>
        </w:r>
      </w:hyperlink>
    </w:p>
    <w:p>
      <w:pPr>
        <w:keepNext/>
      </w:pPr>
      <w:r>
        <w:t>Reference 2 • NIST confidence limits for the mean. Supports the distinction between an estimated mean’s confidence interval and variation of future individual observations, and the explanatory t interval.</w:t>
      </w:r>
    </w:p>
    <w:p>
      <w:hyperlink r:id="rId11">
        <w:r>
          <w:rPr>
            <w:color w:val="225588"/>
          </w:rPr>
          <w:t>Open source reference</w:t>
        </w:r>
      </w:hyperlink>
    </w:p>
    <w:p>
      <w:pPr>
        <w:keepNext/>
      </w:pPr>
      <w:r>
        <w:t>Reference 3 • NIST proportion confidence intervals. Supports the Wilson interval reference and its bounded probability limits under binomial assumptions.</w:t>
      </w:r>
    </w:p>
    <w:p>
      <w:hyperlink r:id="rId12">
        <w:r>
          <w:rPr>
            <w:color w:val="225588"/>
          </w:rPr>
          <w:t>Open source reference</w:t>
        </w:r>
      </w:hyperlink>
    </w:p>
    <w:p>
      <w:pPr>
        <w:keepNext/>
      </w:pPr>
      <w:r>
        <w:t>Reference 4 • Official arch time-series bootstrap documentation. Background on block and circular resampling; the README says Andrice implements its own NumPy procedure.</w:t>
      </w:r>
    </w:p>
    <w:p>
      <w:hyperlink r:id="rId13">
        <w:r>
          <w:rPr>
            <w:color w:val="225588"/>
          </w:rPr>
          <w:t>Open source reference</w:t>
        </w:r>
      </w:hyperlink>
    </w:p>
    <w:p>
      <w:pPr>
        <w:keepNext/>
      </w:pPr>
      <w:r>
        <w:t>Reference 5 • Official NumPy quantile documentation. Background on the documented linear interpolation method.</w:t>
      </w:r>
    </w:p>
    <w:p>
      <w:hyperlink r:id="rId14">
        <w:r>
          <w:rPr>
            <w:color w:val="225588"/>
          </w:rPr>
          <w:t>Open source reference</w:t>
        </w:r>
      </w:hyperlink>
    </w:p>
    <w:sectPr w:rsidR="00FC693F" w:rsidRPr="0006063C" w:rsidSect="00034616">
      <w:footerReference w:type="default" r:id="rId9"/>
      <w:pgSz w:w="11952" w:h="16848"/>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Andrice Levels study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ndricechristian/Andrice_levels_v4/blob/main/README_ANDRICE_LEVELS_DETAILED.md" TargetMode="External"/><Relationship Id="rId11" Type="http://schemas.openxmlformats.org/officeDocument/2006/relationships/hyperlink" Target="https://www.itl.nist.gov/div898/handbook/eda/section3/eda352.htm" TargetMode="External"/><Relationship Id="rId12" Type="http://schemas.openxmlformats.org/officeDocument/2006/relationships/hyperlink" Target="https://www.itl.nist.gov/div898/handbook/prc/section2/prc241.htm" TargetMode="External"/><Relationship Id="rId13" Type="http://schemas.openxmlformats.org/officeDocument/2006/relationships/hyperlink" Target="https://arch.readthedocs.io/en/latest/bootstrap/timeseries-bootstraps.html" TargetMode="External"/><Relationship Id="rId14" Type="http://schemas.openxmlformats.org/officeDocument/2006/relationships/hyperlink" Target="https://numpy.org/doc/stable/reference/generated/numpy.quanti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the mathematics of Andrice Levels</dc:title>
  <dc:subject>A step by step companion to the detailed project README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