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1F4D78"/>
          <w:sz w:val="42"/>
        </w:rPr>
        <w:t>FSCA INSPECTION READINESS REPORT</w:t>
      </w:r>
    </w:p>
    <w:p>
      <w:pPr>
        <w:spacing w:after="240"/>
      </w:pPr>
      <w:r>
        <w:rPr>
          <w:rFonts w:ascii="Calibri" w:hAnsi="Calibri"/>
          <w:b/>
          <w:i w:val="0"/>
          <w:color w:val="595959"/>
          <w:sz w:val="25"/>
        </w:rPr>
        <w:t>Onsite inspection: 22 September 2026 | Kanaan Trust, FSP 528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Assessment date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20 September 2026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Inspection scope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BRA; RMCP; section 42A governance; FIC Act training; operating effectiveness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Evidence reviewed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FSCA notice, signed-final submission set, KCAS live records and controlled exception registers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Overall position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Substantially prepared, but not yet fully audit-ready</w:t>
            </w:r>
          </w:p>
        </w:tc>
      </w:tr>
    </w:tbl>
    <w:p>
      <w:pPr>
        <w:pStyle w:val="Heading1"/>
        <w:keepNext/>
      </w:pPr>
      <w:r>
        <w:t>Executive Conclusion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Kanaan has a strong inspection foundation. The requested documents were submitted, the signed BRA and RMCP are active and Board-approved, governance roles are recorded, the 2026 training evidence is complete, and KCAS provides practical client-level evidence rather than policy statements alone.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8E6000"/>
                <w:sz w:val="22"/>
              </w:rPr>
              <w:t xml:space="preserve">Qualified conclusion: </w:t>
            </w:r>
            <w:r>
              <w:rPr>
                <w:rFonts w:ascii="Calibri" w:hAnsi="Calibri"/>
                <w:b w:val="0"/>
                <w:i w:val="0"/>
                <w:sz w:val="22"/>
              </w:rPr>
              <w:t>Kanaan should not yet describe itself as fully ready. The goAML daily-check record, eight pending operating-evidence tests, and the treatment of positive-value internal/owner records require attention before the inspection.</w:t>
            </w:r>
          </w:p>
        </w:tc>
      </w:tr>
    </w:tbl>
    <w:p>
      <w:pPr>
        <w:pStyle w:val="Heading1"/>
        <w:keepNext/>
        <w:pageBreakBefore/>
      </w:pPr>
      <w:r>
        <w:t>Readiness Position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56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Area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Position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Evidence / concern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BRA and RMCP</w:t>
            </w:r>
          </w:p>
        </w:tc>
        <w:tc>
          <w:tcPr>
            <w:tcW w:type="dxa" w:w="1800"/>
            <w:shd w:fill="E9F3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66446"/>
                <w:sz w:val="18"/>
              </w:rPr>
              <w:t>Ready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Signed and Board-approved on 31 July 2026; active in KCAS with next review dates of 31 July 2027.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Governance</w:t>
            </w:r>
          </w:p>
        </w:tc>
        <w:tc>
          <w:tcPr>
            <w:tcW w:type="dxa" w:w="1800"/>
            <w:shd w:fill="E9F3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66446"/>
                <w:sz w:val="18"/>
              </w:rPr>
              <w:t>Ready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Andre Delport is Board Chair; Gert Delport is MLCO and section 42A responsible person; Andries van Tonder is Internal Compliance Officer and primary goAML user.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Training</w:t>
            </w:r>
          </w:p>
        </w:tc>
        <w:tc>
          <w:tcPr>
            <w:tcW w:type="dxa" w:w="1800"/>
            <w:shd w:fill="E9F3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66446"/>
                <w:sz w:val="18"/>
              </w:rPr>
              <w:t>Ready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Six relevant staff members attended the 2026 FIC Act/RMCP training, signed the register and scored 15/15.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Submitted documents</w:t>
            </w:r>
          </w:p>
        </w:tc>
        <w:tc>
          <w:tcPr>
            <w:tcW w:type="dxa" w:w="1800"/>
            <w:shd w:fill="E9F3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66446"/>
                <w:sz w:val="18"/>
              </w:rPr>
              <w:t>Ready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All FSCA notice items 5.1 to 5.8 are registered as Ready in KCAS and linked to the signed submission evidence.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Client assessments</w:t>
            </w:r>
          </w:p>
        </w:tc>
        <w:tc>
          <w:tcPr>
            <w:tcW w:type="dxa" w:w="18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8E6000"/>
                <w:sz w:val="18"/>
              </w:rPr>
              <w:t>Substantially ready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164 of 179 positive-value client records are Finalised or Approved. All 164 contain verified PEP/PIP, TFS and adverse-information screening.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External exceptions</w:t>
            </w:r>
          </w:p>
        </w:tc>
        <w:tc>
          <w:tcPr>
            <w:tcW w:type="dxa" w:w="18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8E6000"/>
                <w:sz w:val="18"/>
              </w:rPr>
              <w:t>Controlled but open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Six positive-value records remain open: KIDs 003, 024, 079, 194, 232 and 333. Each has a documented evidence or provider-resolution requirement.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Internal/owner records</w:t>
            </w:r>
          </w:p>
        </w:tc>
        <w:tc>
          <w:tcPr>
            <w:tcW w:type="dxa" w:w="18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8E6000"/>
                <w:sz w:val="18"/>
              </w:rPr>
              <w:t>Decision required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Nine positive-value Finplan, Delport and An-Mar records remain unassessed. They require assessment or a documented determination of their actual non-client/internal status.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goAML checks</w:t>
            </w:r>
          </w:p>
        </w:tc>
        <w:tc>
          <w:tcPr>
            <w:tcW w:type="dxa" w:w="1800"/>
            <w:shd w:fill="FCE8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C2323"/>
                <w:sz w:val="18"/>
              </w:rPr>
              <w:t>Not ready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Only five checks are recorded since 31 July 2026; one was Unavailable and four recorded no new messages. This does not evidence the every-business-day control stated in the RMCP.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Operating tests</w:t>
            </w:r>
          </w:p>
        </w:tc>
        <w:tc>
          <w:tcPr>
            <w:tcW w:type="dxa" w:w="1800"/>
            <w:shd w:fill="FCE8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C2323"/>
                <w:sz w:val="18"/>
              </w:rPr>
              <w:t>Not ready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Eight KCAS inspection-readiness checks remain Pending: permissions, audit log, sensitive data, backup, restore, rollback, performance and training support.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8"/>
              </w:rPr>
              <w:t>Practical demonstration</w:t>
            </w:r>
          </w:p>
        </w:tc>
        <w:tc>
          <w:tcPr>
            <w:tcW w:type="dxa" w:w="180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8E6000"/>
                <w:sz w:val="18"/>
              </w:rPr>
              <w:t>Rehearsal required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The live-server demonstration should be tested from an office workstation before the inspectors arrive.</w:t>
            </w:r>
          </w:p>
        </w:tc>
      </w:tr>
    </w:tbl>
    <w:p>
      <w:pPr>
        <w:pStyle w:val="Heading1"/>
        <w:keepNext/>
      </w:pPr>
      <w:r>
        <w:t>Client-Assessment Position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portfolio-wide compliance-review exercise has covered the clients with positive investment values, but coverage must not be described as universal finalisation. The accurate position at 20 September 2026 is: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179 client records have positive current valuation values in KCAS.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164 are Finalised or Approved.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All 164 finalised positive-value records contain verified PEP/PIP, sanctions/TFS and adverse-information reviews. KCAS contains 893 screening records performed by Codex between 27 July and 20 September 2026.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Six external positive-value records remain controlled exceptions: KIDs 003, 024, 079, 194, 232 and 333.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Nine Finplan, Delport or An-Mar records remain unassessed. Ownership of Kanaan does not itself exempt a genuine client relationship from CDD and client-risk assessment.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unresolved-client email and the registers under docs/outdated-kyc and docs/unresolved-investments provide the specific remediation required for the six external exceptions.</w:t>
      </w:r>
    </w:p>
    <w:p>
      <w:pPr>
        <w:pStyle w:val="Heading1"/>
        <w:keepNext/>
      </w:pPr>
      <w:r>
        <w:t>Immediate Actions Before 22 September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Perform and record the goAML message-board check on 20 September, 21 September and before the inspection on 22 September. Do not backdate missing checks.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Record the historical goAML frequency gap as a control deficiency, assign remediation, and obtain MLCO acknowledgement. The explanation should be factual and should not suggest that unrecorded checks occurred.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Complete the eight KCAS inspection-readiness checks with dated evidence. Prioritise access permissions, audit trails, opening client evidence, backup/restore evidence and retrieval of training records.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Resolve the nine internal/owner records by assessing genuine client relationships or recording a defensible determination that a record is an internal/non-client accounting record. Retain the basis for that determination.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Keep the six genuine client exceptions open and present the controlled exception registers. Do not create assumed surrender dates or represent missing KYC documents as available.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Conduct a live demonstration rehearsal with Andre, Gert and Andries from an office workstation. Confirm that each person can explain their role and retrieve the evidence relevant to it.</w:t>
      </w:r>
    </w:p>
    <w:p>
      <w:pPr>
        <w:pStyle w:val="Heading1"/>
        <w:keepNext/>
      </w:pPr>
      <w:r>
        <w:t>Recommended Demonstration Sequence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Open the active BRA and explain the Low residual-risk conclusion, the inherent risks and the controls that reduce them.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Open the active RMCP and show Board approval, annual review date, governance ownership and linked controls.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Demonstrate one ordinary natural-person assessment and one trust assessment with ownership/control parties.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Show the screening date and time, sources searched, subject, result, reviewer and audit trail.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Show the unresolved-client and investment registers and explain the specific remediation for an open exception.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Retrieve the signed governance, training, monitoring and approval documents directly from KCAS.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Explain unusual-activity escalation, confidentiality, report timing, goAML responsibilities and the current remediation of the daily-check record.</w:t>
      </w:r>
    </w:p>
    <w:p>
      <w:pPr>
        <w:pStyle w:val="Heading1"/>
        <w:keepNext/>
      </w:pPr>
      <w:r>
        <w:t>Key Personnel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FSCA notice requires Board/senior-management personnel and the section 42A responsible person to be available. The minimum practical attendance is: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Andre Delport - Board Chair, Trustee and Key Individual.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Gert Delport - CEO, Trustee, MLCO and section 42A responsible person.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Andries van Tonder - Internal Compliance Officer, Trustee and primary goAML user.</w:t>
      </w:r>
    </w:p>
    <w:p>
      <w:pPr>
        <w:pStyle w:val="Heading1"/>
        <w:keepNext/>
      </w:pPr>
      <w:r>
        <w:t>Recommended Wording to FSCA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F4D78"/>
                <w:sz w:val="22"/>
              </w:rPr>
              <w:t>“We completed the portfolio-wide compliance review of clients with positive investment values. KCAS currently contains 164 finalised or approved positive-value assessments, all with recorded PEP/PIP, TFS and adverse-information screening. Six external client records remain controlled exceptions awaiting identified KYC or provider evidence. Separate internal and owner-related records are being treated according to their actual legal and client status.”</w:t>
            </w:r>
          </w:p>
        </w:tc>
      </w:tr>
    </w:tbl>
    <w:p>
      <w:pPr>
        <w:pStyle w:val="Heading1"/>
        <w:keepNext/>
        <w:pageBreakBefore/>
      </w:pPr>
      <w:r>
        <w:t>Evidence Basis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FSCA Notice of Onsite Inspection dated 20 July 2026, including information-document requirements 5.1 to 5.8.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Signed-final submission folder: Business and Governance Factual Confirmation; organogram; 2026 BRA; 2026 and 2025 RMCPs; 2023-2026 training evidence; internal/external audit position letters; monitoring dashboard.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KCAS live records reviewed on 20 September 2026: controlled documents, BRA, RMCP, governance roles, client assessments, screening records, goAML checks, inspection case and readiness checks.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FIC Guidance Note 7A publication: https://www.fic.gov.za/wp-content/uploads/2025/02/2025.2-WN-Guidance-note-7a.pdf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FIC goAML daily-message-board notice dated 25 August 2025: https://www.fic.gov.za/wp-content/uploads/2025/08/Notice-Accountable-institutions-to-visit-goAML-message-board-daily.pdf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sz w:val="22"/>
        </w:rPr>
        <w:t>FSCA supervisory information: https://www.fsca.co.za/Supervisory-Information/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sz w:val="22"/>
        </w:rPr>
        <w:t>This document is an internal readiness assessment. It should be updated if additional checks, client assessments or remediation evidence are completed before the inspection.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224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9595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 w:val="0"/>
        <w:i w:val="0"/>
        <w:color w:val="595959"/>
        <w:sz w:val="18"/>
      </w:rPr>
      <w:t>KCAS | FSCA inspection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FSCA 22 September 2026 Inspection Readiness Report</dc:title>
  <dc:subject>Internal KCAS and FIC Act inspection readiness assessment</dc:subject>
  <dc:creator>Kanaan Trust</dc:creator>
  <cp:keywords>FSCA, FIC Act, KCAS, BRA, RMCP, audit readiness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