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i w:val="0"/>
          <w:color w:val="1F4D78"/>
          <w:sz w:val="42"/>
        </w:rPr>
        <w:t>EMAIL DRAFT</w:t>
      </w:r>
    </w:p>
    <w:p>
      <w:pPr>
        <w:spacing w:after="240"/>
      </w:pPr>
      <w:r>
        <w:rPr>
          <w:rFonts w:ascii="Calibri" w:hAnsi="Calibri"/>
          <w:b/>
          <w:i w:val="0"/>
          <w:color w:val="595959"/>
          <w:sz w:val="25"/>
        </w:rPr>
        <w:t>Outstanding KYC evidence and unresolved investment records</w:t>
      </w:r>
    </w:p>
    <w:tbl>
      <w:tblPr>
        <w:tblW w:type="auto" w:w="0"/>
        <w:tblLayout w:type="fixed"/>
        <w:tblLook w:firstColumn="1" w:firstRow="1" w:lastColumn="0" w:lastRow="0" w:noHBand="0" w:noVBand="1" w:val="04A0"/>
      </w:tblPr>
      <w:tblGrid>
        <w:gridCol w:w="1152"/>
        <w:gridCol w:w="8280"/>
      </w:tblGrid>
      <w:tr>
        <w:trPr>
          <w:tblHeader w:val="true"/>
        </w:trPr>
        <w:tc>
          <w:tcPr>
            <w:tcW w:type="dxa" w:w="1152"/>
            <w:tcMar>
              <w:top w:w="45" w:type="dxa"/>
              <w:start w:w="120" w:type="dxa"/>
              <w:bottom w:w="45" w:type="dxa"/>
              <w:end w:w="120" w:type="dxa"/>
            </w:tcMar>
            <w:vAlign w:val="center"/>
          </w:tcPr>
          <w:p>
            <w:pPr>
              <w:spacing w:after="0"/>
            </w:pPr>
            <w:r>
              <w:rPr>
                <w:rFonts w:ascii="Calibri" w:hAnsi="Calibri"/>
                <w:b/>
                <w:i w:val="0"/>
                <w:color w:val="1F4D78"/>
                <w:sz w:val="21"/>
              </w:rPr>
              <w:t>To</w:t>
            </w:r>
          </w:p>
        </w:tc>
        <w:tc>
          <w:tcPr>
            <w:tcW w:type="dxa" w:w="8280"/>
            <w:tcMar>
              <w:top w:w="45" w:type="dxa"/>
              <w:start w:w="120" w:type="dxa"/>
              <w:bottom w:w="45" w:type="dxa"/>
              <w:end w:w="120" w:type="dxa"/>
            </w:tcMar>
            <w:vAlign w:val="center"/>
          </w:tcPr>
          <w:p>
            <w:pPr>
              <w:spacing w:after="0"/>
            </w:pPr>
            <w:r>
              <w:rPr>
                <w:rFonts w:ascii="Calibri" w:hAnsi="Calibri"/>
                <w:b w:val="0"/>
                <w:i w:val="0"/>
                <w:sz w:val="21"/>
              </w:rPr>
              <w:t>[Client administration / records team]</w:t>
            </w:r>
          </w:p>
        </w:tc>
      </w:tr>
      <w:tr>
        <w:tc>
          <w:tcPr>
            <w:tcW w:type="dxa" w:w="1152"/>
            <w:tcMar>
              <w:top w:w="45" w:type="dxa"/>
              <w:start w:w="120" w:type="dxa"/>
              <w:bottom w:w="45" w:type="dxa"/>
              <w:end w:w="120" w:type="dxa"/>
            </w:tcMar>
            <w:vAlign w:val="center"/>
          </w:tcPr>
          <w:p>
            <w:pPr>
              <w:spacing w:after="0"/>
            </w:pPr>
            <w:r>
              <w:rPr>
                <w:rFonts w:ascii="Calibri" w:hAnsi="Calibri"/>
                <w:b/>
                <w:i w:val="0"/>
                <w:color w:val="1F4D78"/>
                <w:sz w:val="21"/>
              </w:rPr>
              <w:t>Cc</w:t>
            </w:r>
          </w:p>
        </w:tc>
        <w:tc>
          <w:tcPr>
            <w:tcW w:type="dxa" w:w="8280"/>
            <w:tcMar>
              <w:top w:w="45" w:type="dxa"/>
              <w:start w:w="120" w:type="dxa"/>
              <w:bottom w:w="45" w:type="dxa"/>
              <w:end w:w="120" w:type="dxa"/>
            </w:tcMar>
            <w:vAlign w:val="center"/>
          </w:tcPr>
          <w:p>
            <w:pPr>
              <w:spacing w:after="0"/>
            </w:pPr>
            <w:r>
              <w:rPr>
                <w:rFonts w:ascii="Calibri" w:hAnsi="Calibri"/>
                <w:b w:val="0"/>
                <w:i w:val="0"/>
                <w:sz w:val="21"/>
              </w:rPr>
              <w:t>[Relevant adviser / key individual]</w:t>
            </w:r>
          </w:p>
        </w:tc>
      </w:tr>
      <w:tr>
        <w:tc>
          <w:tcPr>
            <w:tcW w:type="dxa" w:w="1152"/>
            <w:tcMar>
              <w:top w:w="45" w:type="dxa"/>
              <w:start w:w="120" w:type="dxa"/>
              <w:bottom w:w="45" w:type="dxa"/>
              <w:end w:w="120" w:type="dxa"/>
            </w:tcMar>
            <w:vAlign w:val="center"/>
          </w:tcPr>
          <w:p>
            <w:pPr>
              <w:spacing w:after="0"/>
            </w:pPr>
            <w:r>
              <w:rPr>
                <w:rFonts w:ascii="Calibri" w:hAnsi="Calibri"/>
                <w:b/>
                <w:i w:val="0"/>
                <w:color w:val="1F4D78"/>
                <w:sz w:val="21"/>
              </w:rPr>
              <w:t>From</w:t>
            </w:r>
          </w:p>
        </w:tc>
        <w:tc>
          <w:tcPr>
            <w:tcW w:type="dxa" w:w="8280"/>
            <w:tcMar>
              <w:top w:w="45" w:type="dxa"/>
              <w:start w:w="120" w:type="dxa"/>
              <w:bottom w:w="45" w:type="dxa"/>
              <w:end w:w="120" w:type="dxa"/>
            </w:tcMar>
            <w:vAlign w:val="center"/>
          </w:tcPr>
          <w:p>
            <w:pPr>
              <w:spacing w:after="0"/>
            </w:pPr>
            <w:r>
              <w:rPr>
                <w:rFonts w:ascii="Calibri" w:hAnsi="Calibri"/>
                <w:b w:val="0"/>
                <w:i w:val="0"/>
                <w:sz w:val="21"/>
              </w:rPr>
              <w:t>Andries van Tonder</w:t>
            </w:r>
          </w:p>
        </w:tc>
      </w:tr>
      <w:tr>
        <w:tc>
          <w:tcPr>
            <w:tcW w:type="dxa" w:w="1152"/>
            <w:tcMar>
              <w:top w:w="45" w:type="dxa"/>
              <w:start w:w="120" w:type="dxa"/>
              <w:bottom w:w="45" w:type="dxa"/>
              <w:end w:w="120" w:type="dxa"/>
            </w:tcMar>
            <w:vAlign w:val="center"/>
          </w:tcPr>
          <w:p>
            <w:pPr>
              <w:spacing w:after="0"/>
            </w:pPr>
            <w:r>
              <w:rPr>
                <w:rFonts w:ascii="Calibri" w:hAnsi="Calibri"/>
                <w:b/>
                <w:i w:val="0"/>
                <w:color w:val="1F4D78"/>
                <w:sz w:val="21"/>
              </w:rPr>
              <w:t>Date</w:t>
            </w:r>
          </w:p>
        </w:tc>
        <w:tc>
          <w:tcPr>
            <w:tcW w:type="dxa" w:w="8280"/>
            <w:tcMar>
              <w:top w:w="45" w:type="dxa"/>
              <w:start w:w="120" w:type="dxa"/>
              <w:bottom w:w="45" w:type="dxa"/>
              <w:end w:w="120" w:type="dxa"/>
            </w:tcMar>
            <w:vAlign w:val="center"/>
          </w:tcPr>
          <w:p>
            <w:pPr>
              <w:spacing w:after="0"/>
            </w:pPr>
            <w:r>
              <w:rPr>
                <w:rFonts w:ascii="Calibri" w:hAnsi="Calibri"/>
                <w:b w:val="0"/>
                <w:i w:val="0"/>
                <w:sz w:val="21"/>
              </w:rPr>
              <w:t>20 September 2026</w:t>
            </w:r>
          </w:p>
        </w:tc>
      </w:tr>
      <w:tr>
        <w:tc>
          <w:tcPr>
            <w:tcW w:type="dxa" w:w="1152"/>
            <w:tcMar>
              <w:top w:w="45" w:type="dxa"/>
              <w:start w:w="120" w:type="dxa"/>
              <w:bottom w:w="45" w:type="dxa"/>
              <w:end w:w="120" w:type="dxa"/>
            </w:tcMar>
            <w:vAlign w:val="center"/>
          </w:tcPr>
          <w:p>
            <w:pPr>
              <w:spacing w:after="0"/>
            </w:pPr>
            <w:r>
              <w:rPr>
                <w:rFonts w:ascii="Calibri" w:hAnsi="Calibri"/>
                <w:b/>
                <w:i w:val="0"/>
                <w:color w:val="1F4D78"/>
                <w:sz w:val="21"/>
              </w:rPr>
              <w:t>Subject</w:t>
            </w:r>
          </w:p>
        </w:tc>
        <w:tc>
          <w:tcPr>
            <w:tcW w:type="dxa" w:w="8280"/>
            <w:tcMar>
              <w:top w:w="45" w:type="dxa"/>
              <w:start w:w="120" w:type="dxa"/>
              <w:bottom w:w="45" w:type="dxa"/>
              <w:end w:w="120" w:type="dxa"/>
            </w:tcMar>
            <w:vAlign w:val="center"/>
          </w:tcPr>
          <w:p>
            <w:pPr>
              <w:spacing w:after="0"/>
            </w:pPr>
            <w:r>
              <w:rPr>
                <w:rFonts w:ascii="Calibri" w:hAnsi="Calibri"/>
                <w:b w:val="0"/>
                <w:i w:val="0"/>
                <w:sz w:val="21"/>
              </w:rPr>
              <w:t>KCAS follow-up: outstanding KYC evidence and unresolved investments</w:t>
            </w:r>
          </w:p>
        </w:tc>
      </w:tr>
    </w:tbl>
    <w:p>
      <w:pPr>
        <w:spacing w:after="0"/>
      </w:pPr>
    </w:p>
    <w:p>
      <w:pPr>
        <w:spacing w:before="0" w:after="120" w:line="252" w:lineRule="auto"/>
      </w:pPr>
      <w:r>
        <w:rPr>
          <w:rFonts w:ascii="Calibri" w:hAnsi="Calibri"/>
          <w:b w:val="0"/>
          <w:i w:val="0"/>
          <w:sz w:val="21"/>
        </w:rPr>
        <w:t>Hi [Name/Team],</w:t>
      </w:r>
    </w:p>
    <w:p>
      <w:pPr>
        <w:spacing w:before="0" w:after="120" w:line="252" w:lineRule="auto"/>
      </w:pPr>
      <w:r>
        <w:rPr>
          <w:rFonts w:ascii="Calibri" w:hAnsi="Calibri"/>
          <w:b w:val="0"/>
          <w:i w:val="0"/>
          <w:sz w:val="21"/>
        </w:rPr>
        <w:t>We have completed the KCAS compliance-assessment exercise for all clients with positive investment values. The clients below are the residual exceptions identified during that exercise: their available records have been reviewed and the supported work has been captured, but their individual assessments cannot yet be finalised until specific missing documents or provider confirmations are obtained. The completed KCAS work has been preserved, so only the outstanding items below need attention.</w:t>
      </w:r>
    </w:p>
    <w:p>
      <w:pPr>
        <w:pStyle w:val="Heading1"/>
        <w:keepNext/>
        <w:spacing w:before="240" w:after="100"/>
      </w:pPr>
      <w:r>
        <w:rPr>
          <w:rFonts w:ascii="Calibri" w:hAnsi="Calibri"/>
          <w:b/>
          <w:i w:val="0"/>
          <w:color w:val="2E74B5"/>
          <w:sz w:val="26"/>
        </w:rPr>
        <w:t>Clients requiring missing or refreshed KYC evidence</w:t>
      </w:r>
    </w:p>
    <w:p>
      <w:pPr>
        <w:keepNext/>
        <w:spacing w:before="60" w:after="60"/>
      </w:pPr>
      <w:r>
        <w:rPr>
          <w:rFonts w:ascii="Calibri" w:hAnsi="Calibri"/>
          <w:b/>
          <w:i w:val="0"/>
          <w:color w:val="1F4D78"/>
          <w:sz w:val="21"/>
        </w:rPr>
        <w:t>Kanaan ID 003 - Gideon Jacobus Ferreira</w:t>
      </w:r>
    </w:p>
    <w:p>
      <w:pPr>
        <w:spacing w:before="0" w:after="120" w:line="252" w:lineRule="auto"/>
      </w:pPr>
      <w:r>
        <w:rPr>
          <w:rFonts w:ascii="Calibri" w:hAnsi="Calibri"/>
          <w:b w:val="0"/>
          <w:i w:val="0"/>
          <w:sz w:val="21"/>
        </w:rPr>
        <w:t>The investment history is clear: Investec preservation-plan account 122820 remains current and has a valuation dated 9 September 2026. The blocker is the age of the KYC material. The folder contains a 2002 certified identity document and bank record, plus a 2000 source declaration and advice record, but these cannot be represented as current verification.</w:t>
      </w:r>
    </w:p>
    <w:p>
      <w:pPr>
        <w:pStyle w:val="ListBullet"/>
        <w:spacing w:after="80" w:line="252" w:lineRule="auto"/>
        <w:ind w:left="720" w:hanging="360"/>
      </w:pPr>
      <w:r>
        <w:rPr>
          <w:rFonts w:ascii="Calibri" w:hAnsi="Calibri"/>
          <w:b/>
          <w:i w:val="0"/>
          <w:sz w:val="21"/>
        </w:rPr>
        <w:t xml:space="preserve">Required: </w:t>
      </w:r>
      <w:r>
        <w:rPr>
          <w:rFonts w:ascii="Calibri" w:hAnsi="Calibri"/>
          <w:b w:val="0"/>
          <w:i w:val="0"/>
          <w:sz w:val="21"/>
        </w:rPr>
        <w:t>current proof of address, contact details, tax confirmation or self-certification, identity re-verification, and a fresh screening review after those details are recorded.</w:t>
      </w:r>
    </w:p>
    <w:p>
      <w:pPr>
        <w:keepNext/>
        <w:spacing w:before="60" w:after="60"/>
      </w:pPr>
      <w:r>
        <w:rPr>
          <w:rFonts w:ascii="Calibri" w:hAnsi="Calibri"/>
          <w:b/>
          <w:i w:val="0"/>
          <w:color w:val="1F4D78"/>
          <w:sz w:val="21"/>
        </w:rPr>
        <w:t>Kanaan ID 024 - Nicolaas Dirk Oosthuizen</w:t>
      </w:r>
    </w:p>
    <w:p>
      <w:pPr>
        <w:spacing w:before="0" w:after="120" w:line="252" w:lineRule="auto"/>
      </w:pPr>
      <w:r>
        <w:rPr>
          <w:rFonts w:ascii="Calibri" w:hAnsi="Calibri"/>
          <w:b w:val="0"/>
          <w:i w:val="0"/>
          <w:sz w:val="21"/>
        </w:rPr>
        <w:t>The client record points to the folder “Oosthuizen ND”, but that folder could not be found in the local client archive or on the connected live-network client drive. Consequently, KCAS has no documents that can be linked for identity, address, tax residence, source of funds and wealth, product, mandate, or screening purposes.</w:t>
      </w:r>
    </w:p>
    <w:p>
      <w:pPr>
        <w:spacing w:before="0" w:after="120" w:line="252" w:lineRule="auto"/>
      </w:pPr>
      <w:r>
        <w:rPr>
          <w:rFonts w:ascii="Calibri" w:hAnsi="Calibri"/>
          <w:b w:val="0"/>
          <w:i w:val="0"/>
          <w:sz w:val="21"/>
        </w:rPr>
        <w:t>There is also an unresolved investment mismatch. KCAS contains the older Metropolitan account 90725, with withdrawals recorded through 2013, but no surrender date or documented successor. The current September 2026 valuation feed instead contains AIMS/ABSA accounts RA00020632 (R10,225.20) and SRA5050497 (R1,141.24), for which no matching investment-account records exist.</w:t>
      </w:r>
    </w:p>
    <w:p>
      <w:pPr>
        <w:pStyle w:val="ListBullet"/>
        <w:spacing w:after="80" w:line="252" w:lineRule="auto"/>
        <w:ind w:left="720" w:hanging="360"/>
      </w:pPr>
      <w:r>
        <w:rPr>
          <w:rFonts w:ascii="Calibri" w:hAnsi="Calibri"/>
          <w:b/>
          <w:i w:val="0"/>
          <w:sz w:val="21"/>
        </w:rPr>
        <w:t xml:space="preserve">Required: </w:t>
      </w:r>
      <w:r>
        <w:rPr>
          <w:rFonts w:ascii="Calibri" w:hAnsi="Calibri"/>
          <w:b w:val="0"/>
          <w:i w:val="0"/>
          <w:sz w:val="21"/>
        </w:rPr>
        <w:t>the complete Oosthuizen ND folder; current FICA and mandate evidence; AIMS opening/current statements for both accounts; and evidence confirming whether Metropolitan 90725 transferred, surrendered, or remained separate.</w:t>
      </w:r>
    </w:p>
    <w:p>
      <w:pPr>
        <w:keepNext/>
        <w:spacing w:before="60" w:after="60"/>
      </w:pPr>
      <w:r>
        <w:rPr>
          <w:rFonts w:ascii="Calibri" w:hAnsi="Calibri"/>
          <w:b/>
          <w:i w:val="0"/>
          <w:color w:val="1F4D78"/>
          <w:sz w:val="21"/>
        </w:rPr>
        <w:t>Kanaan ID 232 - Saddarnun Madhkar and Hemwanthee Maharaj</w:t>
      </w:r>
    </w:p>
    <w:p>
      <w:pPr>
        <w:spacing w:before="0" w:after="120" w:line="252" w:lineRule="auto"/>
      </w:pPr>
      <w:r>
        <w:rPr>
          <w:rFonts w:ascii="Calibri" w:hAnsi="Calibri"/>
          <w:b w:val="0"/>
          <w:i w:val="0"/>
          <w:sz w:val="21"/>
        </w:rPr>
        <w:t>Neither the Maharaj SM nor Maharaj H folder could be found. Saddarnun is Historical after the documented 2018 death-claim transfer; Hemwanthee is Current with PSG account 201811280057 valued at R45,383.39 on 9 September 2026. Their investment reconciliation is complete, but both assessments have no linked evidence. The existing MAHARAJH A folder belongs to Anil Maharajh (KID 103) and must not be used for this family.</w:t>
      </w:r>
    </w:p>
    <w:p>
      <w:pPr>
        <w:pStyle w:val="ListBullet"/>
        <w:spacing w:after="80" w:line="252" w:lineRule="auto"/>
        <w:ind w:left="720" w:hanging="360"/>
      </w:pPr>
      <w:r>
        <w:rPr>
          <w:rFonts w:ascii="Calibri" w:hAnsi="Calibri"/>
          <w:b/>
          <w:i w:val="0"/>
          <w:sz w:val="21"/>
        </w:rPr>
        <w:t xml:space="preserve">Required: </w:t>
      </w:r>
      <w:r>
        <w:rPr>
          <w:rFonts w:ascii="Calibri" w:hAnsi="Calibri"/>
          <w:b w:val="0"/>
          <w:i w:val="0"/>
          <w:sz w:val="21"/>
        </w:rPr>
        <w:t>the two correct client folders or replacement KYC, death-claim, beneficiary, PSG application and transfer records; then current screening and source-of-funds coverage for Hemwanthee's PSG account.</w:t>
      </w:r>
    </w:p>
    <w:p>
      <w:pPr>
        <w:keepNext/>
        <w:spacing w:before="60" w:after="60"/>
      </w:pPr>
      <w:r>
        <w:rPr>
          <w:rFonts w:ascii="Calibri" w:hAnsi="Calibri"/>
          <w:b/>
          <w:i w:val="0"/>
          <w:color w:val="1F4D78"/>
          <w:sz w:val="21"/>
        </w:rPr>
        <w:t>Kanaan ID 333 - Johannes Jacobus de Lange and De Lange Kleinkinders</w:t>
      </w:r>
    </w:p>
    <w:p>
      <w:pPr>
        <w:spacing w:before="0" w:after="120" w:line="252" w:lineRule="auto"/>
      </w:pPr>
      <w:r>
        <w:rPr>
          <w:rFonts w:ascii="Calibri" w:hAnsi="Calibri"/>
          <w:b w:val="0"/>
          <w:i w:val="0"/>
          <w:sz w:val="21"/>
        </w:rPr>
        <w:t>The records point to the folders “De Lange JJ” and “Lange Kleinkinders De”, but neither folder could be found in the available local or live-network client roots. Imported notes state that signed FICA, a signed identity document and a tax number were received during the 2017 cession and repurchase work, but the actual documents are not retained in the accessible archive and therefore cannot be linked as compliance evidence.</w:t>
      </w:r>
    </w:p>
    <w:p>
      <w:pPr>
        <w:spacing w:before="0" w:after="120" w:line="252" w:lineRule="auto"/>
      </w:pPr>
      <w:r>
        <w:rPr>
          <w:rFonts w:ascii="Calibri" w:hAnsi="Calibri"/>
          <w:b w:val="0"/>
          <w:i w:val="0"/>
          <w:sz w:val="21"/>
        </w:rPr>
        <w:t>The investment reconciliation is complete. De Lange Kleinkinders is Historical after its AIMS investment transferred to Johannes in October 2017 and the successor was repurchased in November 2017. Johannes remains classified Current only because Investec living annuity 271781 still has a September 2026 residual valuation of R5,335.04. A September 2020 note records that Johannes had died and that the beneficiaries could not be contacted.</w:t>
      </w:r>
    </w:p>
    <w:p>
      <w:pPr>
        <w:pStyle w:val="ListBullet"/>
        <w:spacing w:after="80" w:line="252" w:lineRule="auto"/>
        <w:ind w:left="720" w:hanging="360"/>
      </w:pPr>
      <w:r>
        <w:rPr>
          <w:rFonts w:ascii="Calibri" w:hAnsi="Calibri"/>
          <w:b/>
          <w:i w:val="0"/>
          <w:sz w:val="21"/>
        </w:rPr>
        <w:t xml:space="preserve">Required: </w:t>
      </w:r>
      <w:r>
        <w:rPr>
          <w:rFonts w:ascii="Calibri" w:hAnsi="Calibri"/>
          <w:b w:val="0"/>
          <w:i w:val="0"/>
          <w:sz w:val="21"/>
        </w:rPr>
        <w:t>both original folders and the signed documents referred to in the 2017 notes; confirmation of the deceased-estate representative and authority; and a current Investec 271781 statement showing how the residual holding must be administered.</w:t>
      </w:r>
    </w:p>
    <w:p>
      <w:pPr>
        <w:pStyle w:val="Heading1"/>
        <w:keepNext/>
        <w:spacing w:before="240" w:after="100"/>
      </w:pPr>
      <w:r>
        <w:rPr>
          <w:rFonts w:ascii="Calibri" w:hAnsi="Calibri"/>
          <w:b/>
          <w:i w:val="0"/>
          <w:color w:val="2E74B5"/>
          <w:sz w:val="26"/>
        </w:rPr>
        <w:t>Clients requiring provider confirmation</w:t>
      </w:r>
    </w:p>
    <w:p>
      <w:pPr>
        <w:keepNext/>
        <w:spacing w:before="60" w:after="60"/>
      </w:pPr>
      <w:r>
        <w:rPr>
          <w:rFonts w:ascii="Calibri" w:hAnsi="Calibri"/>
          <w:b/>
          <w:i w:val="0"/>
          <w:color w:val="1F4D78"/>
          <w:sz w:val="21"/>
        </w:rPr>
        <w:t>Kanaan ID 079 - Andre Deon Neethling</w:t>
      </w:r>
    </w:p>
    <w:p>
      <w:pPr>
        <w:spacing w:before="0" w:after="120" w:line="252" w:lineRule="auto"/>
      </w:pPr>
      <w:r>
        <w:rPr>
          <w:rFonts w:ascii="Calibri" w:hAnsi="Calibri"/>
          <w:b w:val="0"/>
          <w:i w:val="0"/>
          <w:sz w:val="21"/>
        </w:rPr>
        <w:t>AIMS/Absa Glacier living annuity LA20007498 is supported as current through April 2026. The November 2025 income review records a value of R1,070,878.02 and ongoing annual income of R60,000, and Absa processed a contact-detail change in April 2026. No later closure or surrender evidence exists, but the September 2026 valuation feed does not contain the account.</w:t>
      </w:r>
    </w:p>
    <w:p>
      <w:pPr>
        <w:pStyle w:val="ListBullet"/>
        <w:spacing w:after="80" w:line="252" w:lineRule="auto"/>
        <w:ind w:left="720" w:hanging="360"/>
      </w:pPr>
      <w:r>
        <w:rPr>
          <w:rFonts w:ascii="Calibri" w:hAnsi="Calibri"/>
          <w:b/>
          <w:i w:val="0"/>
          <w:sz w:val="21"/>
        </w:rPr>
        <w:t xml:space="preserve">Required: </w:t>
      </w:r>
      <w:r>
        <w:rPr>
          <w:rFonts w:ascii="Calibri" w:hAnsi="Calibri"/>
          <w:b w:val="0"/>
          <w:i w:val="0"/>
          <w:sz w:val="21"/>
        </w:rPr>
        <w:t>a current Absa/Glacier statement or valuation for LA20007498. Only if the provider confirms that it ended should a formal closure, transfer, or surrender confirmation and effective date be recorded.</w:t>
      </w:r>
    </w:p>
    <w:p>
      <w:pPr>
        <w:keepNext/>
        <w:spacing w:before="60" w:after="60"/>
      </w:pPr>
      <w:r>
        <w:rPr>
          <w:rFonts w:ascii="Calibri" w:hAnsi="Calibri"/>
          <w:b/>
          <w:i w:val="0"/>
          <w:color w:val="1F4D78"/>
          <w:sz w:val="21"/>
        </w:rPr>
        <w:t>Kanaan ID 194 - Andrzej Kijko</w:t>
      </w:r>
    </w:p>
    <w:p>
      <w:pPr>
        <w:spacing w:before="0" w:after="120" w:line="252" w:lineRule="auto"/>
      </w:pPr>
      <w:r>
        <w:rPr>
          <w:rFonts w:ascii="Calibri" w:hAnsi="Calibri"/>
          <w:b w:val="0"/>
          <w:i w:val="0"/>
          <w:sz w:val="21"/>
        </w:rPr>
        <w:t>Sanlam/Glacier retirement annuity 3550365 was established from the 2012 Sanlam transfer and was still active when a Glacier fee instruction was signed on 20 November 2015. No later valuation, closure, surrender, transfer, payout, zero-balance record, or successor account was found. The current status therefore cannot be inferred from the age of the last document.</w:t>
      </w:r>
    </w:p>
    <w:p>
      <w:pPr>
        <w:pStyle w:val="ListBullet"/>
        <w:spacing w:after="80" w:line="252" w:lineRule="auto"/>
        <w:ind w:left="720" w:hanging="360"/>
      </w:pPr>
      <w:r>
        <w:rPr>
          <w:rFonts w:ascii="Calibri" w:hAnsi="Calibri"/>
          <w:b/>
          <w:i w:val="0"/>
          <w:sz w:val="21"/>
        </w:rPr>
        <w:t xml:space="preserve">Required: </w:t>
      </w:r>
      <w:r>
        <w:rPr>
          <w:rFonts w:ascii="Calibri" w:hAnsi="Calibri"/>
          <w:b w:val="0"/>
          <w:i w:val="0"/>
          <w:sz w:val="21"/>
        </w:rPr>
        <w:t>a current Sanlam/Glacier statement or a formal surrender, transfer, or closure confirmation identifying the effective date and destination or payout.</w:t>
      </w:r>
    </w:p>
    <w:tbl>
      <w:tblPr>
        <w:tblW w:type="auto" w:w="0"/>
        <w:tblLayout w:type="fixed"/>
        <w:tblLook w:firstColumn="1" w:firstRow="1" w:lastColumn="0" w:lastRow="0" w:noHBand="0" w:noVBand="1" w:val="04A0"/>
      </w:tblPr>
      <w:tblGrid>
        <w:gridCol w:w="9432"/>
      </w:tblGrid>
      <w:tr>
        <w:trPr>
          <w:tblHeader w:val="true"/>
        </w:trPr>
        <w:tc>
          <w:tcPr>
            <w:tcW w:type="dxa" w:w="9432"/>
            <w:shd w:fill="F2F4F7"/>
            <w:tcMar>
              <w:top w:w="130" w:type="dxa"/>
              <w:start w:w="150" w:type="dxa"/>
              <w:bottom w:w="130" w:type="dxa"/>
              <w:end w:w="150" w:type="dxa"/>
            </w:tcMar>
          </w:tcPr>
          <w:p>
            <w:pPr>
              <w:spacing w:after="0"/>
            </w:pPr>
            <w:r>
              <w:rPr>
                <w:rFonts w:ascii="Calibri" w:hAnsi="Calibri"/>
                <w:b/>
                <w:i w:val="0"/>
                <w:color w:val="1F4D78"/>
                <w:sz w:val="21"/>
              </w:rPr>
              <w:t xml:space="preserve">Important: </w:t>
            </w:r>
            <w:r>
              <w:rPr>
                <w:rFonts w:ascii="Calibri" w:hAnsi="Calibri"/>
                <w:b w:val="0"/>
                <w:i w:val="0"/>
                <w:sz w:val="21"/>
              </w:rPr>
              <w:t>Please do not create assumed surrender dates, classify an account from a missing valuation, or treat imported notes as substitutes for missing KYC documents. Once the requested files are recovered, the evidence can be linked and the affected assessments completed without repeating work already recorded in KCAS.</w:t>
            </w:r>
          </w:p>
        </w:tc>
      </w:tr>
    </w:tbl>
    <w:p>
      <w:pPr>
        <w:spacing w:before="0" w:after="120" w:line="252" w:lineRule="auto"/>
      </w:pPr>
      <w:r>
        <w:rPr>
          <w:rFonts w:ascii="Calibri" w:hAnsi="Calibri"/>
          <w:b w:val="0"/>
          <w:i w:val="0"/>
          <w:sz w:val="21"/>
        </w:rPr>
        <w:t>Please let me know where the recovered folders or documents have been placed, and forward any provider confirmations received, so that I can complete the KCAS reviews.</w:t>
      </w:r>
    </w:p>
    <w:p>
      <w:pPr>
        <w:spacing w:before="0" w:after="0" w:line="252" w:lineRule="auto"/>
      </w:pPr>
      <w:r>
        <w:rPr>
          <w:rFonts w:ascii="Calibri" w:hAnsi="Calibri"/>
          <w:b w:val="0"/>
          <w:i w:val="0"/>
          <w:sz w:val="21"/>
        </w:rPr>
        <w:t>Kind regards,</w:t>
      </w:r>
    </w:p>
    <w:p>
      <w:pPr>
        <w:spacing w:before="0" w:after="0" w:line="252" w:lineRule="auto"/>
      </w:pPr>
      <w:r>
        <w:rPr>
          <w:rFonts w:ascii="Calibri" w:hAnsi="Calibri"/>
          <w:b w:val="0"/>
          <w:i w:val="0"/>
          <w:sz w:val="21"/>
        </w:rPr>
        <w:t>Andries</w:t>
      </w:r>
    </w:p>
    <w:sectPr w:rsidR="00FC693F" w:rsidRPr="0006063C" w:rsidSect="00034616">
      <w:headerReference w:type="default" r:id="rId9"/>
      <w:footerReference w:type="default" r:id="rId10"/>
      <w:pgSz w:w="12240" w:h="15840"/>
      <w:pgMar w:top="979" w:right="1296" w:bottom="1224"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val="0"/>
        <w:i w:val="0"/>
        <w:color w:val="595959"/>
        <w:sz w:val="18"/>
      </w:rPr>
      <w:t>KCAS | Internal email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draft - outstanding KYC evidence and unresolved investments</dc:title>
  <dc:subject>KCAS client assessment follow-up</dc:subject>
  <dc:creator>Kanaan Trust</dc:creator>
  <cp:keywords>KCAS, compliance, client evidence, KID 024, KID 333</cp:keywords>
  <dc:description>generated by python-docx</dc:description>
  <cp:lastModifiedBy/>
  <cp:revision>1</cp:revision>
  <dcterms:created xsi:type="dcterms:W3CDTF">2013-12-23T23:15:00Z</dcterms:created>
  <dcterms:modified xsi:type="dcterms:W3CDTF">2013-12-23T23:15:00Z</dcterms:modified>
  <cp:category/>
</cp:coreProperties>
</file>