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 xml:space="preserve">Міністерство оборони України </w:t>
      </w:r>
    </w:p>
    <w:p>
      <w:pPr>
        <w:pStyle w:val="Normal1"/>
        <w:spacing w:lineRule="auto" w:line="240" w:before="0" w:after="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03168, м. Київ-168, Повітрофлотський проспект, 6</w:t>
      </w:r>
    </w:p>
    <w:p>
      <w:pPr>
        <w:pStyle w:val="Normal1"/>
        <w:spacing w:lineRule="auto" w:line="240" w:before="0" w:after="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spacing w:lineRule="auto" w:line="240" w:before="0" w:after="0"/>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t xml:space="preserve">                                                    </w:t>
      </w:r>
      <w:r>
        <w:rPr>
          <w:rFonts w:eastAsia="Times New Roman" w:cs="Times New Roman" w:ascii="Times New Roman" w:hAnsi="Times New Roman"/>
          <w:color w:val="000000"/>
          <w:sz w:val="24"/>
          <w:szCs w:val="24"/>
          <w:highlight w:val="white"/>
        </w:rPr>
        <w:t>через</w:t>
      </w:r>
      <w:r>
        <w:rPr>
          <w:rFonts w:eastAsia="Times New Roman" w:cs="Times New Roman" w:ascii="Times New Roman" w:hAnsi="Times New Roman"/>
          <w:sz w:val="24"/>
          <w:szCs w:val="24"/>
          <w:highlight w:val="white"/>
        </w:rPr>
        <w:t>____________________________</w:t>
      </w:r>
      <w:r>
        <w:rPr>
          <w:rFonts w:eastAsia="Times New Roman" w:cs="Times New Roman" w:ascii="Times New Roman" w:hAnsi="Times New Roman"/>
          <w:color w:val="000000"/>
          <w:sz w:val="24"/>
          <w:szCs w:val="24"/>
          <w:highlight w:val="white"/>
        </w:rPr>
        <w:t xml:space="preserve"> ТЦК та СП</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Кого: __________________</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Адреса: ________________</w:t>
      </w:r>
    </w:p>
    <w:p>
      <w:pPr>
        <w:pStyle w:val="Normal1"/>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тел. </w:t>
      </w:r>
      <w:r>
        <w:rPr>
          <w:rFonts w:eastAsia="Times New Roman" w:cs="Times New Roman" w:ascii="Times New Roman" w:hAnsi="Times New Roman"/>
          <w:sz w:val="24"/>
          <w:szCs w:val="24"/>
          <w:highlight w:val="white"/>
        </w:rPr>
        <w:t>___________</w:t>
      </w:r>
    </w:p>
    <w:p>
      <w:pPr>
        <w:pStyle w:val="Normal1"/>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заява</w:t>
      </w:r>
    </w:p>
    <w:p>
      <w:pPr>
        <w:pStyle w:val="Normal1"/>
        <w:keepNext w:val="false"/>
        <w:keepLines w:val="false"/>
        <w:pageBreakBefore w:val="false"/>
        <w:widowControl/>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2"/>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highlight w:val="white"/>
          <w:u w:val="none"/>
          <w:vertAlign w:val="baseline"/>
        </w:rPr>
        <w:t>про виплату одноразової грошової допомоги</w:t>
      </w:r>
    </w:p>
    <w:p>
      <w:pPr>
        <w:pStyle w:val="Normal1"/>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000000"/>
          <w:sz w:val="24"/>
          <w:szCs w:val="24"/>
          <w:highlight w:val="white"/>
        </w:rPr>
      </w:r>
    </w:p>
    <w:p>
      <w:pPr>
        <w:pStyle w:val="Normal1"/>
        <w:ind w:firstLine="567"/>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sz w:val="24"/>
          <w:szCs w:val="24"/>
          <w:highlight w:val="white"/>
        </w:rPr>
        <w:t>________</w:t>
      </w:r>
      <w:r>
        <w:rPr>
          <w:rFonts w:eastAsia="Times New Roman" w:cs="Times New Roman" w:ascii="Times New Roman" w:hAnsi="Times New Roman"/>
          <w:color w:val="000000"/>
          <w:sz w:val="24"/>
          <w:szCs w:val="24"/>
          <w:highlight w:val="white"/>
        </w:rPr>
        <w:t xml:space="preserve">року рішенням Обласної медико-соціальної експертної комісії </w:t>
      </w:r>
      <w:r>
        <w:rPr>
          <w:rFonts w:eastAsia="Times New Roman" w:cs="Times New Roman" w:ascii="Times New Roman" w:hAnsi="Times New Roman"/>
          <w:sz w:val="24"/>
          <w:szCs w:val="24"/>
          <w:highlight w:val="white"/>
        </w:rPr>
        <w:t>_______________________</w:t>
      </w:r>
      <w:r>
        <w:rPr>
          <w:rFonts w:eastAsia="Times New Roman" w:cs="Times New Roman" w:ascii="Times New Roman" w:hAnsi="Times New Roman"/>
          <w:color w:val="000000"/>
          <w:sz w:val="24"/>
          <w:szCs w:val="24"/>
          <w:highlight w:val="white"/>
        </w:rPr>
        <w:t xml:space="preserve"> мені, _____________________________________________, було змінено групу інвалідності з </w:t>
      </w:r>
      <w:r>
        <w:rPr>
          <w:rFonts w:eastAsia="Times New Roman" w:cs="Times New Roman" w:ascii="Times New Roman" w:hAnsi="Times New Roman"/>
          <w:sz w:val="24"/>
          <w:szCs w:val="24"/>
          <w:highlight w:val="white"/>
        </w:rPr>
        <w:t>___</w:t>
      </w:r>
      <w:r>
        <w:rPr>
          <w:rFonts w:eastAsia="Times New Roman" w:cs="Times New Roman" w:ascii="Times New Roman" w:hAnsi="Times New Roman"/>
          <w:color w:val="000000"/>
          <w:sz w:val="24"/>
          <w:szCs w:val="24"/>
          <w:highlight w:val="white"/>
        </w:rPr>
        <w:t xml:space="preserve"> групи на </w:t>
      </w:r>
      <w:r>
        <w:rPr>
          <w:rFonts w:eastAsia="Times New Roman" w:cs="Times New Roman" w:ascii="Times New Roman" w:hAnsi="Times New Roman"/>
          <w:sz w:val="24"/>
          <w:szCs w:val="24"/>
          <w:highlight w:val="white"/>
        </w:rPr>
        <w:t>____</w:t>
      </w:r>
      <w:r>
        <w:rPr>
          <w:rFonts w:eastAsia="Times New Roman" w:cs="Times New Roman" w:ascii="Times New Roman" w:hAnsi="Times New Roman"/>
          <w:color w:val="000000"/>
          <w:sz w:val="24"/>
          <w:szCs w:val="24"/>
          <w:highlight w:val="white"/>
        </w:rPr>
        <w:t xml:space="preserve"> групу. </w:t>
      </w:r>
    </w:p>
    <w:p>
      <w:pPr>
        <w:pStyle w:val="Normal1"/>
        <w:ind w:firstLine="567"/>
        <w:jc w:val="both"/>
        <w:rPr>
          <w:rFonts w:ascii="Times New Roman" w:hAnsi="Times New Roman" w:eastAsia="Times New Roman" w:cs="Times New Roman"/>
          <w:color w:val="000000"/>
          <w:sz w:val="24"/>
          <w:szCs w:val="24"/>
        </w:rPr>
      </w:pPr>
      <w:r>
        <w:fldChar w:fldCharType="begin"/>
      </w:r>
      <w:r>
        <w:rPr>
          <w:sz w:val="24"/>
          <w:u w:val="none"/>
          <w:szCs w:val="24"/>
          <w:highlight w:val="white"/>
          <w:rFonts w:eastAsia="Times New Roman" w:cs="Times New Roman" w:ascii="Times New Roman" w:hAnsi="Times New Roman"/>
          <w:color w:val="000000"/>
        </w:rPr>
        <w:instrText> HYPERLINK "http://search.ligazakon.ua/l_doc2.nsf/link1/an_827218/ed_2020_09_17/pravo1/T201100.html?pravo=1" \l "827218"</w:instrText>
      </w:r>
      <w:r>
        <w:rPr>
          <w:sz w:val="24"/>
          <w:u w:val="none"/>
          <w:szCs w:val="24"/>
          <w:highlight w:val="white"/>
          <w:rFonts w:eastAsia="Times New Roman" w:cs="Times New Roman" w:ascii="Times New Roman" w:hAnsi="Times New Roman"/>
          <w:color w:val="000000"/>
        </w:rPr>
        <w:fldChar w:fldCharType="separate"/>
      </w:r>
      <w:r>
        <w:rPr>
          <w:rFonts w:eastAsia="Times New Roman" w:cs="Times New Roman" w:ascii="Times New Roman" w:hAnsi="Times New Roman"/>
          <w:color w:val="000000"/>
          <w:sz w:val="24"/>
          <w:szCs w:val="24"/>
          <w:highlight w:val="white"/>
          <w:u w:val="none"/>
        </w:rPr>
        <w:t>Статтею 16 Закону №2011-ХІІ</w:t>
      </w:r>
      <w:r>
        <w:rPr>
          <w:sz w:val="24"/>
          <w:u w:val="none"/>
          <w:szCs w:val="24"/>
          <w:highlight w:val="white"/>
          <w:rFonts w:eastAsia="Times New Roman" w:cs="Times New Roman" w:ascii="Times New Roman" w:hAnsi="Times New Roman"/>
          <w:color w:val="000000"/>
        </w:rPr>
        <w:fldChar w:fldCharType="end"/>
      </w:r>
      <w:r>
        <w:rPr>
          <w:rFonts w:eastAsia="Times New Roman" w:cs="Times New Roman" w:ascii="Times New Roman" w:hAnsi="Times New Roman"/>
          <w:color w:val="000000"/>
          <w:sz w:val="24"/>
          <w:szCs w:val="24"/>
          <w:highlight w:val="white"/>
        </w:rPr>
        <w:t> передбачено, що одноразова грошова допомога у разі загибелі (смерті), інвалідності або часткової втрати працездатності без встановлення інвалідності військовослужбовців, військовозобов`язаних та резервістів, які призвані на навчальні (або перевірочні) та спеціальні збори чи для проходження служби у військовому резерві (далі - одноразова грошова допомога), - гарантована державою виплата, що здійснюється особам, які згідно з цим </w:t>
      </w:r>
      <w:hyperlink r:id="rId2">
        <w:r>
          <w:rPr>
            <w:rFonts w:eastAsia="Times New Roman" w:cs="Times New Roman" w:ascii="Times New Roman" w:hAnsi="Times New Roman"/>
            <w:color w:val="000000"/>
            <w:sz w:val="24"/>
            <w:szCs w:val="24"/>
            <w:highlight w:val="white"/>
            <w:u w:val="single"/>
          </w:rPr>
          <w:t>Законом</w:t>
        </w:r>
      </w:hyperlink>
      <w:r>
        <w:rPr>
          <w:rFonts w:eastAsia="Times New Roman" w:cs="Times New Roman" w:ascii="Times New Roman" w:hAnsi="Times New Roman"/>
          <w:color w:val="000000"/>
          <w:sz w:val="24"/>
          <w:szCs w:val="24"/>
          <w:highlight w:val="white"/>
        </w:rPr>
        <w:t> мають право на її отримання.</w:t>
      </w:r>
    </w:p>
    <w:p>
      <w:pPr>
        <w:pStyle w:val="Normal1"/>
        <w:ind w:firstLine="567"/>
        <w:jc w:val="both"/>
        <w:rPr>
          <w:rFonts w:ascii="Times New Roman" w:hAnsi="Times New Roman" w:eastAsia="Times New Roman" w:cs="Times New Roman"/>
          <w:color w:val="000000"/>
          <w:sz w:val="24"/>
          <w:szCs w:val="24"/>
          <w:highlight w:val="white"/>
        </w:rPr>
      </w:pPr>
      <w:r>
        <w:rPr>
          <w:rFonts w:eastAsia="Times New Roman" w:cs="Times New Roman" w:ascii="Times New Roman" w:hAnsi="Times New Roman"/>
          <w:color w:val="1F1F1F"/>
          <w:sz w:val="24"/>
          <w:szCs w:val="24"/>
          <w:highlight w:val="white"/>
        </w:rPr>
        <w:t xml:space="preserve"> </w:t>
      </w:r>
      <w:r>
        <w:rPr>
          <w:rFonts w:eastAsia="Times New Roman" w:cs="Times New Roman" w:ascii="Times New Roman" w:hAnsi="Times New Roman"/>
          <w:color w:val="1F1F1F"/>
          <w:sz w:val="24"/>
          <w:szCs w:val="24"/>
          <w:highlight w:val="white"/>
        </w:rPr>
        <w:t xml:space="preserve">Пунктом 4 статті 16-3 Закону №2011-XII, було передбачено, що якщо протягом двох років військовослужбовцю, військовозобов`язаному або резервісту після первинного встановлення інвалідності або ступеня втрати працездатності без встановлення інвалідності під час повторного огляду буде встановлено вищу групу інвалідності або більший відсоток втрати працездатності, що дає їм право на отримання одноразової грошової допомоги в </w:t>
      </w:r>
      <w:r>
        <w:rPr>
          <w:rFonts w:eastAsia="Times New Roman" w:cs="Times New Roman" w:ascii="Times New Roman" w:hAnsi="Times New Roman"/>
          <w:color w:val="000000"/>
          <w:sz w:val="24"/>
          <w:szCs w:val="24"/>
          <w:highlight w:val="white"/>
        </w:rPr>
        <w:t>більшому розмірі, виплата провадиться з урахуванням раніше виплаченої суми.</w:t>
      </w:r>
    </w:p>
    <w:p>
      <w:pPr>
        <w:pStyle w:val="Normal1"/>
        <w:keepNext w:val="false"/>
        <w:keepLines w:val="false"/>
        <w:pageBreakBefore w:val="false"/>
        <w:widowControl/>
        <w:pBdr/>
        <w:shd w:val="clear" w:fill="FFFFFF"/>
        <w:spacing w:lineRule="auto" w:line="240" w:before="0" w:after="150"/>
        <w:ind w:left="0" w:right="0" w:firstLine="45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highlight w:val="magenta"/>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highlight w:val="white"/>
          <w:u w:val="none"/>
          <w:vertAlign w:val="baseline"/>
        </w:rPr>
        <w:t xml:space="preserve">Проте,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пункт 4 статті 16-3 визнано таким, що не відповідає Конституції України (є неконституційним), згідно з Рішенням Конституційного Суду </w:t>
      </w:r>
      <w:r>
        <w:fldChar w:fldCharType="begin"/>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HYPERLINK "https://zakon.rada.gov.ua/laws/show/v001p710-22" \l "n85"</w:instrTex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1-р(II)/2022 від 06.04.2022</w: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end"/>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а тому не дивлячись на те, що мені було змінено групу інвалідності понад дворічний термін після первинного встановлення інвалідності – я має цілком законне право на отримання одноразової грошової допомоги у зв’язку із змінами групи інвалідності.</w:t>
      </w:r>
    </w:p>
    <w:p>
      <w:pPr>
        <w:pStyle w:val="Normal1"/>
        <w:spacing w:lineRule="auto" w:line="240" w:before="0" w:after="0"/>
        <w:ind w:firstLine="709"/>
        <w:jc w:val="both"/>
        <w:rPr>
          <w:rFonts w:ascii="Times New Roman" w:hAnsi="Times New Roman" w:eastAsia="Times New Roman" w:cs="Times New Roman"/>
          <w:color w:val="1F1F1F"/>
          <w:sz w:val="24"/>
          <w:szCs w:val="24"/>
          <w:highlight w:val="white"/>
        </w:rPr>
      </w:pPr>
      <w:bookmarkStart w:id="0" w:name="_gjdgxs"/>
      <w:bookmarkEnd w:id="0"/>
      <w:r>
        <w:rPr>
          <w:rFonts w:eastAsia="Times New Roman" w:cs="Times New Roman" w:ascii="Times New Roman" w:hAnsi="Times New Roman"/>
          <w:color w:val="1F1F1F"/>
          <w:sz w:val="24"/>
          <w:szCs w:val="24"/>
          <w:highlight w:val="white"/>
        </w:rPr>
        <w:t>З таких підстав ПРОШУ ВАС виплатити мені різницю між одноразовою грошовою допомогою на яку я маю право при встановленні інвалідності __ групи та отриманою мною грошовою допомогою при встановленні інвалідності ___ групи. Рахунок для виплат додаю.</w:t>
      </w:r>
    </w:p>
    <w:p>
      <w:pPr>
        <w:pStyle w:val="Normal1"/>
        <w:spacing w:lineRule="auto" w:line="240" w:before="0" w:after="0"/>
        <w:ind w:firstLine="709"/>
        <w:jc w:val="both"/>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r>
    </w:p>
    <w:p>
      <w:pPr>
        <w:pStyle w:val="Normal1"/>
        <w:spacing w:lineRule="auto" w:line="240" w:before="0" w:after="0"/>
        <w:ind w:firstLine="709"/>
        <w:jc w:val="both"/>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t>Додатки:</w:t>
      </w:r>
    </w:p>
    <w:p>
      <w:pPr>
        <w:pStyle w:val="Normal1"/>
        <w:keepNext w:val="false"/>
        <w:keepLines w:val="false"/>
        <w:pageBreakBefore w:val="false"/>
        <w:widowControl/>
        <w:numPr>
          <w:ilvl w:val="0"/>
          <w:numId w:val="1"/>
        </w:numPr>
        <w:pBdr/>
        <w:shd w:val="clear" w:fill="auto"/>
        <w:spacing w:lineRule="auto" w:line="259" w:before="0" w:after="0"/>
        <w:ind w:left="1069" w:right="0" w:hanging="360"/>
        <w:jc w:val="both"/>
        <w:rPr>
          <w:rFonts w:ascii="Times New Roman" w:hAnsi="Times New Roman" w:eastAsia="Times New Roman" w:cs="Times New Roman"/>
          <w:b w:val="false"/>
          <w:b w:val="false"/>
          <w:i w:val="false"/>
          <w:i w:val="false"/>
          <w:caps w:val="false"/>
          <w:smallCaps w:val="false"/>
          <w:strike w:val="false"/>
          <w:dstrike w:val="false"/>
          <w:color w:val="1F1F1F"/>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F1F1F"/>
          <w:position w:val="0"/>
          <w:sz w:val="24"/>
          <w:sz w:val="24"/>
          <w:szCs w:val="24"/>
          <w:highlight w:val="white"/>
          <w:u w:val="none"/>
          <w:vertAlign w:val="baseline"/>
        </w:rPr>
        <w:t>Копія акту огляду МСЕК серія ____ №.</w:t>
      </w:r>
    </w:p>
    <w:p>
      <w:pPr>
        <w:pStyle w:val="Normal1"/>
        <w:keepNext w:val="false"/>
        <w:keepLines w:val="false"/>
        <w:pageBreakBefore w:val="false"/>
        <w:widowControl/>
        <w:numPr>
          <w:ilvl w:val="0"/>
          <w:numId w:val="1"/>
        </w:numPr>
        <w:pBdr/>
        <w:shd w:val="clear" w:fill="auto"/>
        <w:spacing w:lineRule="auto" w:line="259" w:before="0" w:after="0"/>
        <w:ind w:left="1069" w:right="0" w:hanging="360"/>
        <w:jc w:val="both"/>
        <w:rPr>
          <w:rFonts w:ascii="Times New Roman" w:hAnsi="Times New Roman" w:eastAsia="Times New Roman" w:cs="Times New Roman"/>
          <w:b w:val="false"/>
          <w:b w:val="false"/>
          <w:i w:val="false"/>
          <w:i w:val="false"/>
          <w:caps w:val="false"/>
          <w:smallCaps w:val="false"/>
          <w:strike w:val="false"/>
          <w:dstrike w:val="false"/>
          <w:color w:val="1F1F1F"/>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F1F1F"/>
          <w:position w:val="0"/>
          <w:sz w:val="24"/>
          <w:sz w:val="24"/>
          <w:szCs w:val="24"/>
          <w:highlight w:val="white"/>
          <w:u w:val="none"/>
          <w:vertAlign w:val="baseline"/>
        </w:rPr>
        <w:t>Копія акту огляду МСЕК серія ____ №.</w:t>
      </w:r>
    </w:p>
    <w:p>
      <w:pPr>
        <w:pStyle w:val="Normal1"/>
        <w:keepNext w:val="false"/>
        <w:keepLines w:val="false"/>
        <w:pageBreakBefore w:val="false"/>
        <w:widowControl/>
        <w:numPr>
          <w:ilvl w:val="0"/>
          <w:numId w:val="1"/>
        </w:numPr>
        <w:pBdr/>
        <w:shd w:val="clear" w:fill="auto"/>
        <w:spacing w:lineRule="auto" w:line="259" w:before="0" w:after="0"/>
        <w:ind w:left="1069" w:right="0" w:hanging="360"/>
        <w:jc w:val="both"/>
        <w:rPr>
          <w:rFonts w:ascii="Times New Roman" w:hAnsi="Times New Roman" w:eastAsia="Times New Roman" w:cs="Times New Roman"/>
          <w:b w:val="false"/>
          <w:b w:val="false"/>
          <w:i w:val="false"/>
          <w:i w:val="false"/>
          <w:caps w:val="false"/>
          <w:smallCaps w:val="false"/>
          <w:strike w:val="false"/>
          <w:dstrike w:val="false"/>
          <w:color w:val="1F1F1F"/>
          <w:position w:val="0"/>
          <w:sz w:val="22"/>
          <w:sz w:val="24"/>
          <w:szCs w:val="24"/>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1F1F1F"/>
          <w:position w:val="0"/>
          <w:sz w:val="24"/>
          <w:sz w:val="24"/>
          <w:szCs w:val="24"/>
          <w:highlight w:val="white"/>
          <w:u w:val="none"/>
          <w:vertAlign w:val="baseline"/>
        </w:rPr>
        <w:t>Реквізити банківського рахунку.</w:t>
      </w:r>
    </w:p>
    <w:p>
      <w:pPr>
        <w:pStyle w:val="Normal1"/>
        <w:spacing w:lineRule="auto" w:line="240" w:before="0" w:after="0"/>
        <w:ind w:left="709" w:hanging="0"/>
        <w:jc w:val="both"/>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r>
    </w:p>
    <w:p>
      <w:pPr>
        <w:pStyle w:val="Normal1"/>
        <w:spacing w:lineRule="auto" w:line="240" w:before="0" w:after="0"/>
        <w:ind w:firstLine="709"/>
        <w:jc w:val="both"/>
        <w:rPr>
          <w:rFonts w:ascii="Times New Roman" w:hAnsi="Times New Roman" w:eastAsia="Times New Roman" w:cs="Times New Roman"/>
          <w:color w:val="1F1F1F"/>
          <w:sz w:val="24"/>
          <w:szCs w:val="24"/>
          <w:highlight w:val="white"/>
        </w:rPr>
      </w:pPr>
      <w:r>
        <w:rPr>
          <w:rFonts w:eastAsia="Times New Roman" w:cs="Times New Roman" w:ascii="Times New Roman" w:hAnsi="Times New Roman"/>
          <w:color w:val="1F1F1F"/>
          <w:sz w:val="24"/>
          <w:szCs w:val="24"/>
          <w:highlight w:val="white"/>
        </w:rPr>
      </w:r>
    </w:p>
    <w:p>
      <w:pPr>
        <w:pStyle w:val="Normal1"/>
        <w:spacing w:lineRule="auto" w:line="240" w:before="0" w:after="0"/>
        <w:jc w:val="both"/>
        <w:rPr/>
      </w:pPr>
      <w:r>
        <w:rPr>
          <w:rFonts w:eastAsia="Times New Roman" w:cs="Times New Roman" w:ascii="Times New Roman" w:hAnsi="Times New Roman"/>
          <w:color w:val="1F1F1F"/>
          <w:sz w:val="24"/>
          <w:szCs w:val="24"/>
          <w:highlight w:val="white"/>
        </w:rPr>
        <w:t>Дата                                                   підпис                                             ініціали</w:t>
      </w:r>
    </w:p>
    <w:sectPr>
      <w:type w:val="nextPage"/>
      <w:pgSz w:w="11906" w:h="16838"/>
      <w:pgMar w:left="1701" w:right="851" w:header="0" w:top="1134"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1069" w:hanging="360"/>
      </w:pPr>
    </w:lvl>
    <w:lvl w:ilvl="1">
      <w:start w:val="1"/>
      <w:numFmt w:val="lowerLetter"/>
      <w:lvlText w:val="%2."/>
      <w:lvlJc w:val="left"/>
      <w:pPr>
        <w:tabs>
          <w:tab w:val="num" w:pos="1080"/>
        </w:tabs>
        <w:ind w:left="1789" w:hanging="360"/>
      </w:pPr>
    </w:lvl>
    <w:lvl w:ilvl="2">
      <w:start w:val="1"/>
      <w:numFmt w:val="lowerRoman"/>
      <w:lvlText w:val="%3."/>
      <w:lvlJc w:val="right"/>
      <w:pPr>
        <w:tabs>
          <w:tab w:val="num" w:pos="1440"/>
        </w:tabs>
        <w:ind w:left="2509" w:hanging="180"/>
      </w:pPr>
    </w:lvl>
    <w:lvl w:ilvl="3">
      <w:start w:val="1"/>
      <w:numFmt w:val="decimal"/>
      <w:lvlText w:val="%4."/>
      <w:lvlJc w:val="left"/>
      <w:pPr>
        <w:tabs>
          <w:tab w:val="num" w:pos="1800"/>
        </w:tabs>
        <w:ind w:left="3229" w:hanging="360"/>
      </w:pPr>
    </w:lvl>
    <w:lvl w:ilvl="4">
      <w:start w:val="1"/>
      <w:numFmt w:val="lowerLetter"/>
      <w:lvlText w:val="%5."/>
      <w:lvlJc w:val="left"/>
      <w:pPr>
        <w:tabs>
          <w:tab w:val="num" w:pos="2160"/>
        </w:tabs>
        <w:ind w:left="3949" w:hanging="360"/>
      </w:pPr>
    </w:lvl>
    <w:lvl w:ilvl="5">
      <w:start w:val="1"/>
      <w:numFmt w:val="lowerRoman"/>
      <w:lvlText w:val="%6."/>
      <w:lvlJc w:val="right"/>
      <w:pPr>
        <w:tabs>
          <w:tab w:val="num" w:pos="2520"/>
        </w:tabs>
        <w:ind w:left="4669" w:hanging="180"/>
      </w:pPr>
    </w:lvl>
    <w:lvl w:ilvl="6">
      <w:start w:val="1"/>
      <w:numFmt w:val="decimal"/>
      <w:lvlText w:val="%7."/>
      <w:lvlJc w:val="left"/>
      <w:pPr>
        <w:tabs>
          <w:tab w:val="num" w:pos="2880"/>
        </w:tabs>
        <w:ind w:left="5389" w:hanging="360"/>
      </w:pPr>
    </w:lvl>
    <w:lvl w:ilvl="7">
      <w:start w:val="1"/>
      <w:numFmt w:val="lowerLetter"/>
      <w:lvlText w:val="%8."/>
      <w:lvlJc w:val="left"/>
      <w:pPr>
        <w:tabs>
          <w:tab w:val="num" w:pos="3240"/>
        </w:tabs>
        <w:ind w:left="6109" w:hanging="360"/>
      </w:pPr>
    </w:lvl>
    <w:lvl w:ilvl="8">
      <w:start w:val="1"/>
      <w:numFmt w:val="lowerRoman"/>
      <w:lvlText w:val="%9."/>
      <w:lvlJc w:val="right"/>
      <w:pPr>
        <w:tabs>
          <w:tab w:val="num" w:pos="3600"/>
        </w:tabs>
        <w:ind w:left="6829"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1">
    <w:name w:val="Heading 1"/>
    <w:basedOn w:val="Normal1"/>
    <w:next w:val="Normal1"/>
    <w:qFormat/>
    <w:pPr>
      <w:keepNext w:val="true"/>
      <w:keepLines/>
      <w:pageBreakBefore w:val="false"/>
      <w:spacing w:lineRule="auto" w:line="240" w:before="480" w:after="120"/>
    </w:pPr>
    <w:rPr>
      <w:b/>
      <w:sz w:val="48"/>
      <w:szCs w:val="48"/>
    </w:rPr>
  </w:style>
  <w:style w:type="paragraph" w:styleId="2">
    <w:name w:val="Heading 2"/>
    <w:basedOn w:val="Normal1"/>
    <w:next w:val="Normal1"/>
    <w:qFormat/>
    <w:pPr>
      <w:keepNext w:val="true"/>
      <w:keepLines/>
      <w:pageBreakBefore w:val="false"/>
      <w:spacing w:lineRule="auto" w:line="240" w:before="360" w:after="80"/>
    </w:pPr>
    <w:rPr>
      <w:b/>
      <w:sz w:val="36"/>
      <w:szCs w:val="36"/>
    </w:rPr>
  </w:style>
  <w:style w:type="paragraph" w:styleId="3">
    <w:name w:val="Heading 3"/>
    <w:basedOn w:val="Normal1"/>
    <w:next w:val="Normal1"/>
    <w:qFormat/>
    <w:pPr>
      <w:keepNext w:val="true"/>
      <w:keepLines/>
      <w:pageBreakBefore w:val="false"/>
      <w:spacing w:lineRule="auto" w:line="240" w:before="280" w:after="80"/>
    </w:pPr>
    <w:rPr>
      <w:b/>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Гіперпосилання"/>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Покажчик"/>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Style14">
    <w:name w:val="Title"/>
    <w:basedOn w:val="Normal1"/>
    <w:next w:val="Normal1"/>
    <w:qFormat/>
    <w:pPr>
      <w:keepNext w:val="true"/>
      <w:keepLines/>
      <w:pageBreakBefore w:val="false"/>
      <w:spacing w:lineRule="auto" w:line="240" w:before="480" w:after="120"/>
    </w:pPr>
    <w:rPr>
      <w:b/>
      <w:sz w:val="72"/>
      <w:szCs w:val="72"/>
    </w:rPr>
  </w:style>
  <w:style w:type="paragraph" w:styleId="Style15">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arch.ligazakon.ua/l_doc2.nsf/link1/ed_2018_06_07/pravo1/T161774.html?pravo=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LibreOffice/6.4.5.2$Windows_X86_64 LibreOffice_project/a726b36747cf2001e06b58ad5db1aa3a9a1872d6</Application>
  <Pages>1</Pages>
  <Words>286</Words>
  <Characters>1958</Characters>
  <CharactersWithSpaces>2633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cp:revision>0</cp:revision>
  <dc:subject/>
  <dc:title/>
</cp:coreProperties>
</file>