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71394" w14:textId="248E4750" w:rsidR="006C12D3" w:rsidRPr="007E0DCC" w:rsidRDefault="006C12D3" w:rsidP="007723D4">
      <w:pPr>
        <w:spacing w:line="360" w:lineRule="auto"/>
        <w:rPr>
          <w:rFonts w:ascii="Arial" w:hAnsi="Arial" w:cs="Arial"/>
          <w:b/>
          <w:bCs/>
          <w:sz w:val="32"/>
          <w:szCs w:val="32"/>
        </w:rPr>
      </w:pPr>
      <w:r w:rsidRPr="007E0DCC">
        <w:rPr>
          <w:rFonts w:ascii="Arial" w:hAnsi="Arial" w:cs="Arial"/>
          <w:b/>
          <w:bCs/>
          <w:sz w:val="32"/>
          <w:szCs w:val="32"/>
        </w:rPr>
        <w:t>Évolution du marché des actions aux États-Unis depuis 2010: l’exemple de l’indice Dow Jones Industrial Average</w:t>
      </w:r>
    </w:p>
    <w:p w14:paraId="164709A8" w14:textId="77777777" w:rsidR="006C12D3" w:rsidRPr="007E0DCC" w:rsidRDefault="006C12D3" w:rsidP="007723D4">
      <w:pPr>
        <w:spacing w:line="360" w:lineRule="auto"/>
        <w:rPr>
          <w:rFonts w:ascii="Arial" w:hAnsi="Arial" w:cs="Arial"/>
          <w:b/>
          <w:bCs/>
        </w:rPr>
      </w:pPr>
      <w:r w:rsidRPr="007E0DCC">
        <w:rPr>
          <w:rFonts w:ascii="Arial" w:hAnsi="Arial" w:cs="Arial"/>
          <w:b/>
          <w:bCs/>
        </w:rPr>
        <w:t>Introduction</w:t>
      </w:r>
    </w:p>
    <w:p w14:paraId="3E4A334B" w14:textId="77777777" w:rsidR="006C12D3" w:rsidRPr="007E0DCC" w:rsidRDefault="006C12D3" w:rsidP="007E0DCC">
      <w:pPr>
        <w:spacing w:line="360" w:lineRule="auto"/>
        <w:ind w:firstLine="720"/>
        <w:rPr>
          <w:rFonts w:ascii="Arial" w:hAnsi="Arial" w:cs="Arial"/>
        </w:rPr>
      </w:pPr>
      <w:r w:rsidRPr="007E0DCC">
        <w:rPr>
          <w:rFonts w:ascii="Arial" w:hAnsi="Arial" w:cs="Arial"/>
        </w:rPr>
        <w:t xml:space="preserve">Le 12 janvier 2026, le Dow Jones Industrial Average (DJIA) </w:t>
      </w:r>
      <w:proofErr w:type="gramStart"/>
      <w:r w:rsidRPr="007E0DCC">
        <w:rPr>
          <w:rFonts w:ascii="Arial" w:hAnsi="Arial" w:cs="Arial"/>
        </w:rPr>
        <w:t>a</w:t>
      </w:r>
      <w:proofErr w:type="gramEnd"/>
      <w:r w:rsidRPr="007E0DCC">
        <w:rPr>
          <w:rFonts w:ascii="Arial" w:hAnsi="Arial" w:cs="Arial"/>
        </w:rPr>
        <w:t xml:space="preserve"> atteint un sommet historique intrajournalier de 49 633,35 points, s’approchant d’un seuil symbolique </w:t>
      </w:r>
      <w:proofErr w:type="gramStart"/>
      <w:r w:rsidRPr="007E0DCC">
        <w:rPr>
          <w:rFonts w:ascii="Arial" w:hAnsi="Arial" w:cs="Arial"/>
        </w:rPr>
        <w:t>majeur :</w:t>
      </w:r>
      <w:proofErr w:type="gramEnd"/>
      <w:r w:rsidRPr="007E0DCC">
        <w:rPr>
          <w:rFonts w:ascii="Arial" w:hAnsi="Arial" w:cs="Arial"/>
        </w:rPr>
        <w:t xml:space="preserve"> celui des 50 000 points. Cet événement dépasse le simple record boursier. Il constitue un marqueur économique fort, révélateur de la transformation profonde du capitalisme américain depuis la sortie de la crise financière de 2008-2009.</w:t>
      </w:r>
    </w:p>
    <w:p w14:paraId="3F9EA61A" w14:textId="22B691D2" w:rsidR="006C12D3" w:rsidRPr="007E0DCC" w:rsidRDefault="006C12D3" w:rsidP="007E0DCC">
      <w:pPr>
        <w:spacing w:line="360" w:lineRule="auto"/>
        <w:ind w:firstLine="720"/>
        <w:rPr>
          <w:rFonts w:ascii="Arial" w:hAnsi="Arial" w:cs="Arial"/>
        </w:rPr>
      </w:pPr>
      <w:r w:rsidRPr="007E0DCC">
        <w:rPr>
          <w:rFonts w:ascii="Arial" w:hAnsi="Arial" w:cs="Arial"/>
        </w:rPr>
        <w:t xml:space="preserve">Depuis 2010, les marchés actions américains ont évolué dans un environnement inédit, caractérisé par une politique monétaire extrêmement accommodante, une numérisation accélérée de l’économie, ainsi qu’une succession de chocs exogènes </w:t>
      </w:r>
      <w:proofErr w:type="gramStart"/>
      <w:r w:rsidRPr="007E0DCC">
        <w:rPr>
          <w:rFonts w:ascii="Arial" w:hAnsi="Arial" w:cs="Arial"/>
        </w:rPr>
        <w:t>majeurs :</w:t>
      </w:r>
      <w:proofErr w:type="gramEnd"/>
      <w:r w:rsidRPr="007E0DCC">
        <w:rPr>
          <w:rFonts w:ascii="Arial" w:hAnsi="Arial" w:cs="Arial"/>
        </w:rPr>
        <w:t xml:space="preserve"> crise des dettes souveraines, tensions commerciales sino-américaines, pandémie de COVID-19, résurgence de l’inflation et, plus récemment, l’essor spectaculaire de l’intelligence artificielle.</w:t>
      </w:r>
    </w:p>
    <w:p w14:paraId="445715D4" w14:textId="04EDC0A0" w:rsidR="006C12D3" w:rsidRPr="007E0DCC" w:rsidRDefault="006C12D3" w:rsidP="007E0DCC">
      <w:pPr>
        <w:spacing w:line="360" w:lineRule="auto"/>
        <w:ind w:firstLine="720"/>
        <w:rPr>
          <w:rFonts w:ascii="Arial" w:hAnsi="Arial" w:cs="Arial"/>
        </w:rPr>
      </w:pPr>
      <w:r w:rsidRPr="007E0DCC">
        <w:rPr>
          <w:rFonts w:ascii="Arial" w:hAnsi="Arial" w:cs="Arial"/>
        </w:rPr>
        <w:t xml:space="preserve">Dans ce contexte, le Dow Jones </w:t>
      </w:r>
      <w:r w:rsidR="00946CBE" w:rsidRPr="007E0DCC">
        <w:rPr>
          <w:rFonts w:ascii="Arial" w:hAnsi="Arial" w:cs="Arial"/>
        </w:rPr>
        <w:t xml:space="preserve">- </w:t>
      </w:r>
      <w:r w:rsidRPr="007E0DCC">
        <w:rPr>
          <w:rFonts w:ascii="Arial" w:hAnsi="Arial" w:cs="Arial"/>
        </w:rPr>
        <w:t xml:space="preserve">souvent perçu comme un indice « traditionnel » ou « industriel » </w:t>
      </w:r>
      <w:r w:rsidR="00946CBE" w:rsidRPr="007E0DCC">
        <w:rPr>
          <w:rFonts w:ascii="Arial" w:hAnsi="Arial" w:cs="Arial"/>
        </w:rPr>
        <w:t>-</w:t>
      </w:r>
      <w:r w:rsidRPr="007E0DCC">
        <w:rPr>
          <w:rFonts w:ascii="Arial" w:hAnsi="Arial" w:cs="Arial"/>
        </w:rPr>
        <w:t xml:space="preserve"> s’est pourtant imposé comme un baromètre central de la performance économique américaine, tout en opérant une mutation structurelle profonde de ses composants.</w:t>
      </w:r>
    </w:p>
    <w:p w14:paraId="5BED2C72" w14:textId="77777777" w:rsidR="006C12D3" w:rsidRPr="007E0DCC" w:rsidRDefault="006C12D3" w:rsidP="007723D4">
      <w:pPr>
        <w:spacing w:line="360" w:lineRule="auto"/>
        <w:rPr>
          <w:rFonts w:ascii="Arial" w:hAnsi="Arial" w:cs="Arial"/>
        </w:rPr>
      </w:pPr>
      <w:r w:rsidRPr="007E0DCC">
        <w:rPr>
          <w:rFonts w:ascii="Arial" w:hAnsi="Arial" w:cs="Arial"/>
          <w:b/>
          <w:bCs/>
        </w:rPr>
        <w:t>Problématique</w:t>
      </w:r>
    </w:p>
    <w:p w14:paraId="34CF07BA" w14:textId="0B4F3CF4" w:rsidR="006C12D3" w:rsidRPr="007E0DCC" w:rsidRDefault="006C12D3" w:rsidP="007723D4">
      <w:pPr>
        <w:spacing w:line="360" w:lineRule="auto"/>
        <w:rPr>
          <w:rFonts w:ascii="Arial" w:hAnsi="Arial" w:cs="Arial"/>
        </w:rPr>
      </w:pPr>
      <w:r w:rsidRPr="007E0DCC">
        <w:rPr>
          <w:rFonts w:ascii="Arial" w:hAnsi="Arial" w:cs="Arial"/>
          <w:i/>
          <w:iCs/>
        </w:rPr>
        <w:t>Comment l’indice Dow Jones a-t-il évolué depuis 2010 pour refléter la transition d’une économie industrielle classique vers une « Renaissance Blue-Chip » dominée par les services numériques</w:t>
      </w:r>
      <w:r w:rsidR="007E0DCC" w:rsidRPr="007E0DCC">
        <w:rPr>
          <w:rFonts w:ascii="Arial" w:hAnsi="Arial" w:cs="Arial"/>
          <w:i/>
          <w:iCs/>
        </w:rPr>
        <w:t xml:space="preserve"> et</w:t>
      </w:r>
      <w:r w:rsidRPr="007E0DCC">
        <w:rPr>
          <w:rFonts w:ascii="Arial" w:hAnsi="Arial" w:cs="Arial"/>
          <w:i/>
          <w:iCs/>
        </w:rPr>
        <w:t xml:space="preserve"> l’intelligence </w:t>
      </w:r>
      <w:proofErr w:type="gramStart"/>
      <w:r w:rsidRPr="007E0DCC">
        <w:rPr>
          <w:rFonts w:ascii="Arial" w:hAnsi="Arial" w:cs="Arial"/>
          <w:i/>
          <w:iCs/>
        </w:rPr>
        <w:t>artificielle</w:t>
      </w:r>
      <w:r w:rsidR="007E0DCC" w:rsidRPr="007E0DCC">
        <w:rPr>
          <w:rFonts w:ascii="Arial" w:hAnsi="Arial" w:cs="Arial"/>
          <w:i/>
          <w:iCs/>
        </w:rPr>
        <w:t xml:space="preserve"> </w:t>
      </w:r>
      <w:r w:rsidRPr="007E0DCC">
        <w:rPr>
          <w:rFonts w:ascii="Arial" w:hAnsi="Arial" w:cs="Arial"/>
          <w:i/>
          <w:iCs/>
        </w:rPr>
        <w:t>?</w:t>
      </w:r>
      <w:proofErr w:type="gramEnd"/>
    </w:p>
    <w:p w14:paraId="28E58F7A" w14:textId="79E20D6A" w:rsidR="00CE415F" w:rsidRPr="007E0DCC" w:rsidRDefault="006C12D3" w:rsidP="007E0DCC">
      <w:pPr>
        <w:spacing w:line="360" w:lineRule="auto"/>
        <w:ind w:firstLine="720"/>
        <w:rPr>
          <w:rFonts w:ascii="Arial" w:hAnsi="Arial" w:cs="Arial"/>
        </w:rPr>
        <w:sectPr w:rsidR="00CE415F" w:rsidRPr="007E0DCC" w:rsidSect="008875B6">
          <w:headerReference w:type="default" r:id="rId8"/>
          <w:footerReference w:type="default" r:id="rId9"/>
          <w:footerReference w:type="first" r:id="rId10"/>
          <w:pgSz w:w="12240" w:h="15840"/>
          <w:pgMar w:top="1440" w:right="1440" w:bottom="1440" w:left="1440" w:header="708" w:footer="708" w:gutter="0"/>
          <w:pgNumType w:start="1"/>
          <w:cols w:space="708"/>
          <w:titlePg/>
          <w:docGrid w:linePitch="360"/>
        </w:sectPr>
      </w:pPr>
      <w:r w:rsidRPr="007E0DCC">
        <w:rPr>
          <w:rFonts w:ascii="Arial" w:hAnsi="Arial" w:cs="Arial"/>
        </w:rPr>
        <w:t>Afin de répondre à cette problématique, cette étude analysera d’abord les fondements méthodologiques et le périmètre de l’indice (Partie 1), avant d’examiner les dynamiques macroéconomiques, sectorielles et structurelles qui expliquent sa croissance depuis 2010 (Partie 2), en s’appuyant sur les données issues des tableaux Excel réalisés</w:t>
      </w:r>
      <w:r w:rsidR="007E0DCC" w:rsidRPr="007E0DCC">
        <w:rPr>
          <w:rFonts w:ascii="Arial" w:hAnsi="Arial" w:cs="Arial"/>
        </w:rPr>
        <w:t>.</w:t>
      </w:r>
    </w:p>
    <w:p w14:paraId="74B39FCE" w14:textId="2C2C8DFE" w:rsidR="00861727" w:rsidRPr="007E0DCC" w:rsidRDefault="00861727" w:rsidP="007723D4">
      <w:pPr>
        <w:spacing w:line="360" w:lineRule="auto"/>
        <w:rPr>
          <w:rFonts w:ascii="Arial" w:hAnsi="Arial" w:cs="Arial"/>
        </w:rPr>
      </w:pPr>
    </w:p>
    <w:p w14:paraId="5DDCA8EB" w14:textId="4E60DAB8" w:rsidR="006C12D3" w:rsidRPr="007E0DCC" w:rsidRDefault="006C12D3" w:rsidP="007723D4">
      <w:pPr>
        <w:spacing w:line="360" w:lineRule="auto"/>
        <w:rPr>
          <w:rFonts w:ascii="Arial" w:hAnsi="Arial" w:cs="Arial"/>
          <w:b/>
          <w:bCs/>
        </w:rPr>
      </w:pPr>
      <w:r w:rsidRPr="007E0DCC">
        <w:rPr>
          <w:rFonts w:ascii="Arial" w:hAnsi="Arial" w:cs="Arial"/>
          <w:b/>
          <w:bCs/>
        </w:rPr>
        <w:t>Partie 1 – Fondements et périmètre de l’indice Dow Jones</w:t>
      </w:r>
    </w:p>
    <w:p w14:paraId="754935FB" w14:textId="77777777" w:rsidR="006C12D3" w:rsidRPr="007E0DCC" w:rsidRDefault="006C12D3" w:rsidP="007723D4">
      <w:pPr>
        <w:spacing w:line="360" w:lineRule="auto"/>
        <w:rPr>
          <w:rFonts w:ascii="Arial" w:hAnsi="Arial" w:cs="Arial"/>
          <w:b/>
          <w:bCs/>
        </w:rPr>
      </w:pPr>
      <w:r w:rsidRPr="007E0DCC">
        <w:rPr>
          <w:rFonts w:ascii="Arial" w:hAnsi="Arial" w:cs="Arial"/>
          <w:b/>
          <w:bCs/>
        </w:rPr>
        <w:t>1.1 Définitions et méthodologie de calcul</w:t>
      </w:r>
    </w:p>
    <w:p w14:paraId="14A8CCA2" w14:textId="77777777" w:rsidR="006C12D3" w:rsidRPr="007E0DCC" w:rsidRDefault="006C12D3" w:rsidP="007E0DCC">
      <w:pPr>
        <w:spacing w:line="360" w:lineRule="auto"/>
        <w:ind w:firstLine="720"/>
        <w:rPr>
          <w:rFonts w:ascii="Arial" w:hAnsi="Arial" w:cs="Arial"/>
        </w:rPr>
      </w:pPr>
      <w:r w:rsidRPr="007E0DCC">
        <w:rPr>
          <w:rFonts w:ascii="Arial" w:hAnsi="Arial" w:cs="Arial"/>
        </w:rPr>
        <w:t xml:space="preserve">Créé le 26 mai 1896 par Charles Dow, le Dow Jones Industrial Average est le deuxième plus ancien indice boursier des États-Unis encore en activité. Il regroupe 30 entreprises américaines de premier plan, sélectionnées par un comité conjoint de </w:t>
      </w:r>
      <w:r w:rsidRPr="007E0DCC">
        <w:rPr>
          <w:rFonts w:ascii="Arial" w:hAnsi="Arial" w:cs="Arial"/>
          <w:i/>
          <w:iCs/>
        </w:rPr>
        <w:t>S&amp;P Dow Jones Indices</w:t>
      </w:r>
      <w:r w:rsidRPr="007E0DCC">
        <w:rPr>
          <w:rFonts w:ascii="Arial" w:hAnsi="Arial" w:cs="Arial"/>
        </w:rPr>
        <w:t xml:space="preserve"> et du </w:t>
      </w:r>
      <w:r w:rsidRPr="007E0DCC">
        <w:rPr>
          <w:rFonts w:ascii="Arial" w:hAnsi="Arial" w:cs="Arial"/>
          <w:i/>
          <w:iCs/>
        </w:rPr>
        <w:t>Wall Street Journal</w:t>
      </w:r>
      <w:r w:rsidRPr="007E0DCC">
        <w:rPr>
          <w:rFonts w:ascii="Arial" w:hAnsi="Arial" w:cs="Arial"/>
        </w:rPr>
        <w:t>.</w:t>
      </w:r>
    </w:p>
    <w:p w14:paraId="0BCEF8B4" w14:textId="12916B30" w:rsidR="00C34156" w:rsidRPr="007E0DCC" w:rsidRDefault="006C12D3" w:rsidP="007E0DCC">
      <w:pPr>
        <w:spacing w:line="360" w:lineRule="auto"/>
        <w:ind w:firstLine="720"/>
        <w:rPr>
          <w:rFonts w:ascii="Arial" w:hAnsi="Arial" w:cs="Arial"/>
        </w:rPr>
      </w:pPr>
      <w:r w:rsidRPr="007E0DCC">
        <w:rPr>
          <w:rFonts w:ascii="Arial" w:hAnsi="Arial" w:cs="Arial"/>
        </w:rPr>
        <w:t>Contrairement au S&amp;P 500 ou au Nasdaq Composite, le DJIA est un indice pondéré par les prix</w:t>
      </w:r>
      <w:r w:rsidR="000D795D" w:rsidRPr="007E0DCC">
        <w:rPr>
          <w:rFonts w:ascii="Arial" w:hAnsi="Arial" w:cs="Arial"/>
        </w:rPr>
        <w:t>.</w:t>
      </w:r>
      <w:r w:rsidRPr="007E0DCC">
        <w:rPr>
          <w:rFonts w:ascii="Arial" w:hAnsi="Arial" w:cs="Arial"/>
        </w:rPr>
        <w:t xml:space="preserve"> Cela signifie que le poids d’une entreprise dans l’indice dépend du prix nominal de son action, et non de sa capitalisation boursière totale. Ainsi, une action cotant 400 $ influence davantage l’indice qu’une action cotant 100 $, même si cette dernière représente une entreprise plus grande en valeur de marché¹.</w:t>
      </w:r>
      <w:r w:rsidR="000D795D" w:rsidRPr="007E0DCC">
        <w:rPr>
          <w:rFonts w:ascii="Arial" w:hAnsi="Arial" w:cs="Arial"/>
        </w:rPr>
        <w:t xml:space="preserve"> </w:t>
      </w:r>
      <w:r w:rsidRPr="007E0DCC">
        <w:rPr>
          <w:rFonts w:ascii="Arial" w:hAnsi="Arial" w:cs="Arial"/>
        </w:rPr>
        <w:t>Afin d’assurer la continuité de l’indice lors des fractionnements d’actions, des dividendes exceptionnels ou des changements de composants, un ajustement technique est effectué à l’aide du Dow Divisor.</w:t>
      </w:r>
      <w:r w:rsidR="00212A25" w:rsidRPr="007E0DCC">
        <w:rPr>
          <w:rFonts w:ascii="Arial" w:hAnsi="Arial" w:cs="Arial"/>
        </w:rPr>
        <w:t xml:space="preserve"> Qui </w:t>
      </w:r>
      <w:r w:rsidRPr="007E0DCC">
        <w:rPr>
          <w:rFonts w:ascii="Arial" w:hAnsi="Arial" w:cs="Arial"/>
        </w:rPr>
        <w:t xml:space="preserve">s’établissait autour de 0,1624 en 2025, ce qui implique qu’une variation de </w:t>
      </w:r>
      <w:proofErr w:type="gramStart"/>
      <w:r w:rsidRPr="007E0DCC">
        <w:rPr>
          <w:rFonts w:ascii="Arial" w:hAnsi="Arial" w:cs="Arial"/>
        </w:rPr>
        <w:t>1 dollar</w:t>
      </w:r>
      <w:proofErr w:type="gramEnd"/>
      <w:r w:rsidRPr="007E0DCC">
        <w:rPr>
          <w:rFonts w:ascii="Arial" w:hAnsi="Arial" w:cs="Arial"/>
        </w:rPr>
        <w:t xml:space="preserve"> sur un titre du Dow entraîne une variation d’environ 6,17 points sur l’indice.</w:t>
      </w:r>
    </w:p>
    <w:tbl>
      <w:tblPr>
        <w:tblStyle w:val="TableGrid"/>
        <w:tblpPr w:leftFromText="180" w:rightFromText="180" w:vertAnchor="text" w:horzAnchor="margin" w:tblpY="334"/>
        <w:tblOverlap w:val="never"/>
        <w:tblW w:w="8970" w:type="dxa"/>
        <w:tblLook w:val="04A0" w:firstRow="1" w:lastRow="0" w:firstColumn="1" w:lastColumn="0" w:noHBand="0" w:noVBand="1"/>
      </w:tblPr>
      <w:tblGrid>
        <w:gridCol w:w="4485"/>
        <w:gridCol w:w="4485"/>
      </w:tblGrid>
      <w:tr w:rsidR="002A0D12" w:rsidRPr="007E0DCC" w14:paraId="5B7465D2" w14:textId="77777777" w:rsidTr="002A0D12">
        <w:trPr>
          <w:trHeight w:val="284"/>
        </w:trPr>
        <w:tc>
          <w:tcPr>
            <w:tcW w:w="4485" w:type="dxa"/>
            <w:vAlign w:val="center"/>
          </w:tcPr>
          <w:p w14:paraId="659F4560" w14:textId="77777777" w:rsidR="002A0D12" w:rsidRPr="007E0DCC" w:rsidRDefault="002A0D12" w:rsidP="007723D4">
            <w:pPr>
              <w:spacing w:line="360" w:lineRule="auto"/>
              <w:jc w:val="center"/>
              <w:rPr>
                <w:rFonts w:ascii="Arial" w:hAnsi="Arial" w:cs="Arial"/>
              </w:rPr>
            </w:pPr>
            <w:r w:rsidRPr="007E0DCC">
              <w:rPr>
                <w:rFonts w:ascii="Arial" w:hAnsi="Arial" w:cs="Arial"/>
                <w:b/>
                <w:bCs/>
              </w:rPr>
              <w:t>Variable</w:t>
            </w:r>
          </w:p>
        </w:tc>
        <w:tc>
          <w:tcPr>
            <w:tcW w:w="4485" w:type="dxa"/>
            <w:vAlign w:val="center"/>
          </w:tcPr>
          <w:p w14:paraId="2A3557C2" w14:textId="77777777" w:rsidR="002A0D12" w:rsidRPr="007E0DCC" w:rsidRDefault="002A0D12" w:rsidP="007723D4">
            <w:pPr>
              <w:spacing w:line="360" w:lineRule="auto"/>
              <w:jc w:val="center"/>
              <w:rPr>
                <w:rFonts w:ascii="Arial" w:hAnsi="Arial" w:cs="Arial"/>
              </w:rPr>
            </w:pPr>
            <w:r w:rsidRPr="007E0DCC">
              <w:rPr>
                <w:rFonts w:ascii="Arial" w:hAnsi="Arial" w:cs="Arial"/>
                <w:b/>
                <w:bCs/>
              </w:rPr>
              <w:t>Rôle</w:t>
            </w:r>
          </w:p>
        </w:tc>
      </w:tr>
      <w:tr w:rsidR="002A0D12" w:rsidRPr="007E0DCC" w14:paraId="3AAE1D8C" w14:textId="77777777" w:rsidTr="002A0D12">
        <w:trPr>
          <w:trHeight w:val="578"/>
        </w:trPr>
        <w:tc>
          <w:tcPr>
            <w:tcW w:w="4485" w:type="dxa"/>
            <w:vAlign w:val="center"/>
          </w:tcPr>
          <w:p w14:paraId="1B7319E9" w14:textId="77777777" w:rsidR="002A0D12" w:rsidRPr="007E0DCC" w:rsidRDefault="002A0D12" w:rsidP="007723D4">
            <w:pPr>
              <w:spacing w:line="360" w:lineRule="auto"/>
              <w:jc w:val="center"/>
              <w:rPr>
                <w:rFonts w:ascii="Arial" w:hAnsi="Arial" w:cs="Arial"/>
              </w:rPr>
            </w:pPr>
            <w:r w:rsidRPr="007E0DCC">
              <w:rPr>
                <w:rFonts w:ascii="Arial" w:hAnsi="Arial" w:cs="Arial"/>
              </w:rPr>
              <w:t>Prix de l’action</w:t>
            </w:r>
          </w:p>
        </w:tc>
        <w:tc>
          <w:tcPr>
            <w:tcW w:w="4485" w:type="dxa"/>
            <w:vAlign w:val="center"/>
          </w:tcPr>
          <w:p w14:paraId="29B5B359" w14:textId="77777777" w:rsidR="002A0D12" w:rsidRPr="007E0DCC" w:rsidRDefault="002A0D12" w:rsidP="007723D4">
            <w:pPr>
              <w:spacing w:line="360" w:lineRule="auto"/>
              <w:jc w:val="center"/>
              <w:rPr>
                <w:rFonts w:ascii="Arial" w:hAnsi="Arial" w:cs="Arial"/>
              </w:rPr>
            </w:pPr>
            <w:r w:rsidRPr="007E0DCC">
              <w:rPr>
                <w:rFonts w:ascii="Arial" w:hAnsi="Arial" w:cs="Arial"/>
              </w:rPr>
              <w:t>Pondération principale</w:t>
            </w:r>
          </w:p>
        </w:tc>
      </w:tr>
      <w:tr w:rsidR="002A0D12" w:rsidRPr="007E0DCC" w14:paraId="37FF8A1D" w14:textId="77777777" w:rsidTr="002A0D12">
        <w:trPr>
          <w:trHeight w:val="568"/>
        </w:trPr>
        <w:tc>
          <w:tcPr>
            <w:tcW w:w="4485" w:type="dxa"/>
            <w:vAlign w:val="center"/>
          </w:tcPr>
          <w:p w14:paraId="44B050E3" w14:textId="77777777" w:rsidR="002A0D12" w:rsidRPr="007E0DCC" w:rsidRDefault="002A0D12" w:rsidP="007723D4">
            <w:pPr>
              <w:spacing w:line="360" w:lineRule="auto"/>
              <w:jc w:val="center"/>
              <w:rPr>
                <w:rFonts w:ascii="Arial" w:hAnsi="Arial" w:cs="Arial"/>
              </w:rPr>
            </w:pPr>
            <w:r w:rsidRPr="007E0DCC">
              <w:rPr>
                <w:rFonts w:ascii="Arial" w:hAnsi="Arial" w:cs="Arial"/>
              </w:rPr>
              <w:t>Dow Divisor</w:t>
            </w:r>
          </w:p>
        </w:tc>
        <w:tc>
          <w:tcPr>
            <w:tcW w:w="4485" w:type="dxa"/>
            <w:vAlign w:val="center"/>
          </w:tcPr>
          <w:p w14:paraId="3B1BE3D1" w14:textId="77777777" w:rsidR="002A0D12" w:rsidRPr="007E0DCC" w:rsidRDefault="002A0D12" w:rsidP="007723D4">
            <w:pPr>
              <w:spacing w:line="360" w:lineRule="auto"/>
              <w:jc w:val="center"/>
              <w:rPr>
                <w:rFonts w:ascii="Arial" w:hAnsi="Arial" w:cs="Arial"/>
              </w:rPr>
            </w:pPr>
            <w:r w:rsidRPr="007E0DCC">
              <w:rPr>
                <w:rFonts w:ascii="Arial" w:hAnsi="Arial" w:cs="Arial"/>
              </w:rPr>
              <w:t>Ajustement structurel</w:t>
            </w:r>
          </w:p>
        </w:tc>
      </w:tr>
      <w:tr w:rsidR="002A0D12" w:rsidRPr="007E0DCC" w14:paraId="48504450" w14:textId="77777777" w:rsidTr="000D795D">
        <w:trPr>
          <w:trHeight w:val="526"/>
        </w:trPr>
        <w:tc>
          <w:tcPr>
            <w:tcW w:w="4485" w:type="dxa"/>
          </w:tcPr>
          <w:p w14:paraId="1473F6BD" w14:textId="3C5B3DA4" w:rsidR="002A0D12" w:rsidRPr="007E0DCC" w:rsidRDefault="002A0D12" w:rsidP="000D795D">
            <w:pPr>
              <w:spacing w:line="360" w:lineRule="auto"/>
              <w:jc w:val="center"/>
              <w:rPr>
                <w:rFonts w:ascii="Arial" w:hAnsi="Arial" w:cs="Arial"/>
              </w:rPr>
            </w:pPr>
            <w:r w:rsidRPr="007E0DCC">
              <w:rPr>
                <w:rFonts w:ascii="Arial" w:hAnsi="Arial" w:cs="Arial"/>
              </w:rPr>
              <w:t>Nombre de composants</w:t>
            </w:r>
          </w:p>
        </w:tc>
        <w:tc>
          <w:tcPr>
            <w:tcW w:w="4485" w:type="dxa"/>
          </w:tcPr>
          <w:p w14:paraId="3FCD76B8" w14:textId="77777777" w:rsidR="002A0D12" w:rsidRPr="007E0DCC" w:rsidRDefault="002A0D12" w:rsidP="007723D4">
            <w:pPr>
              <w:spacing w:line="360" w:lineRule="auto"/>
              <w:jc w:val="center"/>
              <w:rPr>
                <w:rFonts w:ascii="Arial" w:hAnsi="Arial" w:cs="Arial"/>
              </w:rPr>
            </w:pPr>
            <w:r w:rsidRPr="007E0DCC">
              <w:rPr>
                <w:rFonts w:ascii="Arial" w:hAnsi="Arial" w:cs="Arial"/>
              </w:rPr>
              <w:t>30</w:t>
            </w:r>
          </w:p>
        </w:tc>
      </w:tr>
      <w:tr w:rsidR="002A0D12" w:rsidRPr="007E0DCC" w14:paraId="23FDC7C9" w14:textId="77777777" w:rsidTr="00BB2568">
        <w:trPr>
          <w:trHeight w:val="526"/>
        </w:trPr>
        <w:tc>
          <w:tcPr>
            <w:tcW w:w="4485" w:type="dxa"/>
          </w:tcPr>
          <w:p w14:paraId="4A59983D" w14:textId="77777777" w:rsidR="002A0D12" w:rsidRPr="007E0DCC" w:rsidRDefault="002A0D12" w:rsidP="007723D4">
            <w:pPr>
              <w:spacing w:line="360" w:lineRule="auto"/>
              <w:jc w:val="center"/>
              <w:rPr>
                <w:rFonts w:ascii="Arial" w:hAnsi="Arial" w:cs="Arial"/>
              </w:rPr>
            </w:pPr>
            <w:r w:rsidRPr="007E0DCC">
              <w:rPr>
                <w:rFonts w:ascii="Arial" w:hAnsi="Arial" w:cs="Arial"/>
              </w:rPr>
              <w:t>Méthode</w:t>
            </w:r>
          </w:p>
        </w:tc>
        <w:tc>
          <w:tcPr>
            <w:tcW w:w="4485" w:type="dxa"/>
          </w:tcPr>
          <w:p w14:paraId="6A323A91" w14:textId="71B40F10" w:rsidR="002A0D12" w:rsidRPr="007E0DCC" w:rsidRDefault="002A0D12" w:rsidP="007723D4">
            <w:pPr>
              <w:spacing w:line="360" w:lineRule="auto"/>
              <w:jc w:val="center"/>
              <w:rPr>
                <w:rFonts w:ascii="Arial" w:hAnsi="Arial" w:cs="Arial"/>
              </w:rPr>
            </w:pPr>
            <w:r w:rsidRPr="007E0DCC">
              <w:rPr>
                <w:rFonts w:ascii="Arial" w:hAnsi="Arial" w:cs="Arial"/>
              </w:rPr>
              <w:t>Price-weighted</w:t>
            </w:r>
          </w:p>
        </w:tc>
      </w:tr>
    </w:tbl>
    <w:p w14:paraId="0A36AA6F" w14:textId="2707356F" w:rsidR="000E55DF" w:rsidRPr="007E0DCC" w:rsidRDefault="002A0D12" w:rsidP="007723D4">
      <w:pPr>
        <w:spacing w:line="360" w:lineRule="auto"/>
        <w:rPr>
          <w:rFonts w:ascii="Arial" w:hAnsi="Arial" w:cs="Arial"/>
          <w:b/>
          <w:bCs/>
        </w:rPr>
        <w:sectPr w:rsidR="000E55DF" w:rsidRPr="007E0DCC" w:rsidSect="00212A25">
          <w:footerReference w:type="default" r:id="rId11"/>
          <w:pgSz w:w="12240" w:h="15840"/>
          <w:pgMar w:top="1440" w:right="1440" w:bottom="1440" w:left="1440" w:header="708" w:footer="708" w:gutter="0"/>
          <w:pgNumType w:start="1"/>
          <w:cols w:space="708"/>
          <w:docGrid w:linePitch="360"/>
        </w:sectPr>
      </w:pPr>
      <w:r w:rsidRPr="007E0DCC">
        <w:rPr>
          <w:rFonts w:ascii="Arial" w:hAnsi="Arial" w:cs="Arial"/>
          <w:b/>
          <w:bCs/>
        </w:rPr>
        <w:t xml:space="preserve"> </w:t>
      </w:r>
      <w:r w:rsidR="006C12D3" w:rsidRPr="007E0DCC">
        <w:rPr>
          <w:rFonts w:ascii="Arial" w:hAnsi="Arial" w:cs="Arial"/>
          <w:b/>
          <w:bCs/>
        </w:rPr>
        <w:t>Tableau 1 – Structure méthodologique du DJIA (extrait du tableur Excel)</w:t>
      </w:r>
      <w:r w:rsidR="0021260B" w:rsidRPr="007E0DCC">
        <w:rPr>
          <w:rStyle w:val="FootnoteReference"/>
          <w:rFonts w:ascii="Arial" w:hAnsi="Arial" w:cs="Arial"/>
        </w:rPr>
        <w:footnoteReference w:id="1"/>
      </w:r>
    </w:p>
    <w:p w14:paraId="1D34D229" w14:textId="77777777" w:rsidR="000D795D" w:rsidRPr="007E0DCC" w:rsidRDefault="000D795D" w:rsidP="007723D4">
      <w:pPr>
        <w:spacing w:line="360" w:lineRule="auto"/>
        <w:rPr>
          <w:rFonts w:ascii="Arial" w:hAnsi="Arial" w:cs="Arial"/>
        </w:rPr>
      </w:pPr>
    </w:p>
    <w:p w14:paraId="34B73ED6" w14:textId="46113541" w:rsidR="006C12D3" w:rsidRPr="007E0DCC" w:rsidRDefault="006C12D3" w:rsidP="007723D4">
      <w:pPr>
        <w:spacing w:line="360" w:lineRule="auto"/>
        <w:rPr>
          <w:rFonts w:ascii="Arial" w:hAnsi="Arial" w:cs="Arial"/>
        </w:rPr>
      </w:pPr>
      <w:r w:rsidRPr="007E0DCC">
        <w:rPr>
          <w:rFonts w:ascii="Arial" w:hAnsi="Arial" w:cs="Arial"/>
          <w:b/>
          <w:bCs/>
        </w:rPr>
        <w:t>1.2 Délimitation du sujet et contexte historique (2010-2026)</w:t>
      </w:r>
    </w:p>
    <w:p w14:paraId="74F279AC" w14:textId="2189C509" w:rsidR="006C12D3" w:rsidRPr="007E0DCC" w:rsidRDefault="006C12D3" w:rsidP="007E0DCC">
      <w:pPr>
        <w:spacing w:line="360" w:lineRule="auto"/>
        <w:ind w:firstLine="720"/>
        <w:rPr>
          <w:rFonts w:ascii="Arial" w:hAnsi="Arial" w:cs="Arial"/>
        </w:rPr>
      </w:pPr>
      <w:r w:rsidRPr="007E0DCC">
        <w:rPr>
          <w:rFonts w:ascii="Arial" w:hAnsi="Arial" w:cs="Arial"/>
        </w:rPr>
        <w:t>La période étudiée (2010-202</w:t>
      </w:r>
      <w:r w:rsidR="0097096E" w:rsidRPr="007E0DCC">
        <w:rPr>
          <w:rFonts w:ascii="Arial" w:hAnsi="Arial" w:cs="Arial"/>
        </w:rPr>
        <w:t>5</w:t>
      </w:r>
      <w:r w:rsidRPr="007E0DCC">
        <w:rPr>
          <w:rFonts w:ascii="Arial" w:hAnsi="Arial" w:cs="Arial"/>
        </w:rPr>
        <w:t xml:space="preserve">) correspond à un </w:t>
      </w:r>
      <w:r w:rsidRPr="007E0DCC">
        <w:rPr>
          <w:rFonts w:ascii="Arial" w:hAnsi="Arial" w:cs="Arial"/>
          <w:b/>
          <w:bCs/>
        </w:rPr>
        <w:t>cycle économique complet</w:t>
      </w:r>
      <w:r w:rsidRPr="007E0DCC">
        <w:rPr>
          <w:rFonts w:ascii="Arial" w:hAnsi="Arial" w:cs="Arial"/>
        </w:rPr>
        <w:t xml:space="preserve">, depuis la sortie de la Grande Récession jusqu’à la phase actuelle de maturité technologique. L’analyse des </w:t>
      </w:r>
      <w:r w:rsidRPr="007E0DCC">
        <w:rPr>
          <w:rFonts w:ascii="Arial" w:hAnsi="Arial" w:cs="Arial"/>
          <w:b/>
          <w:bCs/>
        </w:rPr>
        <w:t>rendements annuels du Dow Jones</w:t>
      </w:r>
      <w:r w:rsidRPr="007E0DCC">
        <w:rPr>
          <w:rFonts w:ascii="Arial" w:hAnsi="Arial" w:cs="Arial"/>
        </w:rPr>
        <w:t xml:space="preserve"> permet d’identifier </w:t>
      </w:r>
      <w:r w:rsidRPr="007E0DCC">
        <w:rPr>
          <w:rFonts w:ascii="Arial" w:hAnsi="Arial" w:cs="Arial"/>
          <w:b/>
          <w:bCs/>
        </w:rPr>
        <w:t>quatre grandes phases</w:t>
      </w:r>
      <w:r w:rsidRPr="007E0DCC">
        <w:rPr>
          <w:rFonts w:ascii="Arial" w:hAnsi="Arial" w:cs="Arial"/>
        </w:rPr>
        <w:t>.</w:t>
      </w:r>
    </w:p>
    <w:p w14:paraId="52EA6834" w14:textId="5A11C3FA" w:rsidR="006C12D3" w:rsidRPr="007E0DCC" w:rsidRDefault="006C12D3" w:rsidP="007723D4">
      <w:pPr>
        <w:spacing w:line="360" w:lineRule="auto"/>
        <w:rPr>
          <w:rFonts w:ascii="Arial" w:hAnsi="Arial" w:cs="Arial"/>
          <w:b/>
          <w:bCs/>
        </w:rPr>
      </w:pPr>
      <w:r w:rsidRPr="007E0DCC">
        <w:rPr>
          <w:rFonts w:ascii="Arial" w:hAnsi="Arial" w:cs="Arial"/>
          <w:b/>
          <w:bCs/>
        </w:rPr>
        <w:t xml:space="preserve">Phase 1: 2010-2014 </w:t>
      </w:r>
      <w:r w:rsidR="000D795D" w:rsidRPr="007E0DCC">
        <w:rPr>
          <w:rFonts w:ascii="Arial" w:hAnsi="Arial" w:cs="Arial"/>
          <w:b/>
          <w:bCs/>
        </w:rPr>
        <w:t>-</w:t>
      </w:r>
      <w:r w:rsidRPr="007E0DCC">
        <w:rPr>
          <w:rFonts w:ascii="Arial" w:hAnsi="Arial" w:cs="Arial"/>
          <w:b/>
          <w:bCs/>
        </w:rPr>
        <w:t xml:space="preserve"> Reconstruction post-crise</w:t>
      </w:r>
      <w:r w:rsidR="000D795D" w:rsidRPr="007E0DCC">
        <w:rPr>
          <w:rFonts w:ascii="Arial" w:hAnsi="Arial" w:cs="Arial"/>
          <w:b/>
          <w:bCs/>
        </w:rPr>
        <w:br/>
      </w:r>
      <w:r w:rsidR="000D795D" w:rsidRPr="007E0DCC">
        <w:rPr>
          <w:rFonts w:ascii="Arial" w:hAnsi="Arial" w:cs="Arial"/>
        </w:rPr>
        <w:t xml:space="preserve">          </w:t>
      </w:r>
      <w:r w:rsidRPr="007E0DCC">
        <w:rPr>
          <w:rFonts w:ascii="Arial" w:hAnsi="Arial" w:cs="Arial"/>
        </w:rPr>
        <w:t>Après l’effondrement financier de 2008, la Réserve fédérale met en place plusieurs programmes de Quantitative Easing</w:t>
      </w:r>
      <w:r w:rsidR="0097096E" w:rsidRPr="007E0DCC">
        <w:rPr>
          <w:rFonts w:ascii="Arial" w:hAnsi="Arial" w:cs="Arial"/>
        </w:rPr>
        <w:t>.</w:t>
      </w:r>
      <w:r w:rsidR="0097096E" w:rsidRPr="007E0DCC">
        <w:rPr>
          <w:rFonts w:ascii="Arial" w:hAnsi="Arial" w:cs="Arial"/>
          <w:b/>
          <w:bCs/>
        </w:rPr>
        <w:t xml:space="preserve"> </w:t>
      </w:r>
      <w:r w:rsidRPr="007E0DCC">
        <w:rPr>
          <w:rFonts w:ascii="Arial" w:hAnsi="Arial" w:cs="Arial"/>
        </w:rPr>
        <w:t>Les taux d’intérêt proches de zéro favorisent l’investissement en actions. Le Dow passe d’environ 10 400 points en 2010 à 16 500 points en 2013, avec un rendement annuel exceptionnel de +26,5 % en 2013.</w:t>
      </w:r>
    </w:p>
    <w:p w14:paraId="437DABFA" w14:textId="3C4DBDD4" w:rsidR="006C12D3" w:rsidRPr="007E0DCC" w:rsidRDefault="006C12D3" w:rsidP="007723D4">
      <w:pPr>
        <w:spacing w:line="360" w:lineRule="auto"/>
        <w:rPr>
          <w:rFonts w:ascii="Arial" w:hAnsi="Arial" w:cs="Arial"/>
          <w:b/>
          <w:bCs/>
        </w:rPr>
      </w:pPr>
      <w:r w:rsidRPr="007E0DCC">
        <w:rPr>
          <w:rFonts w:ascii="Arial" w:hAnsi="Arial" w:cs="Arial"/>
          <w:b/>
          <w:bCs/>
        </w:rPr>
        <w:t xml:space="preserve">Phase 2: 2017-2019 </w:t>
      </w:r>
      <w:r w:rsidR="000D795D" w:rsidRPr="007E0DCC">
        <w:rPr>
          <w:rFonts w:ascii="Arial" w:hAnsi="Arial" w:cs="Arial"/>
          <w:b/>
          <w:bCs/>
        </w:rPr>
        <w:t>-</w:t>
      </w:r>
      <w:r w:rsidRPr="007E0DCC">
        <w:rPr>
          <w:rFonts w:ascii="Arial" w:hAnsi="Arial" w:cs="Arial"/>
          <w:b/>
          <w:bCs/>
        </w:rPr>
        <w:t xml:space="preserve"> Stimulation fiscale et volatilité</w:t>
      </w:r>
      <w:r w:rsidR="000D795D" w:rsidRPr="007E0DCC">
        <w:rPr>
          <w:rFonts w:ascii="Arial" w:hAnsi="Arial" w:cs="Arial"/>
          <w:b/>
          <w:bCs/>
        </w:rPr>
        <w:br/>
      </w:r>
      <w:r w:rsidR="000D795D" w:rsidRPr="007E0DCC">
        <w:rPr>
          <w:rFonts w:ascii="Arial" w:hAnsi="Arial" w:cs="Arial"/>
        </w:rPr>
        <w:t xml:space="preserve">          </w:t>
      </w:r>
      <w:r w:rsidRPr="007E0DCC">
        <w:rPr>
          <w:rFonts w:ascii="Arial" w:hAnsi="Arial" w:cs="Arial"/>
        </w:rPr>
        <w:t>La réforme fiscale américaine (</w:t>
      </w:r>
      <w:r w:rsidRPr="007E0DCC">
        <w:rPr>
          <w:rFonts w:ascii="Arial" w:hAnsi="Arial" w:cs="Arial"/>
          <w:i/>
          <w:iCs/>
        </w:rPr>
        <w:t>Tax Cuts and Jobs Act</w:t>
      </w:r>
      <w:r w:rsidRPr="007E0DCC">
        <w:rPr>
          <w:rFonts w:ascii="Arial" w:hAnsi="Arial" w:cs="Arial"/>
        </w:rPr>
        <w:t>) soutient les bénéfices des entreprises. Les données Excel montrent un rendement de +25,08 % en 2017, malgré les tensions commerciales sino-américaines.</w:t>
      </w:r>
    </w:p>
    <w:p w14:paraId="4C34EF37" w14:textId="07E0208F" w:rsidR="006C12D3" w:rsidRPr="007E0DCC" w:rsidRDefault="006C12D3" w:rsidP="007723D4">
      <w:pPr>
        <w:spacing w:line="360" w:lineRule="auto"/>
        <w:rPr>
          <w:rFonts w:ascii="Arial" w:hAnsi="Arial" w:cs="Arial"/>
          <w:b/>
          <w:bCs/>
        </w:rPr>
      </w:pPr>
      <w:r w:rsidRPr="007E0DCC">
        <w:rPr>
          <w:rFonts w:ascii="Arial" w:hAnsi="Arial" w:cs="Arial"/>
          <w:b/>
          <w:bCs/>
        </w:rPr>
        <w:t xml:space="preserve">Phase 3: 2020-2021 </w:t>
      </w:r>
      <w:r w:rsidR="0097096E" w:rsidRPr="007E0DCC">
        <w:rPr>
          <w:rFonts w:ascii="Arial" w:hAnsi="Arial" w:cs="Arial"/>
          <w:b/>
          <w:bCs/>
        </w:rPr>
        <w:t>-</w:t>
      </w:r>
      <w:r w:rsidRPr="007E0DCC">
        <w:rPr>
          <w:rFonts w:ascii="Arial" w:hAnsi="Arial" w:cs="Arial"/>
          <w:b/>
          <w:bCs/>
        </w:rPr>
        <w:t xml:space="preserve"> Accélération pandémique</w:t>
      </w:r>
      <w:r w:rsidR="000D795D" w:rsidRPr="007E0DCC">
        <w:rPr>
          <w:rFonts w:ascii="Arial" w:hAnsi="Arial" w:cs="Arial"/>
          <w:b/>
          <w:bCs/>
        </w:rPr>
        <w:br/>
      </w:r>
      <w:r w:rsidR="000D795D" w:rsidRPr="007E0DCC">
        <w:rPr>
          <w:rFonts w:ascii="Arial" w:hAnsi="Arial" w:cs="Arial"/>
        </w:rPr>
        <w:t xml:space="preserve">          </w:t>
      </w:r>
      <w:r w:rsidRPr="007E0DCC">
        <w:rPr>
          <w:rFonts w:ascii="Arial" w:hAnsi="Arial" w:cs="Arial"/>
        </w:rPr>
        <w:t>La pandémie provoque un choc brutal mais de courte durée. Les politiques budgétaires et monétaires massives entraînent une accélération sans précédent des marchés actions, notamment dans les secteurs technologiques.</w:t>
      </w:r>
    </w:p>
    <w:p w14:paraId="4AADCDB4" w14:textId="491FF79B" w:rsidR="00B24D0F" w:rsidRPr="007E0DCC" w:rsidRDefault="006C12D3" w:rsidP="007723D4">
      <w:pPr>
        <w:spacing w:line="360" w:lineRule="auto"/>
        <w:rPr>
          <w:rFonts w:ascii="Arial" w:hAnsi="Arial" w:cs="Arial"/>
        </w:rPr>
      </w:pPr>
      <w:r w:rsidRPr="007E0DCC">
        <w:rPr>
          <w:rFonts w:ascii="Arial" w:hAnsi="Arial" w:cs="Arial"/>
          <w:b/>
          <w:bCs/>
        </w:rPr>
        <w:t>Phase 4: 2024-</w:t>
      </w:r>
      <w:proofErr w:type="gramStart"/>
      <w:r w:rsidRPr="007E0DCC">
        <w:rPr>
          <w:rFonts w:ascii="Arial" w:hAnsi="Arial" w:cs="Arial"/>
          <w:b/>
          <w:bCs/>
        </w:rPr>
        <w:t>202</w:t>
      </w:r>
      <w:r w:rsidR="0097096E" w:rsidRPr="007E0DCC">
        <w:rPr>
          <w:rFonts w:ascii="Arial" w:hAnsi="Arial" w:cs="Arial"/>
          <w:b/>
          <w:bCs/>
        </w:rPr>
        <w:t xml:space="preserve">5 </w:t>
      </w:r>
      <w:r w:rsidRPr="007E0DCC">
        <w:rPr>
          <w:rFonts w:ascii="Arial" w:hAnsi="Arial" w:cs="Arial"/>
          <w:b/>
          <w:bCs/>
        </w:rPr>
        <w:t xml:space="preserve"> </w:t>
      </w:r>
      <w:r w:rsidR="0097096E" w:rsidRPr="007E0DCC">
        <w:rPr>
          <w:rFonts w:ascii="Arial" w:hAnsi="Arial" w:cs="Arial"/>
          <w:b/>
          <w:bCs/>
        </w:rPr>
        <w:t>-</w:t>
      </w:r>
      <w:proofErr w:type="gramEnd"/>
      <w:r w:rsidRPr="007E0DCC">
        <w:rPr>
          <w:rFonts w:ascii="Arial" w:hAnsi="Arial" w:cs="Arial"/>
          <w:b/>
          <w:bCs/>
        </w:rPr>
        <w:t xml:space="preserve"> Euphorie de l’intelligence artificielle</w:t>
      </w:r>
      <w:r w:rsidR="000D795D" w:rsidRPr="007E0DCC">
        <w:rPr>
          <w:rFonts w:ascii="Arial" w:hAnsi="Arial" w:cs="Arial"/>
          <w:b/>
          <w:bCs/>
        </w:rPr>
        <w:br/>
      </w:r>
      <w:r w:rsidR="000D795D" w:rsidRPr="007E0DCC">
        <w:rPr>
          <w:rFonts w:ascii="Arial" w:hAnsi="Arial" w:cs="Arial"/>
        </w:rPr>
        <w:t xml:space="preserve">          </w:t>
      </w:r>
      <w:r w:rsidRPr="007E0DCC">
        <w:rPr>
          <w:rFonts w:ascii="Arial" w:hAnsi="Arial" w:cs="Arial"/>
        </w:rPr>
        <w:t>Les données consolidées montrent une revalorisation structurelle du Dow, portée par les entreprises exp</w:t>
      </w:r>
      <w:r w:rsidR="0021260B" w:rsidRPr="007E0DCC">
        <w:rPr>
          <w:rStyle w:val="FootnoteReference"/>
          <w:rFonts w:ascii="Arial" w:hAnsi="Arial" w:cs="Arial"/>
        </w:rPr>
        <w:footnoteReference w:id="2"/>
      </w:r>
      <w:r w:rsidRPr="007E0DCC">
        <w:rPr>
          <w:rFonts w:ascii="Arial" w:hAnsi="Arial" w:cs="Arial"/>
        </w:rPr>
        <w:t>osées à l’IA, au cloud et à la productivité numérique.</w:t>
      </w:r>
    </w:p>
    <w:p w14:paraId="09D51A3B" w14:textId="5A0875E8" w:rsidR="0078762A" w:rsidRPr="007E0DCC" w:rsidRDefault="0078762A" w:rsidP="007723D4">
      <w:pPr>
        <w:spacing w:line="360" w:lineRule="auto"/>
        <w:rPr>
          <w:rFonts w:ascii="Arial" w:hAnsi="Arial" w:cs="Arial"/>
        </w:rPr>
        <w:sectPr w:rsidR="0078762A" w:rsidRPr="007E0DCC" w:rsidSect="00212A25">
          <w:footerReference w:type="default" r:id="rId12"/>
          <w:pgSz w:w="12240" w:h="15840"/>
          <w:pgMar w:top="1440" w:right="1440" w:bottom="1440" w:left="1440" w:header="708" w:footer="708" w:gutter="0"/>
          <w:pgNumType w:start="1"/>
          <w:cols w:space="708"/>
          <w:docGrid w:linePitch="360"/>
        </w:sectPr>
      </w:pPr>
    </w:p>
    <w:p w14:paraId="23F7CFC0" w14:textId="77777777" w:rsidR="00B8278C" w:rsidRPr="007E0DCC" w:rsidRDefault="00B8278C" w:rsidP="00B8278C">
      <w:pPr>
        <w:spacing w:line="360" w:lineRule="auto"/>
        <w:rPr>
          <w:rFonts w:ascii="Arial" w:hAnsi="Arial" w:cs="Arial"/>
          <w:b/>
          <w:bCs/>
        </w:rPr>
      </w:pPr>
      <w:r w:rsidRPr="007E0DCC">
        <w:rPr>
          <w:rFonts w:ascii="Arial" w:hAnsi="Arial" w:cs="Arial"/>
          <w:b/>
          <w:bCs/>
        </w:rPr>
        <w:lastRenderedPageBreak/>
        <w:t xml:space="preserve">2.1 Dynamique </w:t>
      </w:r>
      <w:proofErr w:type="gramStart"/>
      <w:r w:rsidRPr="007E0DCC">
        <w:rPr>
          <w:rFonts w:ascii="Arial" w:hAnsi="Arial" w:cs="Arial"/>
          <w:b/>
          <w:bCs/>
        </w:rPr>
        <w:t>macroéconomique :</w:t>
      </w:r>
      <w:proofErr w:type="gramEnd"/>
      <w:r w:rsidRPr="007E0DCC">
        <w:rPr>
          <w:rFonts w:ascii="Arial" w:hAnsi="Arial" w:cs="Arial"/>
          <w:b/>
          <w:bCs/>
        </w:rPr>
        <w:t xml:space="preserve"> évolution du Dow Jones et croissance du PIB américain (2010–2025)</w:t>
      </w:r>
    </w:p>
    <w:p w14:paraId="46CE18B8" w14:textId="32D6FFB8" w:rsidR="00B8278C" w:rsidRPr="007E0DCC" w:rsidRDefault="00377F1D" w:rsidP="007E0DCC">
      <w:pPr>
        <w:spacing w:line="360" w:lineRule="auto"/>
        <w:ind w:firstLine="720"/>
        <w:rPr>
          <w:rFonts w:ascii="Arial" w:hAnsi="Arial" w:cs="Arial"/>
        </w:rPr>
      </w:pPr>
      <w:r w:rsidRPr="007E0DCC">
        <w:rPr>
          <w:rFonts w:ascii="Arial" w:hAnsi="Arial" w:cs="Arial"/>
        </w:rPr>
        <w:t>La croissance de DJIA</w:t>
      </w:r>
      <w:r w:rsidR="00B8278C" w:rsidRPr="007E0DCC">
        <w:rPr>
          <w:rFonts w:ascii="Arial" w:hAnsi="Arial" w:cs="Arial"/>
        </w:rPr>
        <w:t xml:space="preserve"> s’inscrit dans un contexte de croissance modérée mais résiliente du PIB américain, qui s’établissait autour de 1,8% à 2,0% en 2025, contrastant avec un rendement boursier annuel de 12,97% pour le Dow Jones.</w:t>
      </w:r>
      <w:r w:rsidR="00B8278C" w:rsidRPr="007E0DCC">
        <w:rPr>
          <w:rFonts w:ascii="Arial" w:hAnsi="Arial" w:cs="Arial"/>
        </w:rPr>
        <w:br/>
        <w:t>Cette divergence apparente entre économie réelle et marchés financiers s’explique par la concentration de la création de valeur dans des secteurs à forte rentabilité, en particulier les technologies avancées. Une part significative de la croissance récente est désormais liée aux investissements massifs dans l’intelligence artificielle, dont les infrastructures génèrent une dynamique cumulative. Les relations étroites entre fournisseurs de composants, plateformes numériques et entreprises de cloud créent ainsi une boucle de financement circulaire.</w:t>
      </w:r>
    </w:p>
    <w:p w14:paraId="0122D72B" w14:textId="77777777" w:rsidR="00946CBE" w:rsidRPr="007E0DCC" w:rsidRDefault="00B8278C" w:rsidP="007723D4">
      <w:pPr>
        <w:spacing w:line="360" w:lineRule="auto"/>
        <w:rPr>
          <w:rFonts w:ascii="Arial" w:hAnsi="Arial" w:cs="Arial"/>
          <w:b/>
          <w:bCs/>
        </w:rPr>
      </w:pPr>
      <w:r w:rsidRPr="007E0DCC">
        <w:rPr>
          <w:rFonts w:ascii="Arial" w:hAnsi="Arial" w:cs="Arial"/>
          <w:b/>
          <w:bCs/>
        </w:rPr>
        <w:t xml:space="preserve">2.2 Analyse </w:t>
      </w:r>
      <w:proofErr w:type="gramStart"/>
      <w:r w:rsidRPr="007E0DCC">
        <w:rPr>
          <w:rFonts w:ascii="Arial" w:hAnsi="Arial" w:cs="Arial"/>
          <w:b/>
          <w:bCs/>
        </w:rPr>
        <w:t>microéconomique :</w:t>
      </w:r>
      <w:proofErr w:type="gramEnd"/>
      <w:r w:rsidRPr="007E0DCC">
        <w:rPr>
          <w:rFonts w:ascii="Arial" w:hAnsi="Arial" w:cs="Arial"/>
          <w:b/>
          <w:bCs/>
        </w:rPr>
        <w:t xml:space="preserve"> entreprises, secteurs et modernisation du Dow Jones</w:t>
      </w:r>
    </w:p>
    <w:p w14:paraId="4F5BF3EB" w14:textId="2EF08261" w:rsidR="0078762A" w:rsidRPr="007E0DCC" w:rsidRDefault="00B8278C" w:rsidP="007E0DCC">
      <w:pPr>
        <w:spacing w:line="360" w:lineRule="auto"/>
        <w:ind w:firstLine="720"/>
        <w:rPr>
          <w:rFonts w:ascii="Arial" w:hAnsi="Arial" w:cs="Arial"/>
          <w:b/>
          <w:bCs/>
        </w:rPr>
        <w:sectPr w:rsidR="0078762A" w:rsidRPr="007E0DCC" w:rsidSect="00212A25">
          <w:footerReference w:type="default" r:id="rId13"/>
          <w:pgSz w:w="12240" w:h="15840"/>
          <w:pgMar w:top="1440" w:right="1440" w:bottom="1440" w:left="1440" w:header="708" w:footer="708" w:gutter="0"/>
          <w:pgNumType w:start="1"/>
          <w:cols w:space="708"/>
          <w:docGrid w:linePitch="360"/>
        </w:sectPr>
      </w:pPr>
      <w:r w:rsidRPr="007E0DCC">
        <w:rPr>
          <w:rFonts w:ascii="Arial" w:hAnsi="Arial" w:cs="Arial"/>
        </w:rPr>
        <w:t xml:space="preserve">L’analyse des 30 entreprises composant le Dow Jones en 2025 met en évidence une polarisation sectorielle marquée. Les technologies et les services </w:t>
      </w:r>
      <w:proofErr w:type="gramStart"/>
      <w:r w:rsidRPr="007E0DCC">
        <w:rPr>
          <w:rFonts w:ascii="Arial" w:hAnsi="Arial" w:cs="Arial"/>
        </w:rPr>
        <w:t>financiers</w:t>
      </w:r>
      <w:proofErr w:type="gramEnd"/>
      <w:r w:rsidRPr="007E0DCC">
        <w:rPr>
          <w:rFonts w:ascii="Arial" w:hAnsi="Arial" w:cs="Arial"/>
        </w:rPr>
        <w:t xml:space="preserve"> constituent les principaux moteurs de croissance, tandis que la consommation de base et l’immobilier subissent les effets d’une inflation persistante autour de 3%.</w:t>
      </w:r>
      <w:r w:rsidRPr="007E0DCC">
        <w:rPr>
          <w:rFonts w:ascii="Arial" w:hAnsi="Arial" w:cs="Arial"/>
        </w:rPr>
        <w:br/>
        <w:t>En 2025, les principaux groupes technologiques ont investi environ 437 milliards de dollars dans le développement de l’infrastructure de l’IA, soit une hausse de 61% par rapport à 2024. Cette dynamique se reflète dans les ajustements récents de l’indice</w:t>
      </w:r>
      <w:r w:rsidR="003C3B29" w:rsidRPr="007E0DCC">
        <w:rPr>
          <w:rFonts w:ascii="Arial" w:hAnsi="Arial" w:cs="Arial"/>
        </w:rPr>
        <w:t xml:space="preserve">. </w:t>
      </w:r>
      <w:r w:rsidRPr="007E0DCC">
        <w:rPr>
          <w:rFonts w:ascii="Arial" w:hAnsi="Arial" w:cs="Arial"/>
        </w:rPr>
        <w:t>L’entrée de NVIDIA en remplacement d’Intel en 2024 illustre le basculement vers l’accélération par GPU, tandis que l’intégration d’Amazon à la place de Walgreens confirme la domination de la consommation numérique et du cloud. Malgré une influence pondérée par leur prix unitaire, Microsoft et Apple demeurent des piliers de stabilité du Dow Jones.</w:t>
      </w:r>
      <w:r w:rsidR="00893A4D" w:rsidRPr="007E0DCC">
        <w:rPr>
          <w:rFonts w:ascii="Arial" w:hAnsi="Arial" w:cs="Arial"/>
        </w:rPr>
        <w:t xml:space="preserve"> </w:t>
      </w:r>
      <w:r w:rsidR="0084581C" w:rsidRPr="007E0DCC">
        <w:rPr>
          <w:rFonts w:ascii="Arial" w:hAnsi="Arial" w:cs="Arial"/>
        </w:rPr>
        <w:t>Illustration</w:t>
      </w:r>
      <w:r w:rsidR="0084581C" w:rsidRPr="007E0DCC">
        <w:rPr>
          <w:rFonts w:ascii="Arial" w:hAnsi="Arial" w:cs="Arial"/>
          <w:b/>
          <w:bCs/>
        </w:rPr>
        <w:t>:</w:t>
      </w:r>
      <w:r w:rsidR="0084581C" w:rsidRPr="007E0DCC">
        <w:rPr>
          <w:rFonts w:ascii="Arial" w:hAnsi="Arial" w:cs="Arial"/>
        </w:rPr>
        <w:t xml:space="preserve"> Investissement dans l'IA circulaire </w:t>
      </w:r>
      <w:hyperlink r:id="rId14" w:history="1">
        <w:r w:rsidR="0084581C" w:rsidRPr="007E0DCC">
          <w:rPr>
            <w:rStyle w:val="Hyperlink"/>
            <w:rFonts w:ascii="Arial" w:hAnsi="Arial" w:cs="Arial"/>
          </w:rPr>
          <w:t>[Cliquer ici]</w:t>
        </w:r>
      </w:hyperlink>
      <w:r w:rsidR="0084581C" w:rsidRPr="007E0DCC">
        <w:rPr>
          <w:rFonts w:ascii="Arial" w:hAnsi="Arial" w:cs="Arial"/>
        </w:rPr>
        <w:t xml:space="preserve"> </w:t>
      </w:r>
      <w:r w:rsidR="0021260B" w:rsidRPr="007E0DCC">
        <w:rPr>
          <w:rStyle w:val="FootnoteReference"/>
          <w:rFonts w:ascii="Arial" w:hAnsi="Arial" w:cs="Arial"/>
        </w:rPr>
        <w:footnoteReference w:customMarkFollows="1" w:id="3"/>
        <w:t>4</w:t>
      </w:r>
    </w:p>
    <w:p w14:paraId="7CEE4F1C" w14:textId="77777777" w:rsidR="0078762A" w:rsidRPr="007E0DCC" w:rsidRDefault="0078762A" w:rsidP="0078762A">
      <w:pPr>
        <w:spacing w:line="360" w:lineRule="auto"/>
        <w:rPr>
          <w:rFonts w:ascii="Arial" w:hAnsi="Arial" w:cs="Arial"/>
          <w:b/>
          <w:bCs/>
          <w:sz w:val="32"/>
          <w:szCs w:val="32"/>
        </w:rPr>
      </w:pPr>
      <w:r w:rsidRPr="007E0DCC">
        <w:rPr>
          <w:rFonts w:ascii="Arial" w:hAnsi="Arial" w:cs="Arial"/>
          <w:b/>
          <w:bCs/>
          <w:sz w:val="32"/>
          <w:szCs w:val="32"/>
        </w:rPr>
        <w:lastRenderedPageBreak/>
        <w:t>Conclusion</w:t>
      </w:r>
    </w:p>
    <w:p w14:paraId="5D5DE0A7" w14:textId="77777777" w:rsidR="0078762A" w:rsidRPr="007E0DCC" w:rsidRDefault="0078762A" w:rsidP="00346A9B">
      <w:pPr>
        <w:spacing w:line="360" w:lineRule="auto"/>
        <w:ind w:firstLine="720"/>
        <w:rPr>
          <w:rFonts w:ascii="Arial" w:hAnsi="Arial" w:cs="Arial"/>
        </w:rPr>
      </w:pPr>
      <w:r w:rsidRPr="007E0DCC">
        <w:rPr>
          <w:rFonts w:ascii="Arial" w:hAnsi="Arial" w:cs="Arial"/>
        </w:rPr>
        <w:t>L’évolution du Dow Jones Industrial Average entre 2010 et 2026 illustre une mutation structurelle profonde du capitalisme américain. Initialement conçu comme un indicateur représentatif de l’industrie traditionnelle, l’indice s’est progressivement transformé en un baromètre de la capacité d’innovation, d’adaptation et de création de valeur technologique des États-Unis. Cette transition reflète plus largement le basculement de l’économie américaine vers un modèle fondé sur les services à forte valeur ajoutée, la numérisation des processus productifs et l’exploitation massive des données.</w:t>
      </w:r>
    </w:p>
    <w:p w14:paraId="75804DB1" w14:textId="77777777" w:rsidR="0078762A" w:rsidRPr="007E0DCC" w:rsidRDefault="0078762A" w:rsidP="00346A9B">
      <w:pPr>
        <w:spacing w:line="360" w:lineRule="auto"/>
        <w:ind w:firstLine="720"/>
        <w:rPr>
          <w:rFonts w:ascii="Arial" w:hAnsi="Arial" w:cs="Arial"/>
        </w:rPr>
      </w:pPr>
      <w:r w:rsidRPr="007E0DCC">
        <w:rPr>
          <w:rFonts w:ascii="Arial" w:hAnsi="Arial" w:cs="Arial"/>
        </w:rPr>
        <w:t>À l’horizon 2026, le Dow Jones apparaît ainsi comme un indice hybride. Il conserve une identité historiquement associée aux valeurs dites « défensives » et aux grandes entreprises établies, tout en intégrant des acteurs majeurs de la croissance technologique. Cette combinaison lui a permis d’afficher une performance remarquable, avec un rendement annuel de 12,97 % en 2025, supérieur à ses moyennes de long terme.</w:t>
      </w:r>
    </w:p>
    <w:p w14:paraId="17031DCC" w14:textId="69E4E8BB" w:rsidR="00346A9B" w:rsidRPr="007E0DCC" w:rsidRDefault="0078762A" w:rsidP="007E0DCC">
      <w:pPr>
        <w:spacing w:line="360" w:lineRule="auto"/>
        <w:ind w:firstLine="720"/>
        <w:rPr>
          <w:rFonts w:ascii="Arial" w:hAnsi="Arial" w:cs="Arial"/>
        </w:rPr>
      </w:pPr>
      <w:r w:rsidRPr="007E0DCC">
        <w:rPr>
          <w:rFonts w:ascii="Arial" w:hAnsi="Arial" w:cs="Arial"/>
        </w:rPr>
        <w:t xml:space="preserve">L’analyse des performances cumulées sur la période 2010-2025, appuyée par les données issues des tableaux Excel, met en évidence un changement de hiérarchie au sein de l’indice. Des entreprises telles que Microsoft, Apple, NVIDIA et Amazon ne constituent plus de simples composants parmi d’autres, mais s’imposent comme les véritables moteurs structurels de la croissance du Dow Jones. Leur capacité à générer des flux de trésorerie élevés, à investir massivement dans l’intelligence artificielle et à capter des gains de productivité durables explique en grande partie la surperformance globale de l’indice. Les données quantitatives confirment que la hausse du Dow Jones ne repose pas exclusivement sur des facteurs monétaires </w:t>
      </w:r>
      <w:r w:rsidR="00346A9B" w:rsidRPr="007E0DCC">
        <w:rPr>
          <w:rFonts w:ascii="Arial" w:hAnsi="Arial" w:cs="Arial"/>
        </w:rPr>
        <w:t>mais sur une croissance réelle solide.</w:t>
      </w:r>
    </w:p>
    <w:p w14:paraId="05243BB9" w14:textId="4D3EA9E6" w:rsidR="0078762A" w:rsidRPr="007E0DCC" w:rsidRDefault="00346A9B" w:rsidP="00346A9B">
      <w:pPr>
        <w:spacing w:line="360" w:lineRule="auto"/>
        <w:ind w:firstLine="720"/>
        <w:rPr>
          <w:rFonts w:ascii="Arial" w:hAnsi="Arial" w:cs="Arial"/>
        </w:rPr>
        <w:sectPr w:rsidR="0078762A" w:rsidRPr="007E0DCC" w:rsidSect="00212A25">
          <w:footerReference w:type="default" r:id="rId15"/>
          <w:pgSz w:w="12240" w:h="15840"/>
          <w:pgMar w:top="1440" w:right="1440" w:bottom="1440" w:left="1440" w:header="708" w:footer="708" w:gutter="0"/>
          <w:pgNumType w:start="1"/>
          <w:cols w:space="708"/>
          <w:docGrid w:linePitch="360"/>
        </w:sectPr>
      </w:pPr>
      <w:r w:rsidRPr="007E0DCC">
        <w:rPr>
          <w:rFonts w:ascii="Arial" w:hAnsi="Arial" w:cs="Arial"/>
        </w:rPr>
        <w:t xml:space="preserve">Comme le rappellent de nombreux analystes, </w:t>
      </w:r>
      <w:r w:rsidRPr="007E0DCC">
        <w:rPr>
          <w:rFonts w:ascii="Arial" w:hAnsi="Arial" w:cs="Arial"/>
          <w:i/>
          <w:iCs/>
        </w:rPr>
        <w:t xml:space="preserve">« l’évaluation est un mauvais outil de timing de marché </w:t>
      </w:r>
      <w:proofErr w:type="gramStart"/>
      <w:r w:rsidRPr="007E0DCC">
        <w:rPr>
          <w:rFonts w:ascii="Arial" w:hAnsi="Arial" w:cs="Arial"/>
          <w:i/>
          <w:iCs/>
        </w:rPr>
        <w:t>»</w:t>
      </w:r>
      <w:r w:rsidRPr="007E0DCC">
        <w:rPr>
          <w:rFonts w:ascii="Arial" w:hAnsi="Arial" w:cs="Arial"/>
        </w:rPr>
        <w:t xml:space="preserve"> ;</w:t>
      </w:r>
      <w:proofErr w:type="gramEnd"/>
      <w:r w:rsidRPr="007E0DCC">
        <w:rPr>
          <w:rFonts w:ascii="Arial" w:hAnsi="Arial" w:cs="Arial"/>
        </w:rPr>
        <w:t xml:space="preserve"> toutefois, tant que les bénéfices restent dynamiques et structurellement solides, le Dow Jones demeure un indicateur privilégié de la puissance économique et de l’adaptabilité du système productif américain.</w:t>
      </w:r>
    </w:p>
    <w:p w14:paraId="45CDAA69" w14:textId="77777777" w:rsidR="00144785" w:rsidRPr="007E0DCC" w:rsidRDefault="00144785" w:rsidP="00144785">
      <w:pPr>
        <w:spacing w:line="360" w:lineRule="auto"/>
        <w:rPr>
          <w:rFonts w:ascii="Arial" w:hAnsi="Arial" w:cs="Arial"/>
          <w:b/>
          <w:bCs/>
          <w:sz w:val="32"/>
          <w:szCs w:val="32"/>
        </w:rPr>
      </w:pPr>
      <w:r w:rsidRPr="007E0DCC">
        <w:rPr>
          <w:rFonts w:ascii="Arial" w:hAnsi="Arial" w:cs="Arial"/>
          <w:b/>
          <w:bCs/>
          <w:sz w:val="32"/>
          <w:szCs w:val="32"/>
        </w:rPr>
        <w:lastRenderedPageBreak/>
        <w:t>Bibliographie et sources de données</w:t>
      </w:r>
    </w:p>
    <w:p w14:paraId="2EE5A241" w14:textId="6C880563" w:rsidR="00144785" w:rsidRPr="007E0DCC" w:rsidRDefault="00144785" w:rsidP="00144785">
      <w:pPr>
        <w:spacing w:line="360" w:lineRule="auto"/>
        <w:rPr>
          <w:rFonts w:ascii="Arial" w:hAnsi="Arial" w:cs="Arial"/>
          <w:sz w:val="20"/>
          <w:szCs w:val="20"/>
        </w:rPr>
      </w:pPr>
      <w:r w:rsidRPr="007E0DCC">
        <w:rPr>
          <w:rFonts w:ascii="Arial" w:hAnsi="Arial" w:cs="Arial"/>
          <w:b/>
          <w:bCs/>
        </w:rPr>
        <w:t>Analyses de marché et rapports de stratégie</w:t>
      </w:r>
      <w:r w:rsidRPr="007E0DCC">
        <w:rPr>
          <w:rFonts w:ascii="Arial" w:hAnsi="Arial" w:cs="Arial"/>
          <w:b/>
          <w:bCs/>
        </w:rPr>
        <w:br/>
      </w:r>
      <w:r w:rsidRPr="007E0DCC">
        <w:rPr>
          <w:rFonts w:ascii="Arial" w:hAnsi="Arial" w:cs="Arial"/>
          <w:sz w:val="20"/>
          <w:szCs w:val="20"/>
        </w:rPr>
        <w:t xml:space="preserve">FIDELITY, </w:t>
      </w:r>
      <w:r w:rsidRPr="007E0DCC">
        <w:rPr>
          <w:rFonts w:ascii="Arial" w:hAnsi="Arial" w:cs="Arial"/>
          <w:i/>
          <w:iCs/>
          <w:sz w:val="20"/>
          <w:szCs w:val="20"/>
        </w:rPr>
        <w:t>Viewpoints – 2025 Stock Market Report</w:t>
      </w:r>
      <w:r w:rsidRPr="007E0DCC">
        <w:rPr>
          <w:rFonts w:ascii="Arial" w:hAnsi="Arial" w:cs="Arial"/>
          <w:sz w:val="20"/>
          <w:szCs w:val="20"/>
        </w:rPr>
        <w:t>, Fidelity Investments, 2026.</w:t>
      </w:r>
      <w:r w:rsidRPr="007E0DCC">
        <w:rPr>
          <w:rFonts w:ascii="Arial" w:hAnsi="Arial" w:cs="Arial"/>
          <w:sz w:val="20"/>
          <w:szCs w:val="20"/>
        </w:rPr>
        <w:br/>
        <w:t xml:space="preserve">S&amp;P DOW JONES INDICES, </w:t>
      </w:r>
      <w:r w:rsidRPr="007E0DCC">
        <w:rPr>
          <w:rFonts w:ascii="Arial" w:hAnsi="Arial" w:cs="Arial"/>
          <w:i/>
          <w:iCs/>
          <w:sz w:val="20"/>
          <w:szCs w:val="20"/>
        </w:rPr>
        <w:t>DJIA Factsheet</w:t>
      </w:r>
      <w:r w:rsidRPr="007E0DCC">
        <w:rPr>
          <w:rFonts w:ascii="Arial" w:hAnsi="Arial" w:cs="Arial"/>
          <w:sz w:val="20"/>
          <w:szCs w:val="20"/>
        </w:rPr>
        <w:t>, spglobal.com, consulté le 24 janvier 2026.</w:t>
      </w:r>
      <w:r w:rsidRPr="007E0DCC">
        <w:rPr>
          <w:rFonts w:ascii="Arial" w:hAnsi="Arial" w:cs="Arial"/>
          <w:sz w:val="20"/>
          <w:szCs w:val="20"/>
        </w:rPr>
        <w:br/>
        <w:t xml:space="preserve">VANGUARD, </w:t>
      </w:r>
      <w:r w:rsidRPr="007E0DCC">
        <w:rPr>
          <w:rFonts w:ascii="Arial" w:hAnsi="Arial" w:cs="Arial"/>
          <w:i/>
          <w:iCs/>
          <w:sz w:val="20"/>
          <w:szCs w:val="20"/>
        </w:rPr>
        <w:t>AI Exuberance: Economic Upside, Stock Market Downside</w:t>
      </w:r>
      <w:r w:rsidRPr="007E0DCC">
        <w:rPr>
          <w:rFonts w:ascii="Arial" w:hAnsi="Arial" w:cs="Arial"/>
          <w:sz w:val="20"/>
          <w:szCs w:val="20"/>
        </w:rPr>
        <w:t>, corporate.vanguard.com, 2025.</w:t>
      </w:r>
      <w:r w:rsidRPr="007E0DCC">
        <w:rPr>
          <w:rFonts w:ascii="Arial" w:hAnsi="Arial" w:cs="Arial"/>
          <w:sz w:val="20"/>
          <w:szCs w:val="20"/>
        </w:rPr>
        <w:br/>
        <w:t xml:space="preserve">J.P. MORGAN, </w:t>
      </w:r>
      <w:r w:rsidRPr="007E0DCC">
        <w:rPr>
          <w:rFonts w:ascii="Arial" w:hAnsi="Arial" w:cs="Arial"/>
          <w:i/>
          <w:iCs/>
          <w:sz w:val="20"/>
          <w:szCs w:val="20"/>
        </w:rPr>
        <w:t>2026 Long-Term Capital Market Assumptions</w:t>
      </w:r>
      <w:r w:rsidRPr="007E0DCC">
        <w:rPr>
          <w:rFonts w:ascii="Arial" w:hAnsi="Arial" w:cs="Arial"/>
          <w:sz w:val="20"/>
          <w:szCs w:val="20"/>
        </w:rPr>
        <w:t>, jpmorgan.com, 2025.</w:t>
      </w:r>
      <w:r w:rsidRPr="007E0DCC">
        <w:rPr>
          <w:rFonts w:ascii="Arial" w:hAnsi="Arial" w:cs="Arial"/>
          <w:sz w:val="20"/>
          <w:szCs w:val="20"/>
        </w:rPr>
        <w:br/>
        <w:t xml:space="preserve">RBC WEALTH MANAGEMENT, Bogdanova K., </w:t>
      </w:r>
      <w:r w:rsidRPr="007E0DCC">
        <w:rPr>
          <w:rFonts w:ascii="Arial" w:hAnsi="Arial" w:cs="Arial"/>
          <w:i/>
          <w:iCs/>
          <w:sz w:val="20"/>
          <w:szCs w:val="20"/>
        </w:rPr>
        <w:t>U.S. Equity Returns in 2025: Record-Breaking Resilience</w:t>
      </w:r>
      <w:r w:rsidRPr="007E0DCC">
        <w:rPr>
          <w:rFonts w:ascii="Arial" w:hAnsi="Arial" w:cs="Arial"/>
          <w:sz w:val="20"/>
          <w:szCs w:val="20"/>
        </w:rPr>
        <w:t>, rbcwealthmanagement.com, 2026.</w:t>
      </w:r>
    </w:p>
    <w:p w14:paraId="0222692B" w14:textId="72BBD670" w:rsidR="00144785" w:rsidRPr="007E0DCC" w:rsidRDefault="00144785" w:rsidP="00144785">
      <w:pPr>
        <w:spacing w:line="360" w:lineRule="auto"/>
        <w:rPr>
          <w:rFonts w:ascii="Arial" w:hAnsi="Arial" w:cs="Arial"/>
          <w:sz w:val="20"/>
          <w:szCs w:val="20"/>
        </w:rPr>
      </w:pPr>
      <w:r w:rsidRPr="007E0DCC">
        <w:rPr>
          <w:rFonts w:ascii="Arial" w:hAnsi="Arial" w:cs="Arial"/>
          <w:b/>
          <w:bCs/>
        </w:rPr>
        <w:t>Données historiques et structurelles du Dow Jones</w:t>
      </w:r>
      <w:r w:rsidRPr="007E0DCC">
        <w:rPr>
          <w:rFonts w:ascii="Arial" w:hAnsi="Arial" w:cs="Arial"/>
          <w:sz w:val="20"/>
          <w:szCs w:val="20"/>
        </w:rPr>
        <w:br/>
        <w:t xml:space="preserve">INVESTING.COM, </w:t>
      </w:r>
      <w:r w:rsidRPr="007E0DCC">
        <w:rPr>
          <w:rFonts w:ascii="Arial" w:hAnsi="Arial" w:cs="Arial"/>
          <w:i/>
          <w:iCs/>
          <w:sz w:val="20"/>
          <w:szCs w:val="20"/>
        </w:rPr>
        <w:t>Dow Jones Industrial Average Historical Data (DJI)</w:t>
      </w:r>
      <w:r w:rsidRPr="007E0DCC">
        <w:rPr>
          <w:rFonts w:ascii="Arial" w:hAnsi="Arial" w:cs="Arial"/>
          <w:sz w:val="20"/>
          <w:szCs w:val="20"/>
        </w:rPr>
        <w:t>, investing.com, consulté le 24 janvier 2026.</w:t>
      </w:r>
      <w:r w:rsidRPr="007E0DCC">
        <w:rPr>
          <w:rFonts w:ascii="Arial" w:hAnsi="Arial" w:cs="Arial"/>
          <w:sz w:val="20"/>
          <w:szCs w:val="20"/>
        </w:rPr>
        <w:br/>
        <w:t xml:space="preserve">WIKIPEDIA, </w:t>
      </w:r>
      <w:r w:rsidRPr="007E0DCC">
        <w:rPr>
          <w:rFonts w:ascii="Arial" w:hAnsi="Arial" w:cs="Arial"/>
          <w:i/>
          <w:iCs/>
          <w:sz w:val="20"/>
          <w:szCs w:val="20"/>
        </w:rPr>
        <w:t xml:space="preserve">Dow Jones Industrial </w:t>
      </w:r>
      <w:proofErr w:type="gramStart"/>
      <w:r w:rsidRPr="007E0DCC">
        <w:rPr>
          <w:rFonts w:ascii="Arial" w:hAnsi="Arial" w:cs="Arial"/>
          <w:i/>
          <w:iCs/>
          <w:sz w:val="20"/>
          <w:szCs w:val="20"/>
        </w:rPr>
        <w:t>Average</w:t>
      </w:r>
      <w:r w:rsidRPr="007E0DCC">
        <w:rPr>
          <w:rFonts w:ascii="Arial" w:hAnsi="Arial" w:cs="Arial"/>
          <w:sz w:val="20"/>
          <w:szCs w:val="20"/>
        </w:rPr>
        <w:t xml:space="preserve"> ;</w:t>
      </w:r>
      <w:proofErr w:type="gramEnd"/>
      <w:r w:rsidRPr="007E0DCC">
        <w:rPr>
          <w:rFonts w:ascii="Arial" w:hAnsi="Arial" w:cs="Arial"/>
          <w:sz w:val="20"/>
          <w:szCs w:val="20"/>
        </w:rPr>
        <w:t xml:space="preserve"> </w:t>
      </w:r>
      <w:r w:rsidRPr="007E0DCC">
        <w:rPr>
          <w:rFonts w:ascii="Arial" w:hAnsi="Arial" w:cs="Arial"/>
          <w:i/>
          <w:iCs/>
          <w:sz w:val="20"/>
          <w:szCs w:val="20"/>
        </w:rPr>
        <w:t xml:space="preserve">Historical </w:t>
      </w:r>
      <w:proofErr w:type="gramStart"/>
      <w:r w:rsidRPr="007E0DCC">
        <w:rPr>
          <w:rFonts w:ascii="Arial" w:hAnsi="Arial" w:cs="Arial"/>
          <w:i/>
          <w:iCs/>
          <w:sz w:val="20"/>
          <w:szCs w:val="20"/>
        </w:rPr>
        <w:t>Components</w:t>
      </w:r>
      <w:r w:rsidRPr="007E0DCC">
        <w:rPr>
          <w:rFonts w:ascii="Arial" w:hAnsi="Arial" w:cs="Arial"/>
          <w:sz w:val="20"/>
          <w:szCs w:val="20"/>
        </w:rPr>
        <w:t xml:space="preserve"> ;</w:t>
      </w:r>
      <w:proofErr w:type="gramEnd"/>
      <w:r w:rsidRPr="007E0DCC">
        <w:rPr>
          <w:rFonts w:ascii="Arial" w:hAnsi="Arial" w:cs="Arial"/>
          <w:sz w:val="20"/>
          <w:szCs w:val="20"/>
        </w:rPr>
        <w:t xml:space="preserve"> </w:t>
      </w:r>
      <w:r w:rsidRPr="007E0DCC">
        <w:rPr>
          <w:rFonts w:ascii="Arial" w:hAnsi="Arial" w:cs="Arial"/>
          <w:i/>
          <w:iCs/>
          <w:sz w:val="20"/>
          <w:szCs w:val="20"/>
        </w:rPr>
        <w:t>Closing Milestones</w:t>
      </w:r>
      <w:r w:rsidRPr="007E0DCC">
        <w:rPr>
          <w:rFonts w:ascii="Arial" w:hAnsi="Arial" w:cs="Arial"/>
          <w:sz w:val="20"/>
          <w:szCs w:val="20"/>
        </w:rPr>
        <w:t>, en.wikipedia.org, consulté le 24 janvier 2026.</w:t>
      </w:r>
      <w:r w:rsidRPr="007E0DCC">
        <w:rPr>
          <w:rFonts w:ascii="Arial" w:hAnsi="Arial" w:cs="Arial"/>
          <w:sz w:val="20"/>
          <w:szCs w:val="20"/>
        </w:rPr>
        <w:br/>
        <w:t xml:space="preserve">DIERKING D., </w:t>
      </w:r>
      <w:r w:rsidRPr="007E0DCC">
        <w:rPr>
          <w:rFonts w:ascii="Arial" w:hAnsi="Arial" w:cs="Arial"/>
          <w:i/>
          <w:iCs/>
          <w:sz w:val="20"/>
          <w:szCs w:val="20"/>
        </w:rPr>
        <w:t xml:space="preserve">Iconic Companies Dropped </w:t>
      </w:r>
      <w:proofErr w:type="gramStart"/>
      <w:r w:rsidRPr="007E0DCC">
        <w:rPr>
          <w:rFonts w:ascii="Arial" w:hAnsi="Arial" w:cs="Arial"/>
          <w:i/>
          <w:iCs/>
          <w:sz w:val="20"/>
          <w:szCs w:val="20"/>
        </w:rPr>
        <w:t>From</w:t>
      </w:r>
      <w:proofErr w:type="gramEnd"/>
      <w:r w:rsidRPr="007E0DCC">
        <w:rPr>
          <w:rFonts w:ascii="Arial" w:hAnsi="Arial" w:cs="Arial"/>
          <w:i/>
          <w:iCs/>
          <w:sz w:val="20"/>
          <w:szCs w:val="20"/>
        </w:rPr>
        <w:t xml:space="preserve"> the Dow</w:t>
      </w:r>
      <w:r w:rsidRPr="007E0DCC">
        <w:rPr>
          <w:rFonts w:ascii="Arial" w:hAnsi="Arial" w:cs="Arial"/>
          <w:sz w:val="20"/>
          <w:szCs w:val="20"/>
        </w:rPr>
        <w:t>, Investopedia, investopedia.com, 2024.</w:t>
      </w:r>
    </w:p>
    <w:p w14:paraId="3132539B" w14:textId="4BC25AD1" w:rsidR="00144785" w:rsidRPr="007E0DCC" w:rsidRDefault="00144785" w:rsidP="00144785">
      <w:pPr>
        <w:spacing w:line="360" w:lineRule="auto"/>
        <w:rPr>
          <w:rFonts w:ascii="Arial" w:hAnsi="Arial" w:cs="Arial"/>
          <w:sz w:val="20"/>
          <w:szCs w:val="20"/>
        </w:rPr>
      </w:pPr>
      <w:r w:rsidRPr="007E0DCC">
        <w:rPr>
          <w:rFonts w:ascii="Arial" w:hAnsi="Arial" w:cs="Arial"/>
          <w:b/>
          <w:bCs/>
        </w:rPr>
        <w:t>Actualités financières et indicateurs de marché</w:t>
      </w:r>
      <w:r w:rsidRPr="007E0DCC">
        <w:rPr>
          <w:rFonts w:ascii="Arial" w:hAnsi="Arial" w:cs="Arial"/>
          <w:sz w:val="20"/>
          <w:szCs w:val="20"/>
        </w:rPr>
        <w:br/>
        <w:t xml:space="preserve">MARKETS INSIDER, </w:t>
      </w:r>
      <w:r w:rsidRPr="007E0DCC">
        <w:rPr>
          <w:rFonts w:ascii="Arial" w:hAnsi="Arial" w:cs="Arial"/>
          <w:i/>
          <w:iCs/>
          <w:sz w:val="20"/>
          <w:szCs w:val="20"/>
        </w:rPr>
        <w:t>Dow Jones Index Today – Live Ticker</w:t>
      </w:r>
      <w:r w:rsidRPr="007E0DCC">
        <w:rPr>
          <w:rFonts w:ascii="Arial" w:hAnsi="Arial" w:cs="Arial"/>
          <w:sz w:val="20"/>
          <w:szCs w:val="20"/>
        </w:rPr>
        <w:t>, markets.businessinsider.com, consulté le 24 janvier 2026.</w:t>
      </w:r>
      <w:r w:rsidRPr="007E0DCC">
        <w:rPr>
          <w:rFonts w:ascii="Arial" w:hAnsi="Arial" w:cs="Arial"/>
          <w:sz w:val="20"/>
          <w:szCs w:val="20"/>
        </w:rPr>
        <w:br/>
        <w:t xml:space="preserve">FORBES ADVISOR, Tepper T., </w:t>
      </w:r>
      <w:r w:rsidRPr="007E0DCC">
        <w:rPr>
          <w:rFonts w:ascii="Arial" w:hAnsi="Arial" w:cs="Arial"/>
          <w:i/>
          <w:iCs/>
          <w:sz w:val="20"/>
          <w:szCs w:val="20"/>
        </w:rPr>
        <w:t>Federal Funds Rate History (1990–2026)</w:t>
      </w:r>
      <w:r w:rsidRPr="007E0DCC">
        <w:rPr>
          <w:rFonts w:ascii="Arial" w:hAnsi="Arial" w:cs="Arial"/>
          <w:sz w:val="20"/>
          <w:szCs w:val="20"/>
        </w:rPr>
        <w:t>, forbes.com, 2025.</w:t>
      </w:r>
      <w:r w:rsidRPr="007E0DCC">
        <w:rPr>
          <w:rFonts w:ascii="Arial" w:hAnsi="Arial" w:cs="Arial"/>
          <w:sz w:val="20"/>
          <w:szCs w:val="20"/>
        </w:rPr>
        <w:br/>
        <w:t xml:space="preserve">THESTREET, Rodini L., </w:t>
      </w:r>
      <w:r w:rsidRPr="007E0DCC">
        <w:rPr>
          <w:rFonts w:ascii="Arial" w:hAnsi="Arial" w:cs="Arial"/>
          <w:i/>
          <w:iCs/>
          <w:sz w:val="20"/>
          <w:szCs w:val="20"/>
        </w:rPr>
        <w:t>Timeline of Fed Rate Hikes and Cuts (2022–2026)</w:t>
      </w:r>
      <w:r w:rsidRPr="007E0DCC">
        <w:rPr>
          <w:rFonts w:ascii="Arial" w:hAnsi="Arial" w:cs="Arial"/>
          <w:sz w:val="20"/>
          <w:szCs w:val="20"/>
        </w:rPr>
        <w:t>, thestreet.com, 2026.</w:t>
      </w:r>
    </w:p>
    <w:p w14:paraId="0637FAC2" w14:textId="255DA87E" w:rsidR="00144785" w:rsidRPr="007E0DCC" w:rsidRDefault="00144785" w:rsidP="00144785">
      <w:pPr>
        <w:spacing w:line="360" w:lineRule="auto"/>
        <w:rPr>
          <w:rFonts w:ascii="Arial" w:hAnsi="Arial" w:cs="Arial"/>
          <w:sz w:val="20"/>
          <w:szCs w:val="20"/>
        </w:rPr>
      </w:pPr>
      <w:r w:rsidRPr="007E0DCC">
        <w:rPr>
          <w:rFonts w:ascii="Arial" w:hAnsi="Arial" w:cs="Arial"/>
          <w:b/>
          <w:bCs/>
        </w:rPr>
        <w:t>Sources institutionnelles et macroéconomiques</w:t>
      </w:r>
      <w:r w:rsidRPr="007E0DCC">
        <w:rPr>
          <w:rFonts w:ascii="Arial" w:hAnsi="Arial" w:cs="Arial"/>
          <w:b/>
          <w:bCs/>
        </w:rPr>
        <w:br/>
      </w:r>
      <w:r w:rsidRPr="007E0DCC">
        <w:rPr>
          <w:rFonts w:ascii="Arial" w:hAnsi="Arial" w:cs="Arial"/>
          <w:sz w:val="20"/>
          <w:szCs w:val="20"/>
        </w:rPr>
        <w:t xml:space="preserve">FEDERAL RESERVE BOARD, </w:t>
      </w:r>
      <w:r w:rsidRPr="007E0DCC">
        <w:rPr>
          <w:rFonts w:ascii="Arial" w:hAnsi="Arial" w:cs="Arial"/>
          <w:i/>
          <w:iCs/>
          <w:sz w:val="20"/>
          <w:szCs w:val="20"/>
        </w:rPr>
        <w:t>Statements and Monetary Policy Communications</w:t>
      </w:r>
      <w:r w:rsidRPr="007E0DCC">
        <w:rPr>
          <w:rFonts w:ascii="Arial" w:hAnsi="Arial" w:cs="Arial"/>
          <w:sz w:val="20"/>
          <w:szCs w:val="20"/>
        </w:rPr>
        <w:t>, federalreserve.gov, consulté le 24 janvier 2026.</w:t>
      </w:r>
      <w:r w:rsidRPr="007E0DCC">
        <w:rPr>
          <w:rFonts w:ascii="Arial" w:hAnsi="Arial" w:cs="Arial"/>
          <w:sz w:val="20"/>
          <w:szCs w:val="20"/>
        </w:rPr>
        <w:br/>
        <w:t xml:space="preserve">FEDERAL RESERVE BANK OF ST. LOUIS (FRED), </w:t>
      </w:r>
      <w:r w:rsidRPr="007E0DCC">
        <w:rPr>
          <w:rFonts w:ascii="Arial" w:hAnsi="Arial" w:cs="Arial"/>
          <w:i/>
          <w:iCs/>
          <w:sz w:val="20"/>
          <w:szCs w:val="20"/>
        </w:rPr>
        <w:t>Dow Jones Industrial Average (DJIA)</w:t>
      </w:r>
      <w:r w:rsidRPr="007E0DCC">
        <w:rPr>
          <w:rFonts w:ascii="Arial" w:hAnsi="Arial" w:cs="Arial"/>
          <w:sz w:val="20"/>
          <w:szCs w:val="20"/>
        </w:rPr>
        <w:t>, fred.stlouisfed.org, consulté le 24 janvier 2026.</w:t>
      </w:r>
      <w:r w:rsidRPr="007E0DCC">
        <w:rPr>
          <w:rFonts w:ascii="Arial" w:hAnsi="Arial" w:cs="Arial"/>
          <w:sz w:val="20"/>
          <w:szCs w:val="20"/>
        </w:rPr>
        <w:br/>
        <w:t xml:space="preserve">IMF, </w:t>
      </w:r>
      <w:r w:rsidRPr="007E0DCC">
        <w:rPr>
          <w:rFonts w:ascii="Arial" w:hAnsi="Arial" w:cs="Arial"/>
          <w:i/>
          <w:iCs/>
          <w:sz w:val="20"/>
          <w:szCs w:val="20"/>
        </w:rPr>
        <w:t>United States – 2025 Article IV Mission</w:t>
      </w:r>
      <w:r w:rsidRPr="007E0DCC">
        <w:rPr>
          <w:rFonts w:ascii="Arial" w:hAnsi="Arial" w:cs="Arial"/>
          <w:sz w:val="20"/>
          <w:szCs w:val="20"/>
        </w:rPr>
        <w:t>, imf.org, 2025.</w:t>
      </w:r>
      <w:r w:rsidRPr="007E0DCC">
        <w:rPr>
          <w:rFonts w:ascii="Arial" w:hAnsi="Arial" w:cs="Arial"/>
          <w:sz w:val="20"/>
          <w:szCs w:val="20"/>
        </w:rPr>
        <w:br/>
        <w:t xml:space="preserve">OECD, </w:t>
      </w:r>
      <w:r w:rsidRPr="007E0DCC">
        <w:rPr>
          <w:rFonts w:ascii="Arial" w:hAnsi="Arial" w:cs="Arial"/>
          <w:i/>
          <w:iCs/>
          <w:sz w:val="20"/>
          <w:szCs w:val="20"/>
        </w:rPr>
        <w:t>United States Economic Forecast</w:t>
      </w:r>
      <w:r w:rsidRPr="007E0DCC">
        <w:rPr>
          <w:rFonts w:ascii="Arial" w:hAnsi="Arial" w:cs="Arial"/>
          <w:sz w:val="20"/>
          <w:szCs w:val="20"/>
        </w:rPr>
        <w:t>, oecd.org, consulté le 24 janvier 2026.</w:t>
      </w:r>
      <w:r w:rsidRPr="007E0DCC">
        <w:rPr>
          <w:rFonts w:ascii="Arial" w:hAnsi="Arial" w:cs="Arial"/>
          <w:sz w:val="20"/>
          <w:szCs w:val="20"/>
        </w:rPr>
        <w:br/>
        <w:t xml:space="preserve">INSEE, </w:t>
      </w:r>
      <w:r w:rsidRPr="007E0DCC">
        <w:rPr>
          <w:rFonts w:ascii="Arial" w:hAnsi="Arial" w:cs="Arial"/>
          <w:i/>
          <w:iCs/>
          <w:sz w:val="20"/>
          <w:szCs w:val="20"/>
        </w:rPr>
        <w:t>Marchés financiers internationaux</w:t>
      </w:r>
      <w:r w:rsidRPr="007E0DCC">
        <w:rPr>
          <w:rFonts w:ascii="Arial" w:hAnsi="Arial" w:cs="Arial"/>
          <w:sz w:val="20"/>
          <w:szCs w:val="20"/>
        </w:rPr>
        <w:t>, insee.fr, 2025.</w:t>
      </w:r>
    </w:p>
    <w:p w14:paraId="675DC61B" w14:textId="79FC2962" w:rsidR="00144785" w:rsidRPr="007E0DCC" w:rsidRDefault="00144785" w:rsidP="00144785">
      <w:pPr>
        <w:spacing w:line="360" w:lineRule="auto"/>
        <w:rPr>
          <w:rFonts w:ascii="Arial" w:hAnsi="Arial" w:cs="Arial"/>
          <w:sz w:val="20"/>
          <w:szCs w:val="20"/>
        </w:rPr>
      </w:pPr>
      <w:r w:rsidRPr="007E0DCC">
        <w:rPr>
          <w:rFonts w:ascii="Arial" w:hAnsi="Arial" w:cs="Arial"/>
          <w:b/>
          <w:bCs/>
        </w:rPr>
        <w:t>Visualisations</w:t>
      </w:r>
      <w:r w:rsidRPr="007E0DCC">
        <w:rPr>
          <w:rFonts w:ascii="Arial" w:hAnsi="Arial" w:cs="Arial"/>
          <w:sz w:val="20"/>
          <w:szCs w:val="20"/>
        </w:rPr>
        <w:br/>
        <w:t xml:space="preserve">BLOOMBERG, </w:t>
      </w:r>
      <w:r w:rsidRPr="007E0DCC">
        <w:rPr>
          <w:rFonts w:ascii="Arial" w:hAnsi="Arial" w:cs="Arial"/>
          <w:i/>
          <w:iCs/>
          <w:sz w:val="20"/>
          <w:szCs w:val="20"/>
        </w:rPr>
        <w:t>AI Circular Deals: How the Money Flows</w:t>
      </w:r>
      <w:r w:rsidRPr="007E0DCC">
        <w:rPr>
          <w:rFonts w:ascii="Arial" w:hAnsi="Arial" w:cs="Arial"/>
          <w:sz w:val="20"/>
          <w:szCs w:val="20"/>
        </w:rPr>
        <w:t>, bloomberg.com, 2025–2026</w:t>
      </w:r>
    </w:p>
    <w:p w14:paraId="346A56F9" w14:textId="2C8F698B" w:rsidR="008875B6" w:rsidRPr="007E0DCC" w:rsidRDefault="008875B6" w:rsidP="006F3CB6">
      <w:pPr>
        <w:spacing w:line="360" w:lineRule="auto"/>
        <w:rPr>
          <w:rFonts w:ascii="Arial" w:hAnsi="Arial" w:cs="Arial"/>
        </w:rPr>
      </w:pPr>
    </w:p>
    <w:sectPr w:rsidR="008875B6" w:rsidRPr="007E0DCC" w:rsidSect="00212A25">
      <w:footerReference w:type="default" r:id="rId1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38B91" w14:textId="77777777" w:rsidR="00FC6ED3" w:rsidRDefault="00FC6ED3" w:rsidP="00212A25">
      <w:pPr>
        <w:spacing w:after="0" w:line="240" w:lineRule="auto"/>
      </w:pPr>
      <w:r>
        <w:separator/>
      </w:r>
    </w:p>
  </w:endnote>
  <w:endnote w:type="continuationSeparator" w:id="0">
    <w:p w14:paraId="1BA1FF13" w14:textId="77777777" w:rsidR="00FC6ED3" w:rsidRDefault="00FC6ED3" w:rsidP="00212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9ECFE" w14:textId="50A74DE3" w:rsidR="008875B6" w:rsidRDefault="008875B6" w:rsidP="008875B6">
    <w:pPr>
      <w:pStyle w:val="Footer"/>
      <w:jc w:val="center"/>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99A90" w14:textId="614B5E6D" w:rsidR="008875B6" w:rsidRDefault="008875B6" w:rsidP="008875B6">
    <w:pPr>
      <w:pStyle w:val="Foote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DCCB" w14:textId="42BFAA15" w:rsidR="003A7764" w:rsidRPr="003A7764" w:rsidRDefault="000E55DF" w:rsidP="003A7764">
    <w:pPr>
      <w:spacing w:line="360" w:lineRule="auto"/>
      <w:jc w:val="center"/>
      <w:rPr>
        <w:rFonts w:ascii="Arial" w:hAnsi="Arial" w:cs="Arial"/>
        <w:color w:val="0D0D0D" w:themeColor="text1" w:themeTint="F2"/>
      </w:rPr>
    </w:pPr>
    <w:r w:rsidRPr="000E55DF">
      <w:rPr>
        <w:rFonts w:ascii="Arial" w:hAnsi="Arial" w:cs="Arial"/>
        <w:color w:val="0D0D0D" w:themeColor="text1" w:themeTint="F2"/>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B939" w14:textId="5CD7C828" w:rsidR="00DA52AA" w:rsidRPr="00DA52AA" w:rsidRDefault="00DA52AA" w:rsidP="0078762A">
    <w:pPr>
      <w:spacing w:line="360" w:lineRule="auto"/>
      <w:jc w:val="center"/>
      <w:rPr>
        <w:rFonts w:ascii="Arial" w:hAnsi="Arial" w:cs="Arial"/>
        <w:color w:val="0D0D0D" w:themeColor="text1" w:themeTint="F2"/>
      </w:rPr>
    </w:pPr>
    <w:r w:rsidRPr="00DA52AA">
      <w:rPr>
        <w:rFonts w:ascii="Arial" w:hAnsi="Arial" w:cs="Arial"/>
        <w:color w:val="0D0D0D" w:themeColor="text1" w:themeTint="F2"/>
      </w:rPr>
      <w:t>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0BDE" w14:textId="13722754" w:rsidR="00B24D0F" w:rsidRPr="0078762A" w:rsidRDefault="00DA52AA" w:rsidP="0078762A">
    <w:pPr>
      <w:spacing w:line="360" w:lineRule="auto"/>
      <w:jc w:val="center"/>
      <w:rPr>
        <w:rFonts w:ascii="Arial" w:hAnsi="Arial" w:cs="Arial"/>
        <w:color w:val="0D0D0D" w:themeColor="text1" w:themeTint="F2"/>
        <w:sz w:val="18"/>
        <w:szCs w:val="18"/>
      </w:rPr>
    </w:pPr>
    <w:r>
      <w:rPr>
        <w:rFonts w:ascii="Arial" w:hAnsi="Arial" w:cs="Arial"/>
        <w:color w:val="0D0D0D" w:themeColor="text1" w:themeTint="F2"/>
      </w:rPr>
      <w:t>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1D8FF" w14:textId="6BD7574D" w:rsidR="00B24D0F" w:rsidRPr="003A7764" w:rsidRDefault="0078762A" w:rsidP="0078762A">
    <w:pPr>
      <w:spacing w:line="360" w:lineRule="auto"/>
      <w:jc w:val="center"/>
      <w:rPr>
        <w:rFonts w:ascii="Arial" w:hAnsi="Arial" w:cs="Arial"/>
        <w:color w:val="0D0D0D" w:themeColor="text1" w:themeTint="F2"/>
      </w:rPr>
    </w:pPr>
    <w:r>
      <w:rPr>
        <w:rFonts w:ascii="Arial" w:hAnsi="Arial" w:cs="Arial"/>
        <w:color w:val="0D0D0D" w:themeColor="text1" w:themeTint="F2"/>
      </w:rPr>
      <w:t>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84C1" w14:textId="61F3BEC3" w:rsidR="000E55DF" w:rsidRPr="00346A9B" w:rsidRDefault="00813975" w:rsidP="00813975">
    <w:pPr>
      <w:pStyle w:val="Footer"/>
      <w:jc w:val="center"/>
    </w:pPr>
    <w: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AAB3B" w14:textId="77777777" w:rsidR="00FC6ED3" w:rsidRDefault="00FC6ED3" w:rsidP="00212A25">
      <w:pPr>
        <w:spacing w:after="0" w:line="240" w:lineRule="auto"/>
      </w:pPr>
      <w:r>
        <w:separator/>
      </w:r>
    </w:p>
  </w:footnote>
  <w:footnote w:type="continuationSeparator" w:id="0">
    <w:p w14:paraId="435CD5CA" w14:textId="77777777" w:rsidR="00FC6ED3" w:rsidRDefault="00FC6ED3" w:rsidP="00212A25">
      <w:pPr>
        <w:spacing w:after="0" w:line="240" w:lineRule="auto"/>
      </w:pPr>
      <w:r>
        <w:continuationSeparator/>
      </w:r>
    </w:p>
  </w:footnote>
  <w:footnote w:id="1">
    <w:p w14:paraId="0B67733A" w14:textId="77777777" w:rsidR="0021260B" w:rsidRPr="000E55DF" w:rsidRDefault="0021260B" w:rsidP="0021260B">
      <w:pPr>
        <w:spacing w:line="360" w:lineRule="auto"/>
        <w:rPr>
          <w:rFonts w:ascii="Arial" w:hAnsi="Arial" w:cs="Arial"/>
          <w:color w:val="0D0D0D" w:themeColor="text1" w:themeTint="F2"/>
          <w:sz w:val="18"/>
          <w:szCs w:val="18"/>
        </w:rPr>
      </w:pPr>
      <w:r>
        <w:rPr>
          <w:rStyle w:val="FootnoteReference"/>
        </w:rPr>
        <w:footnoteRef/>
      </w:r>
      <w:r>
        <w:t xml:space="preserve"> </w:t>
      </w:r>
      <w:r w:rsidRPr="000E55DF">
        <w:rPr>
          <w:rFonts w:ascii="Arial" w:hAnsi="Arial" w:cs="Arial"/>
          <w:color w:val="0D0D0D" w:themeColor="text1" w:themeTint="F2"/>
          <w:sz w:val="18"/>
          <w:szCs w:val="18"/>
        </w:rPr>
        <w:t>¹ FIDELITY, Viewpoints, "2025 stock market report", Fidelity Investments, 2026, p. 24. ² S&amp;P Dow Jones Indices, "DJIA Factsheet", spglobal.com, consulté le 24 janvier 2026. ³ WIKIPEDIA, "Dow Jones Industrial Average", en.wikipedia.org, consulté le 24 janvier 2026 (pour les données relatives au Dow Divisor au 30 octobre 2024)</w:t>
      </w:r>
    </w:p>
    <w:p w14:paraId="0B5BC118" w14:textId="1ABC2A94" w:rsidR="0021260B" w:rsidRDefault="0021260B">
      <w:pPr>
        <w:pStyle w:val="FootnoteText"/>
      </w:pPr>
    </w:p>
  </w:footnote>
  <w:footnote w:id="2">
    <w:p w14:paraId="5891E71F" w14:textId="6ABED0C5" w:rsidR="0021260B" w:rsidRDefault="0021260B" w:rsidP="0021260B">
      <w:pPr>
        <w:spacing w:line="360" w:lineRule="auto"/>
        <w:rPr>
          <w:rFonts w:ascii="Arial" w:hAnsi="Arial" w:cs="Arial"/>
          <w:color w:val="0D0D0D" w:themeColor="text1" w:themeTint="F2"/>
          <w:sz w:val="18"/>
          <w:szCs w:val="18"/>
        </w:rPr>
      </w:pPr>
      <w:r>
        <w:rPr>
          <w:rStyle w:val="FootnoteReference"/>
        </w:rPr>
        <w:t>3</w:t>
      </w:r>
      <w:r>
        <w:t xml:space="preserve"> </w:t>
      </w:r>
      <w:r w:rsidRPr="0078762A">
        <w:rPr>
          <w:rFonts w:ascii="Arial" w:hAnsi="Arial" w:cs="Arial"/>
          <w:color w:val="0D0D0D" w:themeColor="text1" w:themeTint="F2"/>
          <w:sz w:val="18"/>
          <w:szCs w:val="18"/>
        </w:rPr>
        <w:t xml:space="preserve">¹ </w:t>
      </w:r>
      <w:r w:rsidRPr="0078762A">
        <w:rPr>
          <w:rFonts w:ascii="Arial" w:hAnsi="Arial" w:cs="Arial"/>
          <w:b/>
          <w:bCs/>
          <w:color w:val="0D0D0D" w:themeColor="text1" w:themeTint="F2"/>
          <w:sz w:val="18"/>
          <w:szCs w:val="18"/>
        </w:rPr>
        <w:t>DIERKING</w:t>
      </w:r>
      <w:r w:rsidRPr="0078762A">
        <w:rPr>
          <w:rFonts w:ascii="Arial" w:hAnsi="Arial" w:cs="Arial"/>
          <w:color w:val="0D0D0D" w:themeColor="text1" w:themeTint="F2"/>
          <w:sz w:val="18"/>
          <w:szCs w:val="18"/>
        </w:rPr>
        <w:t xml:space="preserve">, David, "Iconic Companies Dropped </w:t>
      </w:r>
      <w:proofErr w:type="gramStart"/>
      <w:r w:rsidRPr="0078762A">
        <w:rPr>
          <w:rFonts w:ascii="Arial" w:hAnsi="Arial" w:cs="Arial"/>
          <w:color w:val="0D0D0D" w:themeColor="text1" w:themeTint="F2"/>
          <w:sz w:val="18"/>
          <w:szCs w:val="18"/>
        </w:rPr>
        <w:t>From</w:t>
      </w:r>
      <w:proofErr w:type="gramEnd"/>
      <w:r w:rsidRPr="0078762A">
        <w:rPr>
          <w:rFonts w:ascii="Arial" w:hAnsi="Arial" w:cs="Arial"/>
          <w:color w:val="0D0D0D" w:themeColor="text1" w:themeTint="F2"/>
          <w:sz w:val="18"/>
          <w:szCs w:val="18"/>
        </w:rPr>
        <w:t xml:space="preserve"> the Dow", Investopedia, 2024. ² </w:t>
      </w:r>
      <w:r w:rsidRPr="0078762A">
        <w:rPr>
          <w:rFonts w:ascii="Arial" w:hAnsi="Arial" w:cs="Arial"/>
          <w:b/>
          <w:bCs/>
          <w:color w:val="0D0D0D" w:themeColor="text1" w:themeTint="F2"/>
          <w:sz w:val="18"/>
          <w:szCs w:val="18"/>
        </w:rPr>
        <w:t>MARKETS INSIDER</w:t>
      </w:r>
      <w:r w:rsidRPr="0078762A">
        <w:rPr>
          <w:rFonts w:ascii="Arial" w:hAnsi="Arial" w:cs="Arial"/>
          <w:color w:val="0D0D0D" w:themeColor="text1" w:themeTint="F2"/>
          <w:sz w:val="18"/>
          <w:szCs w:val="18"/>
        </w:rPr>
        <w:t>, "Do</w:t>
      </w:r>
      <w:r w:rsidR="00144785">
        <w:rPr>
          <w:rFonts w:ascii="Arial" w:hAnsi="Arial" w:cs="Arial"/>
          <w:color w:val="0D0D0D" w:themeColor="text1" w:themeTint="F2"/>
          <w:sz w:val="18"/>
          <w:szCs w:val="18"/>
        </w:rPr>
        <w:t xml:space="preserve">w </w:t>
      </w:r>
      <w:r w:rsidRPr="0078762A">
        <w:rPr>
          <w:rFonts w:ascii="Arial" w:hAnsi="Arial" w:cs="Arial"/>
          <w:color w:val="0D0D0D" w:themeColor="text1" w:themeTint="F2"/>
          <w:sz w:val="18"/>
          <w:szCs w:val="18"/>
        </w:rPr>
        <w:t>Jones INDEX TODAY | DJIA LIVE TICKER", markets.businessinsider.com, consulté le 24 janvier 2026. ³</w:t>
      </w:r>
      <w:r>
        <w:rPr>
          <w:rFonts w:ascii="Arial" w:hAnsi="Arial" w:cs="Arial"/>
          <w:color w:val="0D0D0D" w:themeColor="text1" w:themeTint="F2"/>
          <w:sz w:val="18"/>
          <w:szCs w:val="18"/>
        </w:rPr>
        <w:t xml:space="preserve"> </w:t>
      </w:r>
      <w:r w:rsidRPr="0078762A">
        <w:rPr>
          <w:rFonts w:ascii="Arial" w:hAnsi="Arial" w:cs="Arial"/>
          <w:b/>
          <w:bCs/>
          <w:color w:val="0D0D0D" w:themeColor="text1" w:themeTint="F2"/>
          <w:sz w:val="18"/>
          <w:szCs w:val="18"/>
        </w:rPr>
        <w:t>INVESTING.COM</w:t>
      </w:r>
      <w:r w:rsidRPr="0078762A">
        <w:rPr>
          <w:rFonts w:ascii="Arial" w:hAnsi="Arial" w:cs="Arial"/>
          <w:color w:val="0D0D0D" w:themeColor="text1" w:themeTint="F2"/>
          <w:sz w:val="18"/>
          <w:szCs w:val="18"/>
        </w:rPr>
        <w:t>, "Dow Jones Industrial Average Historical Data (DJI)", investing.com, consulté le 24 janvier 2026.</w:t>
      </w:r>
    </w:p>
    <w:p w14:paraId="6A6AC927" w14:textId="705C6933" w:rsidR="0021260B" w:rsidRDefault="0021260B">
      <w:pPr>
        <w:pStyle w:val="FootnoteText"/>
      </w:pPr>
    </w:p>
  </w:footnote>
  <w:footnote w:id="3">
    <w:p w14:paraId="06FF972A" w14:textId="0B65A299" w:rsidR="0021260B" w:rsidRPr="000405E3" w:rsidRDefault="000405E3">
      <w:pPr>
        <w:pStyle w:val="FootnoteText"/>
        <w:rPr>
          <w:rFonts w:ascii="Arial" w:hAnsi="Arial" w:cs="Arial"/>
        </w:rPr>
      </w:pPr>
      <w:r w:rsidRPr="000405E3">
        <w:rPr>
          <w:rFonts w:ascii="Arial" w:hAnsi="Arial" w:cs="Arial"/>
          <w:sz w:val="24"/>
          <w:szCs w:val="24"/>
          <w:vertAlign w:val="superscript"/>
        </w:rPr>
        <w:t xml:space="preserve">4¹ </w:t>
      </w:r>
      <w:r w:rsidRPr="000405E3">
        <w:rPr>
          <w:rFonts w:ascii="Arial" w:hAnsi="Arial" w:cs="Arial"/>
          <w:b/>
          <w:bCs/>
          <w:sz w:val="24"/>
          <w:szCs w:val="24"/>
          <w:vertAlign w:val="superscript"/>
        </w:rPr>
        <w:t>FEDERAL RESERVE BOARD</w:t>
      </w:r>
      <w:r w:rsidRPr="000405E3">
        <w:rPr>
          <w:rFonts w:ascii="Arial" w:hAnsi="Arial" w:cs="Arial"/>
          <w:sz w:val="24"/>
          <w:szCs w:val="24"/>
          <w:vertAlign w:val="superscript"/>
        </w:rPr>
        <w:t xml:space="preserve">, "Economic Outlook and Monetary Policy", federalreserve.gov, consulté le 24 janvier 2026. ² </w:t>
      </w:r>
      <w:r w:rsidRPr="000405E3">
        <w:rPr>
          <w:rFonts w:ascii="Arial" w:hAnsi="Arial" w:cs="Arial"/>
          <w:b/>
          <w:bCs/>
          <w:sz w:val="24"/>
          <w:szCs w:val="24"/>
          <w:vertAlign w:val="superscript"/>
        </w:rPr>
        <w:t>IMF</w:t>
      </w:r>
      <w:r w:rsidRPr="000405E3">
        <w:rPr>
          <w:rFonts w:ascii="Arial" w:hAnsi="Arial" w:cs="Arial"/>
          <w:sz w:val="24"/>
          <w:szCs w:val="24"/>
          <w:vertAlign w:val="superscript"/>
        </w:rPr>
        <w:t xml:space="preserve">, "United States: Staff Concluding Statement of the 2025 Article IV Mission", imf.org, 2025. ³ </w:t>
      </w:r>
      <w:r w:rsidRPr="000405E3">
        <w:rPr>
          <w:rFonts w:ascii="Arial" w:hAnsi="Arial" w:cs="Arial"/>
          <w:b/>
          <w:bCs/>
          <w:sz w:val="24"/>
          <w:szCs w:val="24"/>
          <w:vertAlign w:val="superscript"/>
        </w:rPr>
        <w:t>OECD</w:t>
      </w:r>
      <w:r w:rsidRPr="000405E3">
        <w:rPr>
          <w:rFonts w:ascii="Arial" w:hAnsi="Arial" w:cs="Arial"/>
          <w:sz w:val="24"/>
          <w:szCs w:val="24"/>
          <w:vertAlign w:val="superscript"/>
        </w:rPr>
        <w:t xml:space="preserve">, "United States Economic Forecast", oecd.org, consulté le 24 janvier 2026. ⁴ </w:t>
      </w:r>
      <w:r w:rsidRPr="000405E3">
        <w:rPr>
          <w:rFonts w:ascii="Arial" w:hAnsi="Arial" w:cs="Arial"/>
          <w:b/>
          <w:bCs/>
          <w:sz w:val="24"/>
          <w:szCs w:val="24"/>
          <w:vertAlign w:val="superscript"/>
        </w:rPr>
        <w:t>BLOOMBERG</w:t>
      </w:r>
      <w:r w:rsidRPr="000405E3">
        <w:rPr>
          <w:rFonts w:ascii="Arial" w:hAnsi="Arial" w:cs="Arial"/>
          <w:sz w:val="24"/>
          <w:szCs w:val="24"/>
          <w:vertAlign w:val="superscript"/>
        </w:rPr>
        <w:t xml:space="preserve">, "AI circular financing concerns: AI goes 'round and 'round", bloomberg.com/europe, 2025. ⁵ </w:t>
      </w:r>
      <w:r w:rsidRPr="000405E3">
        <w:rPr>
          <w:rFonts w:ascii="Arial" w:hAnsi="Arial" w:cs="Arial"/>
          <w:b/>
          <w:bCs/>
          <w:sz w:val="24"/>
          <w:szCs w:val="24"/>
          <w:vertAlign w:val="superscript"/>
        </w:rPr>
        <w:t>INSEE</w:t>
      </w:r>
      <w:r w:rsidRPr="000405E3">
        <w:rPr>
          <w:rFonts w:ascii="Arial" w:hAnsi="Arial" w:cs="Arial"/>
          <w:sz w:val="24"/>
          <w:szCs w:val="24"/>
          <w:vertAlign w:val="superscript"/>
        </w:rPr>
        <w:t xml:space="preserve">, "Tableaux de l'Économie </w:t>
      </w:r>
      <w:proofErr w:type="gramStart"/>
      <w:r w:rsidRPr="000405E3">
        <w:rPr>
          <w:rFonts w:ascii="Arial" w:hAnsi="Arial" w:cs="Arial"/>
          <w:sz w:val="24"/>
          <w:szCs w:val="24"/>
          <w:vertAlign w:val="superscript"/>
        </w:rPr>
        <w:t>Française :</w:t>
      </w:r>
      <w:proofErr w:type="gramEnd"/>
      <w:r w:rsidRPr="000405E3">
        <w:rPr>
          <w:rFonts w:ascii="Arial" w:hAnsi="Arial" w:cs="Arial"/>
          <w:sz w:val="24"/>
          <w:szCs w:val="24"/>
          <w:vertAlign w:val="superscript"/>
        </w:rPr>
        <w:t xml:space="preserve"> Marchés financiers internationaux", insee.fr,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BCAF3" w14:textId="3E87C41C" w:rsidR="008875B6" w:rsidRPr="008875B6" w:rsidRDefault="008875B6" w:rsidP="008875B6">
    <w:pPr>
      <w:spacing w:line="360" w:lineRule="auto"/>
      <w:rPr>
        <w:rFonts w:ascii="Arial" w:hAnsi="Arial" w:cs="Arial"/>
        <w:sz w:val="18"/>
        <w:szCs w:val="18"/>
      </w:rPr>
    </w:pPr>
    <w:r w:rsidRPr="008875B6">
      <w:rPr>
        <w:rFonts w:ascii="Arial" w:hAnsi="Arial" w:cs="Arial"/>
        <w:sz w:val="18"/>
        <w:szCs w:val="18"/>
      </w:rPr>
      <w:t xml:space="preserve">Évolution du marché des actions aux États-Unis depuis </w:t>
    </w:r>
    <w:proofErr w:type="gramStart"/>
    <w:r w:rsidRPr="008875B6">
      <w:rPr>
        <w:rFonts w:ascii="Arial" w:hAnsi="Arial" w:cs="Arial"/>
        <w:sz w:val="18"/>
        <w:szCs w:val="18"/>
      </w:rPr>
      <w:t>2010 :</w:t>
    </w:r>
    <w:proofErr w:type="gramEnd"/>
    <w:r w:rsidRPr="008875B6">
      <w:rPr>
        <w:rFonts w:ascii="Arial" w:hAnsi="Arial" w:cs="Arial"/>
        <w:sz w:val="18"/>
        <w:szCs w:val="18"/>
      </w:rPr>
      <w:t xml:space="preserve"> </w:t>
    </w:r>
    <w:r>
      <w:rPr>
        <w:rFonts w:ascii="Arial" w:hAnsi="Arial" w:cs="Arial"/>
        <w:sz w:val="18"/>
        <w:szCs w:val="18"/>
      </w:rPr>
      <w:t xml:space="preserve">                                                           Plotnykov Andrii</w:t>
    </w:r>
    <w:r>
      <w:rPr>
        <w:rFonts w:ascii="Arial" w:hAnsi="Arial" w:cs="Arial"/>
        <w:sz w:val="18"/>
        <w:szCs w:val="18"/>
      </w:rPr>
      <w:br/>
    </w:r>
    <w:r w:rsidRPr="008875B6">
      <w:rPr>
        <w:rFonts w:ascii="Arial" w:hAnsi="Arial" w:cs="Arial"/>
        <w:sz w:val="18"/>
        <w:szCs w:val="18"/>
      </w:rPr>
      <w:t>l’exemple de l’indice Dow Jones Industrial Average</w:t>
    </w:r>
    <w:r>
      <w:rPr>
        <w:rFonts w:ascii="Arial" w:hAnsi="Arial" w:cs="Arial"/>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284D5077"/>
    <w:multiLevelType w:val="multilevel"/>
    <w:tmpl w:val="4ED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D6C86"/>
    <w:multiLevelType w:val="multilevel"/>
    <w:tmpl w:val="2B0C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DC21AC"/>
    <w:multiLevelType w:val="multilevel"/>
    <w:tmpl w:val="0A026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3212E1"/>
    <w:multiLevelType w:val="multilevel"/>
    <w:tmpl w:val="080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74AA9"/>
    <w:multiLevelType w:val="multilevel"/>
    <w:tmpl w:val="DFF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B8086D"/>
    <w:multiLevelType w:val="multilevel"/>
    <w:tmpl w:val="E266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B2638"/>
    <w:multiLevelType w:val="multilevel"/>
    <w:tmpl w:val="F6A8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A7E33"/>
    <w:multiLevelType w:val="multilevel"/>
    <w:tmpl w:val="7230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2441B"/>
    <w:multiLevelType w:val="multilevel"/>
    <w:tmpl w:val="F5EC0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158613">
    <w:abstractNumId w:val="8"/>
  </w:num>
  <w:num w:numId="2" w16cid:durableId="1742485842">
    <w:abstractNumId w:val="7"/>
  </w:num>
  <w:num w:numId="3" w16cid:durableId="1873415973">
    <w:abstractNumId w:val="3"/>
  </w:num>
  <w:num w:numId="4" w16cid:durableId="1086345306">
    <w:abstractNumId w:val="0"/>
  </w:num>
  <w:num w:numId="5" w16cid:durableId="2075157282">
    <w:abstractNumId w:val="5"/>
  </w:num>
  <w:num w:numId="6" w16cid:durableId="876285052">
    <w:abstractNumId w:val="6"/>
  </w:num>
  <w:num w:numId="7" w16cid:durableId="207691325">
    <w:abstractNumId w:val="1"/>
  </w:num>
  <w:num w:numId="8" w16cid:durableId="189497091">
    <w:abstractNumId w:val="4"/>
  </w:num>
  <w:num w:numId="9" w16cid:durableId="1680890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712"/>
    <w:rsid w:val="000405E3"/>
    <w:rsid w:val="000D795D"/>
    <w:rsid w:val="000E55DF"/>
    <w:rsid w:val="00144785"/>
    <w:rsid w:val="001C5B61"/>
    <w:rsid w:val="001E42D2"/>
    <w:rsid w:val="0021260B"/>
    <w:rsid w:val="00212A25"/>
    <w:rsid w:val="00230A93"/>
    <w:rsid w:val="002723FF"/>
    <w:rsid w:val="002A0D12"/>
    <w:rsid w:val="00346A9B"/>
    <w:rsid w:val="00377F1D"/>
    <w:rsid w:val="003A7764"/>
    <w:rsid w:val="003C3B29"/>
    <w:rsid w:val="003D3410"/>
    <w:rsid w:val="003D6535"/>
    <w:rsid w:val="00467712"/>
    <w:rsid w:val="006237F8"/>
    <w:rsid w:val="006C12D3"/>
    <w:rsid w:val="006C3913"/>
    <w:rsid w:val="006F3CB6"/>
    <w:rsid w:val="006F7950"/>
    <w:rsid w:val="007723D4"/>
    <w:rsid w:val="0078762A"/>
    <w:rsid w:val="007E0DCC"/>
    <w:rsid w:val="007E3B0C"/>
    <w:rsid w:val="007E6CC3"/>
    <w:rsid w:val="00813975"/>
    <w:rsid w:val="0084581C"/>
    <w:rsid w:val="00861727"/>
    <w:rsid w:val="00862FF9"/>
    <w:rsid w:val="008875B6"/>
    <w:rsid w:val="00893A24"/>
    <w:rsid w:val="00893A4D"/>
    <w:rsid w:val="008B53AD"/>
    <w:rsid w:val="00946CBE"/>
    <w:rsid w:val="0097096E"/>
    <w:rsid w:val="009A7BEA"/>
    <w:rsid w:val="00AC1759"/>
    <w:rsid w:val="00AD3CD4"/>
    <w:rsid w:val="00B24D0F"/>
    <w:rsid w:val="00B80AB2"/>
    <w:rsid w:val="00B8278C"/>
    <w:rsid w:val="00B87655"/>
    <w:rsid w:val="00BB2568"/>
    <w:rsid w:val="00C34156"/>
    <w:rsid w:val="00CE415F"/>
    <w:rsid w:val="00D24685"/>
    <w:rsid w:val="00D607FC"/>
    <w:rsid w:val="00DA52AA"/>
    <w:rsid w:val="00DB2C8D"/>
    <w:rsid w:val="00E302EC"/>
    <w:rsid w:val="00E66537"/>
    <w:rsid w:val="00EC6D62"/>
    <w:rsid w:val="00F70AFC"/>
    <w:rsid w:val="00F879C9"/>
    <w:rsid w:val="00FA54CF"/>
    <w:rsid w:val="00FC6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08D41"/>
  <w15:chartTrackingRefBased/>
  <w15:docId w15:val="{C03A06C2-D9E2-4F64-936E-E01F765D2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62A"/>
  </w:style>
  <w:style w:type="paragraph" w:styleId="Heading1">
    <w:name w:val="heading 1"/>
    <w:basedOn w:val="Normal"/>
    <w:next w:val="Normal"/>
    <w:link w:val="Heading1Char"/>
    <w:uiPriority w:val="9"/>
    <w:qFormat/>
    <w:rsid w:val="00467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712"/>
    <w:rPr>
      <w:rFonts w:eastAsiaTheme="majorEastAsia" w:cstheme="majorBidi"/>
      <w:color w:val="272727" w:themeColor="text1" w:themeTint="D8"/>
    </w:rPr>
  </w:style>
  <w:style w:type="paragraph" w:styleId="Title">
    <w:name w:val="Title"/>
    <w:basedOn w:val="Normal"/>
    <w:next w:val="Normal"/>
    <w:link w:val="TitleChar"/>
    <w:uiPriority w:val="10"/>
    <w:qFormat/>
    <w:rsid w:val="00467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712"/>
    <w:pPr>
      <w:spacing w:before="160"/>
      <w:jc w:val="center"/>
    </w:pPr>
    <w:rPr>
      <w:i/>
      <w:iCs/>
      <w:color w:val="404040" w:themeColor="text1" w:themeTint="BF"/>
    </w:rPr>
  </w:style>
  <w:style w:type="character" w:customStyle="1" w:styleId="QuoteChar">
    <w:name w:val="Quote Char"/>
    <w:basedOn w:val="DefaultParagraphFont"/>
    <w:link w:val="Quote"/>
    <w:uiPriority w:val="29"/>
    <w:rsid w:val="00467712"/>
    <w:rPr>
      <w:i/>
      <w:iCs/>
      <w:color w:val="404040" w:themeColor="text1" w:themeTint="BF"/>
    </w:rPr>
  </w:style>
  <w:style w:type="paragraph" w:styleId="ListParagraph">
    <w:name w:val="List Paragraph"/>
    <w:basedOn w:val="Normal"/>
    <w:uiPriority w:val="34"/>
    <w:qFormat/>
    <w:rsid w:val="00467712"/>
    <w:pPr>
      <w:ind w:left="720"/>
      <w:contextualSpacing/>
    </w:pPr>
  </w:style>
  <w:style w:type="character" w:styleId="IntenseEmphasis">
    <w:name w:val="Intense Emphasis"/>
    <w:basedOn w:val="DefaultParagraphFont"/>
    <w:uiPriority w:val="21"/>
    <w:qFormat/>
    <w:rsid w:val="00467712"/>
    <w:rPr>
      <w:i/>
      <w:iCs/>
      <w:color w:val="0F4761" w:themeColor="accent1" w:themeShade="BF"/>
    </w:rPr>
  </w:style>
  <w:style w:type="paragraph" w:styleId="IntenseQuote">
    <w:name w:val="Intense Quote"/>
    <w:basedOn w:val="Normal"/>
    <w:next w:val="Normal"/>
    <w:link w:val="IntenseQuoteChar"/>
    <w:uiPriority w:val="30"/>
    <w:qFormat/>
    <w:rsid w:val="00467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712"/>
    <w:rPr>
      <w:i/>
      <w:iCs/>
      <w:color w:val="0F4761" w:themeColor="accent1" w:themeShade="BF"/>
    </w:rPr>
  </w:style>
  <w:style w:type="character" w:styleId="IntenseReference">
    <w:name w:val="Intense Reference"/>
    <w:basedOn w:val="DefaultParagraphFont"/>
    <w:uiPriority w:val="32"/>
    <w:qFormat/>
    <w:rsid w:val="00467712"/>
    <w:rPr>
      <w:b/>
      <w:bCs/>
      <w:smallCaps/>
      <w:color w:val="0F4761" w:themeColor="accent1" w:themeShade="BF"/>
      <w:spacing w:val="5"/>
    </w:rPr>
  </w:style>
  <w:style w:type="table" w:styleId="TableGrid">
    <w:name w:val="Table Grid"/>
    <w:basedOn w:val="TableNormal"/>
    <w:uiPriority w:val="39"/>
    <w:rsid w:val="002A0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2A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A25"/>
  </w:style>
  <w:style w:type="paragraph" w:styleId="Footer">
    <w:name w:val="footer"/>
    <w:basedOn w:val="Normal"/>
    <w:link w:val="FooterChar"/>
    <w:uiPriority w:val="99"/>
    <w:unhideWhenUsed/>
    <w:rsid w:val="00212A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A25"/>
  </w:style>
  <w:style w:type="paragraph" w:styleId="FootnoteText">
    <w:name w:val="footnote text"/>
    <w:basedOn w:val="Normal"/>
    <w:link w:val="FootnoteTextChar"/>
    <w:uiPriority w:val="99"/>
    <w:semiHidden/>
    <w:unhideWhenUsed/>
    <w:rsid w:val="002126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260B"/>
    <w:rPr>
      <w:sz w:val="20"/>
      <w:szCs w:val="20"/>
    </w:rPr>
  </w:style>
  <w:style w:type="character" w:styleId="FootnoteReference">
    <w:name w:val="footnote reference"/>
    <w:basedOn w:val="DefaultParagraphFont"/>
    <w:uiPriority w:val="99"/>
    <w:semiHidden/>
    <w:unhideWhenUsed/>
    <w:rsid w:val="0021260B"/>
    <w:rPr>
      <w:vertAlign w:val="superscript"/>
    </w:rPr>
  </w:style>
  <w:style w:type="character" w:styleId="Hyperlink">
    <w:name w:val="Hyperlink"/>
    <w:basedOn w:val="DefaultParagraphFont"/>
    <w:uiPriority w:val="99"/>
    <w:unhideWhenUsed/>
    <w:rsid w:val="0084581C"/>
    <w:rPr>
      <w:color w:val="467886" w:themeColor="hyperlink"/>
      <w:u w:val="single"/>
    </w:rPr>
  </w:style>
  <w:style w:type="character" w:styleId="UnresolvedMention">
    <w:name w:val="Unresolved Mention"/>
    <w:basedOn w:val="DefaultParagraphFont"/>
    <w:uiPriority w:val="99"/>
    <w:semiHidden/>
    <w:unhideWhenUsed/>
    <w:rsid w:val="00845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postimg.cc/zXjDFFtz/561460176-1214229197402107-8646118218589044922-n.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F1484-3D94-452A-933A-BCA923B5C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6</Pages>
  <Words>1589</Words>
  <Characters>9059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Andrii Plotnikov</dc:creator>
  <cp:keywords/>
  <dc:description/>
  <cp:lastModifiedBy>Andrii Plotnikov</cp:lastModifiedBy>
  <cp:revision>13</cp:revision>
  <dcterms:created xsi:type="dcterms:W3CDTF">2026-01-23T14:07:00Z</dcterms:created>
  <dcterms:modified xsi:type="dcterms:W3CDTF">2026-02-03T08:55:00Z</dcterms:modified>
</cp:coreProperties>
</file>