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45C"/>
          <w:sz w:val="48"/>
        </w:rPr>
        <w:t>Yacht Premium Insurance</w:t>
      </w:r>
    </w:p>
    <w:p>
      <w:pPr>
        <w:jc w:val="left"/>
      </w:pPr>
      <w:r>
        <w:rPr>
          <w:i/>
          <w:color w:val="5A5A5A"/>
          <w:sz w:val="24"/>
        </w:rPr>
        <w:t>Master plan projekta, podatkovnog sloja, scrapinga i cleaning pipelinea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DCE6F1"/>
          </w:tcPr>
          <w:p>
            <w:r>
              <w:t>Dokument</w:t>
            </w:r>
          </w:p>
        </w:tc>
        <w:tc>
          <w:tcPr>
            <w:tcW w:type="dxa" w:w="6406"/>
            <w:vAlign w:val="center"/>
          </w:tcPr>
          <w:p>
            <w:r>
              <w:t>Službeni plan za implementaciju data acquisition i valuation sloja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r>
              <w:t>Jezik</w:t>
            </w:r>
          </w:p>
        </w:tc>
        <w:tc>
          <w:tcPr>
            <w:tcW w:type="dxa" w:w="6406"/>
            <w:vAlign w:val="center"/>
          </w:tcPr>
          <w:p>
            <w:r>
              <w:t>Hrvatski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r>
              <w:t>Namjena</w:t>
            </w:r>
          </w:p>
        </w:tc>
        <w:tc>
          <w:tcPr>
            <w:tcW w:type="dxa" w:w="6406"/>
            <w:vAlign w:val="center"/>
          </w:tcPr>
          <w:p>
            <w:r>
              <w:t>Interna dokumentacija i ulazni brief za Codex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r>
              <w:t>Verzija</w:t>
            </w:r>
          </w:p>
        </w:tc>
        <w:tc>
          <w:tcPr>
            <w:tcW w:type="dxa" w:w="6406"/>
            <w:vAlign w:val="center"/>
          </w:tcPr>
          <w:p>
            <w:r>
              <w:t>1.0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r>
              <w:t>Datum</w:t>
            </w:r>
          </w:p>
        </w:tc>
        <w:tc>
          <w:tcPr>
            <w:tcW w:type="dxa" w:w="6406"/>
            <w:vAlign w:val="center"/>
          </w:tcPr>
          <w:p>
            <w:r>
              <w:t>2. travnja 2026.</w:t>
            </w:r>
          </w:p>
        </w:tc>
      </w:tr>
    </w:tbl>
    <w:p/>
    <w:p>
      <w:pPr>
        <w:pStyle w:val="IntenseQuote"/>
      </w:pPr>
      <w:r>
        <w:rPr>
          <w:b/>
        </w:rPr>
        <w:t>Sažetak: projekt treba biti vođen kao kontrolirani podatkovni sustav s ručnim unosom, CSV importom, pilot scrapingom, cleaning pipelineom, deduplikacijom i valuation-ready slojem za scoring i web aplikaciju.</w:t>
      </w:r>
    </w:p>
    <w:p>
      <w:r>
        <w:br w:type="page"/>
      </w:r>
    </w:p>
    <w:p>
      <w:pPr>
        <w:pStyle w:val="Heading1"/>
      </w:pPr>
      <w:r>
        <w:t>1. Cilj projekta</w:t>
      </w:r>
    </w:p>
    <w:p>
      <w:r>
        <w:t>Cilj prve verzije nije napraviti opći AI search engine, nego interni alat koji radniku omogućuje da unese podatke o ciljanom plovilu i brzo dobije najrelevantnije mediteranske usporedive oglase, objašnjiv ranking i branljiv raspon cijena.</w:t>
      </w:r>
    </w:p>
    <w:p>
      <w:pPr>
        <w:pStyle w:val="Heading1"/>
      </w:pPr>
      <w:r>
        <w:t>2. Ključna poslovna pravila</w:t>
      </w:r>
    </w:p>
    <w:p>
      <w:pPr>
        <w:pStyle w:val="ListBullet"/>
      </w:pPr>
      <w:r>
        <w:t>Builder i model su najvažniji signal za usporedbu.</w:t>
      </w:r>
    </w:p>
    <w:p>
      <w:pPr>
        <w:pStyle w:val="ListBullet"/>
      </w:pPr>
      <w:r>
        <w:t>Ownership status private / charter / ex-charter snažno utječe na rangiranje.</w:t>
      </w:r>
    </w:p>
    <w:p>
      <w:pPr>
        <w:pStyle w:val="ListBullet"/>
      </w:pPr>
      <w:r>
        <w:t>Ako ne postoji točna godina, koristi se nearest-year fallback i to mora biti vidljivo.</w:t>
      </w:r>
    </w:p>
    <w:p>
      <w:pPr>
        <w:pStyle w:val="ListBullet"/>
      </w:pPr>
      <w:r>
        <w:t>Rezultat mora objasniti zašto je match dobar.</w:t>
      </w:r>
    </w:p>
    <w:p>
      <w:pPr>
        <w:pStyle w:val="ListBullet"/>
      </w:pPr>
      <w:r>
        <w:t>Confidence mora ovisiti o kvaliteti usporedbe i kvaliteti podataka.</w:t>
      </w:r>
    </w:p>
    <w:p>
      <w:pPr>
        <w:pStyle w:val="Heading1"/>
      </w:pPr>
      <w:r>
        <w:t>3. Zašto je podatkovni dio najkompleksniji</w:t>
      </w:r>
    </w:p>
    <w:p>
      <w:r>
        <w:t>Najveći rizik projekta nije frontend ni osnovna baza, nego činjenica da nema jedinstvenog kvalitetnog API-ja ni gotovog dataseta za sve relevantne oglase. Podaci su raspoređeni po više izvora, zapisi su nekonzistentni, ownership status je često neizravan, a isti brod može postojati na više mjesta s različitim opisima i cijenama.</w:t>
      </w:r>
    </w:p>
    <w:p>
      <w:pPr>
        <w:pStyle w:val="Heading1"/>
      </w:pPr>
      <w:r>
        <w:t>4. Strategija akvizicije podataka po fazama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vAlign w:val="center"/>
            <w:shd w:fill="DCE6F1"/>
          </w:tcPr>
          <w:p>
            <w:r>
              <w:t>Faza</w:t>
            </w:r>
          </w:p>
        </w:tc>
        <w:tc>
          <w:tcPr>
            <w:tcW w:type="dxa" w:w="4309"/>
            <w:vAlign w:val="center"/>
            <w:shd w:fill="DCE6F1"/>
          </w:tcPr>
          <w:p>
            <w:r>
              <w:t>Opis</w:t>
            </w:r>
          </w:p>
        </w:tc>
        <w:tc>
          <w:tcPr>
            <w:tcW w:type="dxa" w:w="2835"/>
            <w:vAlign w:val="center"/>
            <w:shd w:fill="DCE6F1"/>
          </w:tcPr>
          <w:p>
            <w:r>
              <w:t>Cilj</w:t>
            </w:r>
          </w:p>
        </w:tc>
      </w:tr>
      <w:tr>
        <w:tc>
          <w:tcPr>
            <w:tcW w:type="dxa" w:w="1871"/>
            <w:vAlign w:val="center"/>
          </w:tcPr>
          <w:p>
            <w:r>
              <w:t>A - kontrolirani MVP</w:t>
            </w:r>
          </w:p>
        </w:tc>
        <w:tc>
          <w:tcPr>
            <w:tcW w:type="dxa" w:w="4309"/>
            <w:vAlign w:val="center"/>
          </w:tcPr>
          <w:p>
            <w:r>
              <w:t>Ručni unos, CSV import, seed dataset, ručno prikupljeni primjeri</w:t>
            </w:r>
          </w:p>
        </w:tc>
        <w:tc>
          <w:tcPr>
            <w:tcW w:type="dxa" w:w="2835"/>
            <w:vAlign w:val="center"/>
          </w:tcPr>
          <w:p>
            <w:r>
              <w:t>Pokrenuti scoring i UI bez čekanja punog scrapinga</w:t>
            </w:r>
          </w:p>
        </w:tc>
      </w:tr>
      <w:tr>
        <w:tc>
          <w:tcPr>
            <w:tcW w:type="dxa" w:w="1871"/>
            <w:vAlign w:val="center"/>
          </w:tcPr>
          <w:p>
            <w:r>
              <w:t>B - poluautomatizirani acquisition</w:t>
            </w:r>
          </w:p>
        </w:tc>
        <w:tc>
          <w:tcPr>
            <w:tcW w:type="dxa" w:w="4309"/>
            <w:vAlign w:val="center"/>
          </w:tcPr>
          <w:p>
            <w:r>
              <w:t>Pilot parseri i source adapteri za 1-2 izvora</w:t>
            </w:r>
          </w:p>
        </w:tc>
        <w:tc>
          <w:tcPr>
            <w:tcW w:type="dxa" w:w="2835"/>
            <w:vAlign w:val="center"/>
          </w:tcPr>
          <w:p>
            <w:r>
              <w:t>Provjeriti pipeline nad stvarnim tržišnim podacima</w:t>
            </w:r>
          </w:p>
        </w:tc>
      </w:tr>
      <w:tr>
        <w:tc>
          <w:tcPr>
            <w:tcW w:type="dxa" w:w="1871"/>
            <w:vAlign w:val="center"/>
          </w:tcPr>
          <w:p>
            <w:r>
              <w:t>C - operativni scraping</w:t>
            </w:r>
          </w:p>
        </w:tc>
        <w:tc>
          <w:tcPr>
            <w:tcW w:type="dxa" w:w="4309"/>
            <w:vAlign w:val="center"/>
          </w:tcPr>
          <w:p>
            <w:r>
              <w:t>Scheduler, snapshot storage, price history, monitoring</w:t>
            </w:r>
          </w:p>
        </w:tc>
        <w:tc>
          <w:tcPr>
            <w:tcW w:type="dxa" w:w="2835"/>
            <w:vAlign w:val="center"/>
          </w:tcPr>
          <w:p>
            <w:r>
              <w:t>Redovno osvježavanje i širi coverage</w:t>
            </w:r>
          </w:p>
        </w:tc>
      </w:tr>
    </w:tbl>
    <w:p/>
    <w:p>
      <w:pPr>
        <w:pStyle w:val="Heading1"/>
      </w:pPr>
      <w:r>
        <w:t>5. Arhitektura podatkovnog sloja</w:t>
      </w:r>
    </w:p>
    <w:p>
      <w:pPr>
        <w:pStyle w:val="ListBullet"/>
      </w:pPr>
      <w:r>
        <w:t>Source acquisition layer: ručni unos, CSV i web izvori.</w:t>
      </w:r>
    </w:p>
    <w:p>
      <w:pPr>
        <w:pStyle w:val="ListBullet"/>
      </w:pPr>
      <w:r>
        <w:t>Parsing and normalization layer: builder, model, variant, year, price, location, motori.</w:t>
      </w:r>
    </w:p>
    <w:p>
      <w:pPr>
        <w:pStyle w:val="ListBullet"/>
      </w:pPr>
      <w:r>
        <w:t>Data quality and deduplication layer: kvalitetna provjera, duplikati, review queue.</w:t>
      </w:r>
    </w:p>
    <w:p>
      <w:pPr>
        <w:pStyle w:val="ListBullet"/>
      </w:pPr>
      <w:r>
        <w:t>Serving layer: valuation-ready view za scoring engine i web aplikaciju.</w:t>
      </w:r>
    </w:p>
    <w:p>
      <w:pPr>
        <w:pStyle w:val="Heading1"/>
      </w:pPr>
      <w:r>
        <w:t>6. Dataset slojevi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CE6F1"/>
          </w:tcPr>
          <w:p>
            <w:r>
              <w:t>Sloj</w:t>
            </w:r>
          </w:p>
        </w:tc>
        <w:tc>
          <w:tcPr>
            <w:tcW w:type="dxa" w:w="3402"/>
            <w:vAlign w:val="center"/>
            <w:shd w:fill="DCE6F1"/>
          </w:tcPr>
          <w:p>
            <w:r>
              <w:t>Svrha</w:t>
            </w:r>
          </w:p>
        </w:tc>
        <w:tc>
          <w:tcPr>
            <w:tcW w:type="dxa" w:w="3402"/>
            <w:vAlign w:val="center"/>
            <w:shd w:fill="DCE6F1"/>
          </w:tcPr>
          <w:p>
            <w:r>
              <w:t>Napomena</w:t>
            </w:r>
          </w:p>
        </w:tc>
      </w:tr>
      <w:tr>
        <w:tc>
          <w:tcPr>
            <w:tcW w:type="dxa" w:w="2268"/>
            <w:vAlign w:val="center"/>
          </w:tcPr>
          <w:p>
            <w:r>
              <w:t>Raw ingestion</w:t>
            </w:r>
          </w:p>
        </w:tc>
        <w:tc>
          <w:tcPr>
            <w:tcW w:type="dxa" w:w="3402"/>
            <w:vAlign w:val="center"/>
          </w:tcPr>
          <w:p>
            <w:r>
              <w:t>Audit, debug, reprocessing</w:t>
            </w:r>
          </w:p>
        </w:tc>
        <w:tc>
          <w:tcPr>
            <w:tcW w:type="dxa" w:w="3402"/>
            <w:vAlign w:val="center"/>
          </w:tcPr>
          <w:p>
            <w:r>
              <w:t>Ne koristi se direktno u UI-u</w:t>
            </w:r>
          </w:p>
        </w:tc>
      </w:tr>
      <w:tr>
        <w:tc>
          <w:tcPr>
            <w:tcW w:type="dxa" w:w="2268"/>
            <w:vAlign w:val="center"/>
          </w:tcPr>
          <w:p>
            <w:r>
              <w:t>Normalized listing</w:t>
            </w:r>
          </w:p>
        </w:tc>
        <w:tc>
          <w:tcPr>
            <w:tcW w:type="dxa" w:w="3402"/>
            <w:vAlign w:val="center"/>
          </w:tcPr>
          <w:p>
            <w:r>
              <w:t>Standardizirani poslovni zapis</w:t>
            </w:r>
          </w:p>
        </w:tc>
        <w:tc>
          <w:tcPr>
            <w:tcW w:type="dxa" w:w="3402"/>
            <w:vAlign w:val="center"/>
          </w:tcPr>
          <w:p>
            <w:r>
              <w:t>Kanonske vrijednosti i enumi</w:t>
            </w:r>
          </w:p>
        </w:tc>
      </w:tr>
      <w:tr>
        <w:tc>
          <w:tcPr>
            <w:tcW w:type="dxa" w:w="2268"/>
            <w:vAlign w:val="center"/>
          </w:tcPr>
          <w:p>
            <w:r>
              <w:t>Deduped market entity</w:t>
            </w:r>
          </w:p>
        </w:tc>
        <w:tc>
          <w:tcPr>
            <w:tcW w:type="dxa" w:w="3402"/>
            <w:vAlign w:val="center"/>
          </w:tcPr>
          <w:p>
            <w:r>
              <w:t>Spajanje istog tržišnog primjerka</w:t>
            </w:r>
          </w:p>
        </w:tc>
        <w:tc>
          <w:tcPr>
            <w:tcW w:type="dxa" w:w="3402"/>
            <w:vAlign w:val="center"/>
          </w:tcPr>
          <w:p>
            <w:r>
              <w:t>Rješava duplikate između izvora</w:t>
            </w:r>
          </w:p>
        </w:tc>
      </w:tr>
      <w:tr>
        <w:tc>
          <w:tcPr>
            <w:tcW w:type="dxa" w:w="2268"/>
            <w:vAlign w:val="center"/>
          </w:tcPr>
          <w:p>
            <w:r>
              <w:t>Valuation-ready</w:t>
            </w:r>
          </w:p>
        </w:tc>
        <w:tc>
          <w:tcPr>
            <w:tcW w:type="dxa" w:w="3402"/>
            <w:vAlign w:val="center"/>
          </w:tcPr>
          <w:p>
            <w:r>
              <w:t>Ulaz za scoring i rezultate</w:t>
            </w:r>
          </w:p>
        </w:tc>
        <w:tc>
          <w:tcPr>
            <w:tcW w:type="dxa" w:w="3402"/>
            <w:vAlign w:val="center"/>
          </w:tcPr>
          <w:p>
            <w:r>
              <w:t>Samo kvalitetni i podobni zapisi</w:t>
            </w:r>
          </w:p>
        </w:tc>
      </w:tr>
    </w:tbl>
    <w:p/>
    <w:p>
      <w:pPr>
        <w:pStyle w:val="Heading1"/>
      </w:pPr>
      <w:r>
        <w:t>7. Plan izvora podataka</w:t>
      </w:r>
    </w:p>
    <w:p>
      <w:r>
        <w:t>Izvore treba voditi kroz source registry, a ne ad hoc kroz skripte.</w:t>
      </w:r>
    </w:p>
    <w:p>
      <w:pPr>
        <w:pStyle w:val="ListBullet"/>
      </w:pPr>
      <w:r>
        <w:t>Prioritet 1: ručni unos, CSV import, seed podaci, interni verified caseovi.</w:t>
      </w:r>
    </w:p>
    <w:p>
      <w:pPr>
        <w:pStyle w:val="ListBullet"/>
      </w:pPr>
      <w:r>
        <w:t>Prioritet 2: strukturiraniji broker i marketplace izvori s dobrim coverageom Mediterana.</w:t>
      </w:r>
    </w:p>
    <w:p>
      <w:pPr>
        <w:pStyle w:val="ListBullet"/>
      </w:pPr>
      <w:r>
        <w:t>Prioritet 3: teži i nestabilni izvori dodaju se tek nakon stabilnog pipelinea.</w:t>
      </w:r>
    </w:p>
    <w:p>
      <w:pPr>
        <w:pStyle w:val="ListBullet"/>
      </w:pPr>
      <w:r>
        <w:t>Za svaki izvor mora postojati procjena kvalitete, parser verzija i reliability score.</w:t>
      </w:r>
    </w:p>
    <w:p>
      <w:pPr>
        <w:pStyle w:val="Heading1"/>
      </w:pPr>
      <w:r>
        <w:t>8. Cleaning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vAlign w:val="center"/>
            <w:shd w:fill="DCE6F1"/>
          </w:tcPr>
          <w:p>
            <w:r>
              <w:t>Korak</w:t>
            </w:r>
          </w:p>
        </w:tc>
        <w:tc>
          <w:tcPr>
            <w:tcW w:type="dxa" w:w="4195"/>
            <w:vAlign w:val="center"/>
            <w:shd w:fill="DCE6F1"/>
          </w:tcPr>
          <w:p>
            <w:r>
              <w:t>Što radi</w:t>
            </w:r>
          </w:p>
        </w:tc>
        <w:tc>
          <w:tcPr>
            <w:tcW w:type="dxa" w:w="4195"/>
            <w:vAlign w:val="center"/>
            <w:shd w:fill="DCE6F1"/>
          </w:tcPr>
          <w:p>
            <w:r>
              <w:t>Output</w:t>
            </w:r>
          </w:p>
        </w:tc>
      </w:tr>
      <w:tr>
        <w:tc>
          <w:tcPr>
            <w:tcW w:type="dxa" w:w="680"/>
            <w:vAlign w:val="center"/>
          </w:tcPr>
          <w:p>
            <w:r>
              <w:t>1</w:t>
            </w:r>
          </w:p>
        </w:tc>
        <w:tc>
          <w:tcPr>
            <w:tcW w:type="dxa" w:w="4195"/>
            <w:vAlign w:val="center"/>
          </w:tcPr>
          <w:p>
            <w:r>
              <w:t>Ingestion validation</w:t>
            </w:r>
          </w:p>
        </w:tc>
        <w:tc>
          <w:tcPr>
            <w:tcW w:type="dxa" w:w="4195"/>
            <w:vAlign w:val="center"/>
          </w:tcPr>
          <w:p>
            <w:r>
              <w:t>Tehnički valjan raw zapis</w:t>
            </w:r>
          </w:p>
        </w:tc>
      </w:tr>
      <w:tr>
        <w:tc>
          <w:tcPr>
            <w:tcW w:type="dxa" w:w="680"/>
            <w:vAlign w:val="center"/>
          </w:tcPr>
          <w:p>
            <w:r>
              <w:t>2</w:t>
            </w:r>
          </w:p>
        </w:tc>
        <w:tc>
          <w:tcPr>
            <w:tcW w:type="dxa" w:w="4195"/>
            <w:vAlign w:val="center"/>
          </w:tcPr>
          <w:p>
            <w:r>
              <w:t>Field extraction</w:t>
            </w:r>
          </w:p>
        </w:tc>
        <w:tc>
          <w:tcPr>
            <w:tcW w:type="dxa" w:w="4195"/>
            <w:vAlign w:val="center"/>
          </w:tcPr>
          <w:p>
            <w:r>
              <w:t>Izdvojena ključna polja + confidence</w:t>
            </w:r>
          </w:p>
        </w:tc>
      </w:tr>
      <w:tr>
        <w:tc>
          <w:tcPr>
            <w:tcW w:type="dxa" w:w="680"/>
            <w:vAlign w:val="center"/>
          </w:tcPr>
          <w:p>
            <w:r>
              <w:t>3</w:t>
            </w:r>
          </w:p>
        </w:tc>
        <w:tc>
          <w:tcPr>
            <w:tcW w:type="dxa" w:w="4195"/>
            <w:vAlign w:val="center"/>
          </w:tcPr>
          <w:p>
            <w:r>
              <w:t>Canonical mapping</w:t>
            </w:r>
          </w:p>
        </w:tc>
        <w:tc>
          <w:tcPr>
            <w:tcW w:type="dxa" w:w="4195"/>
            <w:vAlign w:val="center"/>
          </w:tcPr>
          <w:p>
            <w:r>
              <w:t>Standardizirani builder/model/variant/status</w:t>
            </w:r>
          </w:p>
        </w:tc>
      </w:tr>
      <w:tr>
        <w:tc>
          <w:tcPr>
            <w:tcW w:type="dxa" w:w="680"/>
            <w:vAlign w:val="center"/>
          </w:tcPr>
          <w:p>
            <w:r>
              <w:t>4</w:t>
            </w:r>
          </w:p>
        </w:tc>
        <w:tc>
          <w:tcPr>
            <w:tcW w:type="dxa" w:w="4195"/>
            <w:vAlign w:val="center"/>
          </w:tcPr>
          <w:p>
            <w:r>
              <w:t>Unit normalization</w:t>
            </w:r>
          </w:p>
        </w:tc>
        <w:tc>
          <w:tcPr>
            <w:tcW w:type="dxa" w:w="4195"/>
            <w:vAlign w:val="center"/>
          </w:tcPr>
          <w:p>
            <w:r>
              <w:t>Metri, HP, ISO valuta, EUR vrijednost</w:t>
            </w:r>
          </w:p>
        </w:tc>
      </w:tr>
      <w:tr>
        <w:tc>
          <w:tcPr>
            <w:tcW w:type="dxa" w:w="680"/>
            <w:vAlign w:val="center"/>
          </w:tcPr>
          <w:p>
            <w:r>
              <w:t>5</w:t>
            </w:r>
          </w:p>
        </w:tc>
        <w:tc>
          <w:tcPr>
            <w:tcW w:type="dxa" w:w="4195"/>
            <w:vAlign w:val="center"/>
          </w:tcPr>
          <w:p>
            <w:r>
              <w:t>Business validation</w:t>
            </w:r>
          </w:p>
        </w:tc>
        <w:tc>
          <w:tcPr>
            <w:tcW w:type="dxa" w:w="4195"/>
            <w:vAlign w:val="center"/>
          </w:tcPr>
          <w:p>
            <w:r>
              <w:t>Kontrole konzistencije i outliera</w:t>
            </w:r>
          </w:p>
        </w:tc>
      </w:tr>
      <w:tr>
        <w:tc>
          <w:tcPr>
            <w:tcW w:type="dxa" w:w="680"/>
            <w:vAlign w:val="center"/>
          </w:tcPr>
          <w:p>
            <w:r>
              <w:t>6</w:t>
            </w:r>
          </w:p>
        </w:tc>
        <w:tc>
          <w:tcPr>
            <w:tcW w:type="dxa" w:w="4195"/>
            <w:vAlign w:val="center"/>
          </w:tcPr>
          <w:p>
            <w:r>
              <w:t>Duplicate detection</w:t>
            </w:r>
          </w:p>
        </w:tc>
        <w:tc>
          <w:tcPr>
            <w:tcW w:type="dxa" w:w="4195"/>
            <w:vAlign w:val="center"/>
          </w:tcPr>
          <w:p>
            <w:r>
              <w:t>Duplicate cluster i pravila spajanja</w:t>
            </w:r>
          </w:p>
        </w:tc>
      </w:tr>
      <w:tr>
        <w:tc>
          <w:tcPr>
            <w:tcW w:type="dxa" w:w="680"/>
            <w:vAlign w:val="center"/>
          </w:tcPr>
          <w:p>
            <w:r>
              <w:t>7</w:t>
            </w:r>
          </w:p>
        </w:tc>
        <w:tc>
          <w:tcPr>
            <w:tcW w:type="dxa" w:w="4195"/>
            <w:vAlign w:val="center"/>
          </w:tcPr>
          <w:p>
            <w:r>
              <w:t>Quality scoring</w:t>
            </w:r>
          </w:p>
        </w:tc>
        <w:tc>
          <w:tcPr>
            <w:tcW w:type="dxa" w:w="4195"/>
            <w:vAlign w:val="center"/>
          </w:tcPr>
          <w:p>
            <w:r>
              <w:t>Quality score i eligibility flag</w:t>
            </w:r>
          </w:p>
        </w:tc>
      </w:tr>
      <w:tr>
        <w:tc>
          <w:tcPr>
            <w:tcW w:type="dxa" w:w="680"/>
            <w:vAlign w:val="center"/>
          </w:tcPr>
          <w:p>
            <w:r>
              <w:t>8</w:t>
            </w:r>
          </w:p>
        </w:tc>
        <w:tc>
          <w:tcPr>
            <w:tcW w:type="dxa" w:w="4195"/>
            <w:vAlign w:val="center"/>
          </w:tcPr>
          <w:p>
            <w:r>
              <w:t>Review queue</w:t>
            </w:r>
          </w:p>
        </w:tc>
        <w:tc>
          <w:tcPr>
            <w:tcW w:type="dxa" w:w="4195"/>
            <w:vAlign w:val="center"/>
          </w:tcPr>
          <w:p>
            <w:r>
              <w:t>Sporni zapisi za ručnu provjeru</w:t>
            </w:r>
          </w:p>
        </w:tc>
      </w:tr>
      <w:tr>
        <w:tc>
          <w:tcPr>
            <w:tcW w:type="dxa" w:w="680"/>
            <w:vAlign w:val="center"/>
          </w:tcPr>
          <w:p>
            <w:r>
              <w:t>9</w:t>
            </w:r>
          </w:p>
        </w:tc>
        <w:tc>
          <w:tcPr>
            <w:tcW w:type="dxa" w:w="4195"/>
            <w:vAlign w:val="center"/>
          </w:tcPr>
          <w:p>
            <w:r>
              <w:t>Publication</w:t>
            </w:r>
          </w:p>
        </w:tc>
        <w:tc>
          <w:tcPr>
            <w:tcW w:type="dxa" w:w="4195"/>
            <w:vAlign w:val="center"/>
          </w:tcPr>
          <w:p>
            <w:r>
              <w:t>Valuation-ready zapis</w:t>
            </w:r>
          </w:p>
        </w:tc>
      </w:tr>
    </w:tbl>
    <w:p/>
    <w:p>
      <w:pPr>
        <w:pStyle w:val="Heading1"/>
      </w:pPr>
      <w:r>
        <w:t>9. Minimalna struktura tablica</w:t>
      </w:r>
    </w:p>
    <w:p>
      <w:pPr>
        <w:pStyle w:val="ListBullet"/>
      </w:pPr>
      <w:r>
        <w:t>boats</w:t>
      </w:r>
    </w:p>
    <w:p>
      <w:pPr>
        <w:pStyle w:val="ListBullet"/>
      </w:pPr>
      <w:r>
        <w:t>engines</w:t>
      </w:r>
    </w:p>
    <w:p>
      <w:pPr>
        <w:pStyle w:val="ListBullet"/>
      </w:pPr>
      <w:r>
        <w:t>source_sites</w:t>
      </w:r>
    </w:p>
    <w:p>
      <w:pPr>
        <w:pStyle w:val="ListBullet"/>
      </w:pPr>
      <w:r>
        <w:t>listings</w:t>
      </w:r>
    </w:p>
    <w:p>
      <w:pPr>
        <w:pStyle w:val="ListBullet"/>
      </w:pPr>
      <w:r>
        <w:t>price_history</w:t>
      </w:r>
    </w:p>
    <w:p>
      <w:pPr>
        <w:pStyle w:val="ListBullet"/>
      </w:pPr>
      <w:r>
        <w:t>worker_notes</w:t>
      </w:r>
    </w:p>
    <w:p>
      <w:pPr>
        <w:pStyle w:val="ListBullet"/>
      </w:pPr>
      <w:r>
        <w:t>po potrebi dodatno: raw_ingestion_records, mapping tablice, review_queue</w:t>
      </w:r>
    </w:p>
    <w:p>
      <w:pPr>
        <w:pStyle w:val="Heading1"/>
      </w:pPr>
      <w:r>
        <w:t>10. Integracija s evaluacijom i web aplikacijom</w:t>
      </w:r>
    </w:p>
    <w:p>
      <w:r>
        <w:t>Scoring engine ne radi nad raw podacima, nego nad valuation-ready viewem. Web app treba dobivati pripremljene rezultate: numeric score, explanation, fallback oznaku, source trace i summary podatke poput medijana, prosjeka, raspona i confidence razine.</w:t>
      </w:r>
    </w:p>
    <w:p>
      <w:pPr>
        <w:pStyle w:val="Heading1"/>
      </w:pPr>
      <w:r>
        <w:t>11. Preporučena struktura repoa</w:t>
      </w:r>
    </w:p>
    <w:p>
      <w:pPr>
        <w:pStyle w:val="NoSpacing"/>
      </w:pPr>
      <w:r>
        <w:rPr>
          <w:rFonts w:ascii="Courier New" w:hAnsi="Courier New"/>
        </w:rPr>
        <w:t>/apps/web</w:t>
        <w:br/>
        <w:t>/packages/domain</w:t>
        <w:br/>
        <w:t>/packages/data-access</w:t>
        <w:br/>
        <w:t>/packages/scoring</w:t>
        <w:br/>
        <w:t>/services/ingestion</w:t>
        <w:br/>
        <w:t>/services/pipeline</w:t>
        <w:br/>
        <w:t>/services/scrapers</w:t>
        <w:br/>
        <w:t>/docs</w:t>
        <w:br/>
        <w:t>/supabase/migrations</w:t>
        <w:br/>
        <w:t>/supabase/seed</w:t>
        <w:br/>
        <w:t>/tests</w:t>
      </w:r>
    </w:p>
    <w:p>
      <w:pPr>
        <w:pStyle w:val="Heading1"/>
      </w:pPr>
      <w:r>
        <w:t>12. Upute za Codex</w:t>
      </w:r>
    </w:p>
    <w:p>
      <w:pPr>
        <w:pStyle w:val="ListBullet"/>
      </w:pPr>
      <w:r>
        <w:t>Prvo izložiti plan bez pisanja koda.</w:t>
      </w:r>
    </w:p>
    <w:p>
      <w:pPr>
        <w:pStyle w:val="ListBullet"/>
      </w:pPr>
      <w:r>
        <w:t>Uvesti raw -&gt; normalized -&gt; valuation-ready flow.</w:t>
      </w:r>
    </w:p>
    <w:p>
      <w:pPr>
        <w:pStyle w:val="ListBullet"/>
      </w:pPr>
      <w:r>
        <w:t>Omogućiti ručni unos i CSV import prije punog scrapinga.</w:t>
      </w:r>
    </w:p>
    <w:p>
      <w:pPr>
        <w:pStyle w:val="ListBullet"/>
      </w:pPr>
      <w:r>
        <w:t>Odvojiti acquisition logiku od scoring logike.</w:t>
      </w:r>
    </w:p>
    <w:p>
      <w:pPr>
        <w:pStyle w:val="ListBullet"/>
      </w:pPr>
      <w:r>
        <w:t>Uvesti quality score, duplicate handling i source trace.</w:t>
      </w:r>
    </w:p>
    <w:p>
      <w:pPr>
        <w:pStyle w:val="ListBullet"/>
      </w:pPr>
      <w:r>
        <w:t>Ažurirati dokumentaciju uz svaku veću promjenu.</w:t>
      </w:r>
    </w:p>
    <w:p>
      <w:pPr>
        <w:pStyle w:val="Heading1"/>
      </w:pPr>
      <w:r>
        <w:t>13. Definicija uspjeha</w:t>
      </w:r>
    </w:p>
    <w:p>
      <w:pPr>
        <w:pStyle w:val="ListBullet"/>
      </w:pPr>
      <w:r>
        <w:t>Aplikacija se može pokrenuti lokalno.</w:t>
      </w:r>
    </w:p>
    <w:p>
      <w:pPr>
        <w:pStyle w:val="ListBullet"/>
      </w:pPr>
      <w:r>
        <w:t>Seed podaci i CSV import rade.</w:t>
      </w:r>
    </w:p>
    <w:p>
      <w:pPr>
        <w:pStyle w:val="ListBullet"/>
      </w:pPr>
      <w:r>
        <w:t>Postoji kontroliran ingestion i cleaning pipeline.</w:t>
      </w:r>
    </w:p>
    <w:p>
      <w:pPr>
        <w:pStyle w:val="ListBullet"/>
      </w:pPr>
      <w:r>
        <w:t>Scoring radi nad čistim podacima.</w:t>
      </w:r>
    </w:p>
    <w:p>
      <w:pPr>
        <w:pStyle w:val="ListBullet"/>
      </w:pPr>
      <w:r>
        <w:t>UI prikazuje razlog matcha, izvor i fallback.</w:t>
      </w:r>
    </w:p>
    <w:p>
      <w:pPr>
        <w:pStyle w:val="ListBullet"/>
      </w:pPr>
      <w:r>
        <w:t>Dokumentacija odgovara stvarnom stanju repoa.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Stranica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3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