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line="300"/>
        <w:jc w:val="center"/>
      </w:pPr>
      <w:r>
        <w:rPr>
          <w:rFonts w:ascii="Aptos" w:cs="Aptos" w:eastAsia="Aptos" w:hAnsi="Aptos"/>
          <w:b/>
          <w:bCs/>
          <w:color w:val="17365D"/>
          <w:sz w:val="34"/>
          <w:szCs w:val="34"/>
        </w:rPr>
        <w:t xml:space="preserve">FINAL PRE-SIGNOFF REVIEW</w:t>
      </w:r>
    </w:p>
    <w:p>
      <w:pPr>
        <w:spacing w:after="260" w:line="300"/>
        <w:jc w:val="center"/>
      </w:pPr>
      <w:r>
        <w:rPr>
          <w:rFonts w:ascii="Aptos" w:cs="Aptos" w:eastAsia="Aptos" w:hAnsi="Aptos"/>
          <w:b/>
          <w:bCs/>
          <w:color w:val="1F2937"/>
          <w:sz w:val="27"/>
          <w:szCs w:val="27"/>
        </w:rPr>
        <w:t xml:space="preserve">SecureProfit Hub — 12 FSD Clarification v0.07</w:t>
      </w:r>
    </w:p>
    <w:p>
      <w:pPr>
        <w:spacing w:after="130" w:line="300"/>
      </w:pPr>
      <w:r>
        <w:rPr>
          <w:rFonts w:ascii="Aptos" w:cs="Aptos" w:eastAsia="Aptos" w:hAnsi="Aptos"/>
          <w:b/>
          <w:bCs/>
          <w:color w:val="17365D"/>
          <w:sz w:val="22"/>
          <w:szCs w:val="22"/>
        </w:rPr>
        <w:t xml:space="preserve">Subject: Final Review of SPH-REC-CLARIF-01 v0.07 Before Baseline v1.00</w:t>
      </w:r>
    </w:p>
    <w:p>
      <w:pPr>
        <w:pStyle w:val="Heading1"/>
        <w:spacing w:after="100" w:before="240"/>
      </w:pPr>
      <w:r>
        <w:rPr>
          <w:rFonts w:ascii="Aptos Display" w:cs="Aptos Display" w:eastAsia="Aptos Display" w:hAnsi="Aptos Display"/>
          <w:b/>
          <w:bCs/>
          <w:color w:val="17365D"/>
        </w:rPr>
        <w:t xml:space="preserve">Executive Verdict</w:t>
      </w:r>
    </w:p>
    <w:p>
      <w:pPr>
        <w:spacing w:after="130" w:line="300"/>
      </w:pPr>
      <w:r>
        <w:rPr>
          <w:rFonts w:ascii="Aptos" w:cs="Aptos" w:eastAsia="Aptos" w:hAnsi="Aptos"/>
          <w:color w:val="1F2937"/>
          <w:sz w:val="22"/>
          <w:szCs w:val="22"/>
        </w:rPr>
        <w:t xml:space="preserve">Dokumen v0.07 sudah jauh lebih lengkap dan hampir layak menjadi Final Decision Baseline Candidate. Sebagian besar 10 permintaan revisi sebelumnya telah dipenuhi. Namun, masih terdapat empat koreksi teknis penting sebelum dokumen dapat diajukan untuk sign-off v1.00.</w:t>
      </w:r>
    </w:p>
    <w:p>
      <w:pPr>
        <w:pStyle w:val="Heading1"/>
        <w:spacing w:after="100" w:before="240"/>
      </w:pPr>
      <w:r>
        <w:rPr>
          <w:rFonts w:ascii="Aptos Display" w:cs="Aptos Display" w:eastAsia="Aptos Display" w:hAnsi="Aptos Display"/>
          <w:b/>
          <w:bCs/>
          <w:color w:val="17365D"/>
        </w:rPr>
        <w:t xml:space="preserve">Perbaikan yang Sudah Diterima</w:t>
      </w:r>
    </w:p>
    <w:p>
      <w:pPr>
        <w:pStyle w:val="ListParagraph"/>
        <w:numPr>
          <w:ilvl w:val="0"/>
          <w:numId w:val="1"/>
        </w:numPr>
        <w:spacing w:after="65" w:line="280"/>
      </w:pPr>
      <w:r>
        <w:t xml:space="preserve">Status keputusan sudah menggunakan PENDING APPROVAL dan APPROVED / IMPLEMENTED secara lebih tepat.</w:t>
      </w:r>
    </w:p>
    <w:p>
      <w:pPr>
        <w:pStyle w:val="ListParagraph"/>
        <w:numPr>
          <w:ilvl w:val="0"/>
          <w:numId w:val="1"/>
        </w:numPr>
        <w:spacing w:after="65" w:line="280"/>
      </w:pPr>
      <w:r>
        <w:t xml:space="preserve">Traceability matrix DEMO-01 sampai DEMO-12 sudah tersedia.</w:t>
      </w:r>
    </w:p>
    <w:p>
      <w:pPr>
        <w:pStyle w:val="ListParagraph"/>
        <w:numPr>
          <w:ilvl w:val="0"/>
          <w:numId w:val="1"/>
        </w:numPr>
        <w:spacing w:after="65" w:line="280"/>
      </w:pPr>
      <w:r>
        <w:t xml:space="preserve">DEMO-11 sudah memiliki dedicated decision section.</w:t>
      </w:r>
    </w:p>
    <w:p>
      <w:pPr>
        <w:pStyle w:val="ListParagraph"/>
        <w:numPr>
          <w:ilvl w:val="0"/>
          <w:numId w:val="1"/>
        </w:numPr>
        <w:spacing w:after="65" w:line="280"/>
      </w:pPr>
      <w:r>
        <w:t xml:space="preserve">Primary sector sudah memakai PostgreSQL partial unique index dan advisory lock.</w:t>
      </w:r>
    </w:p>
    <w:p>
      <w:pPr>
        <w:pStyle w:val="ListParagraph"/>
        <w:numPr>
          <w:ilvl w:val="0"/>
          <w:numId w:val="1"/>
        </w:numPr>
        <w:spacing w:after="65" w:line="280"/>
      </w:pPr>
      <w:r>
        <w:t xml:space="preserve">DEMO-12 Fase 2 sudah memiliki status PMO dan Finance terpisah serta executedBy relation.</w:t>
      </w:r>
    </w:p>
    <w:p>
      <w:pPr>
        <w:pStyle w:val="ListParagraph"/>
        <w:numPr>
          <w:ilvl w:val="0"/>
          <w:numId w:val="1"/>
        </w:numPr>
        <w:spacing w:after="65" w:line="280"/>
      </w:pPr>
      <w:r>
        <w:t xml:space="preserve">Pipedrive mapping sudah menggunakan connectionKey dan composite uniqueness.</w:t>
      </w:r>
    </w:p>
    <w:p>
      <w:pPr>
        <w:pStyle w:val="ListParagraph"/>
        <w:numPr>
          <w:ilvl w:val="0"/>
          <w:numId w:val="1"/>
        </w:numPr>
        <w:spacing w:after="65" w:line="280"/>
      </w:pPr>
      <w:r>
        <w:t xml:space="preserve">Lead numbering wording sudah mengakui exceptional gaps.</w:t>
      </w:r>
    </w:p>
    <w:p>
      <w:pPr>
        <w:pStyle w:val="ListParagraph"/>
        <w:numPr>
          <w:ilvl w:val="0"/>
          <w:numId w:val="1"/>
        </w:numPr>
        <w:spacing w:after="65" w:line="280"/>
      </w:pPr>
      <w:r>
        <w:t xml:space="preserve">Code example Lead number dan Presales template literal sudah diperbaiki.</w:t>
      </w:r>
    </w:p>
    <w:p>
      <w:pPr>
        <w:pStyle w:val="ListParagraph"/>
        <w:numPr>
          <w:ilvl w:val="0"/>
          <w:numId w:val="1"/>
        </w:numPr>
        <w:spacing w:after="65" w:line="280"/>
      </w:pPr>
      <w:r>
        <w:t xml:space="preserve">Local file links sudah diganti dengan portable document references.</w:t>
      </w:r>
    </w:p>
    <w:p>
      <w:pPr>
        <w:pStyle w:val="ListParagraph"/>
        <w:numPr>
          <w:ilvl w:val="0"/>
          <w:numId w:val="1"/>
        </w:numPr>
        <w:spacing w:after="65" w:line="280"/>
      </w:pPr>
      <w:r>
        <w:t xml:space="preserve">DEMO-12 Fase 1 dan Fase 2 tetap dibedakan dengan benar.</w:t>
      </w:r>
    </w:p>
    <w:p>
      <w:pPr>
        <w:pStyle w:val="Heading1"/>
        <w:spacing w:after="100" w:before="240"/>
      </w:pPr>
      <w:r>
        <w:rPr>
          <w:rFonts w:ascii="Aptos Display" w:cs="Aptos Display" w:eastAsia="Aptos Display" w:hAnsi="Aptos Display"/>
          <w:b/>
          <w:bCs/>
          <w:color w:val="17365D"/>
        </w:rPr>
        <w:t xml:space="preserve">Mandatory Corrections Before v1.00</w:t>
      </w:r>
    </w:p>
    <w:p>
      <w:pPr>
        <w:pStyle w:val="Heading2"/>
        <w:spacing w:after="100" w:before="240"/>
      </w:pPr>
      <w:r>
        <w:rPr>
          <w:rFonts w:ascii="Aptos Display" w:cs="Aptos Display" w:eastAsia="Aptos Display" w:hAnsi="Aptos Display"/>
          <w:b/>
          <w:bCs/>
          <w:color w:val="17365D"/>
        </w:rPr>
        <w:t xml:space="preserve">1. Selaraskan inactive-sector validation</w:t>
      </w:r>
    </w:p>
    <w:p>
      <w:pPr>
        <w:spacing w:after="130" w:line="300"/>
      </w:pPr>
      <w:r>
        <w:rPr>
          <w:rFonts w:ascii="Aptos" w:cs="Aptos" w:eastAsia="Aptos" w:hAnsi="Aptos"/>
          <w:color w:val="1F2937"/>
          <w:sz w:val="22"/>
          <w:szCs w:val="22"/>
        </w:rPr>
        <w:t xml:space="preserve">Decision 1.2 masih menghitung hanya active sectors, sedangkan Decision 1.5b menyatakan existing inactive sector tetap valid untuk historical classification. Lead lama yang hanya memiliki inactive sector akan lolos menurut Decision 1.5b tetapi gagal menurut validation Decision 1.2.</w:t>
      </w:r>
    </w:p>
    <w:p>
      <w:pPr>
        <w:spacing w:after="130" w:line="300"/>
      </w:pPr>
      <w:r>
        <w:rPr>
          <w:rFonts w:ascii="Aptos" w:cs="Aptos" w:eastAsia="Aptos" w:hAnsi="Aptos"/>
          <w:b/>
          <w:bCs/>
          <w:color w:val="1F2937"/>
          <w:sz w:val="22"/>
          <w:szCs w:val="22"/>
        </w:rPr>
        <w:t xml:space="preserve">Ganti aturan menjadi:</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Lead must have between 1 and 5 sector assignments before advancing to QUALIFIED or PROPOSAL. New assignments must reference active sectors, while existing inactive assignments remain valid until a defined reclassification trigger occurs.</w:t>
      </w:r>
    </w:p>
    <w:p>
      <w:pPr>
        <w:spacing w:after="130" w:line="300"/>
      </w:pPr>
      <w:r>
        <w:rPr>
          <w:rFonts w:ascii="Aptos" w:cs="Aptos" w:eastAsia="Aptos" w:hAnsi="Aptos"/>
          <w:color w:val="1F2937"/>
          <w:sz w:val="22"/>
          <w:szCs w:val="22"/>
        </w:rPr>
        <w:t xml:space="preserve">Pisahkan validasi menjadi:</w:t>
      </w:r>
    </w:p>
    <w:p>
      <w:pPr>
        <w:pStyle w:val="ListParagraph"/>
        <w:numPr>
          <w:ilvl w:val="0"/>
          <w:numId w:val="1"/>
        </w:numPr>
        <w:spacing w:after="65" w:line="280"/>
      </w:pPr>
      <w:r>
        <w:t xml:space="preserve">Total assignment harus 1–5.</w:t>
      </w:r>
    </w:p>
    <w:p>
      <w:pPr>
        <w:pStyle w:val="ListParagraph"/>
        <w:numPr>
          <w:ilvl w:val="0"/>
          <w:numId w:val="1"/>
        </w:numPr>
        <w:spacing w:after="65" w:line="280"/>
      </w:pPr>
      <w:r>
        <w:t xml:space="preserve">Sector baru harus aktif.</w:t>
      </w:r>
    </w:p>
    <w:p>
      <w:pPr>
        <w:pStyle w:val="ListParagraph"/>
        <w:numPr>
          <w:ilvl w:val="0"/>
          <w:numId w:val="1"/>
        </w:numPr>
        <w:spacing w:after="65" w:line="280"/>
      </w:pPr>
      <w:r>
        <w:t xml:space="preserve">Existing inactive assignment tetap diperbolehkan.</w:t>
      </w:r>
    </w:p>
    <w:p>
      <w:pPr>
        <w:pStyle w:val="ListParagraph"/>
        <w:numPr>
          <w:ilvl w:val="0"/>
          <w:numId w:val="1"/>
        </w:numPr>
        <w:spacing w:after="65" w:line="280"/>
      </w:pPr>
      <w:r>
        <w:t xml:space="preserve">SECTOR_RECLASSIFICATION_REQUIRED hanya muncul pada trigger bisnis yang disetujui.</w:t>
      </w:r>
    </w:p>
    <w:p>
      <w:pPr>
        <w:pStyle w:val="Heading2"/>
        <w:spacing w:after="100" w:before="240"/>
      </w:pPr>
      <w:r>
        <w:rPr>
          <w:rFonts w:ascii="Aptos Display" w:cs="Aptos Display" w:eastAsia="Aptos Display" w:hAnsi="Aptos Display"/>
          <w:b/>
          <w:bCs/>
          <w:color w:val="17365D"/>
        </w:rPr>
        <w:t xml:space="preserve">2. Jadikan Lead-number allocation atomik dengan Lead creation</w:t>
      </w:r>
    </w:p>
    <w:p>
      <w:pPr>
        <w:spacing w:after="130" w:line="300"/>
      </w:pPr>
      <w:r>
        <w:rPr>
          <w:rFonts w:ascii="Aptos" w:cs="Aptos" w:eastAsia="Aptos" w:hAnsi="Aptos"/>
          <w:color w:val="1F2937"/>
          <w:sz w:val="22"/>
          <w:szCs w:val="22"/>
        </w:rPr>
        <w:t xml:space="preserve">Contoh v0.07 membuat transaction terpisah untuk counter dan mengembalikan nomor sebelum Lead dibuat. Jika counter berhasil commit tetapi Lead creation gagal, nomor pasti menjadi gap. Ini tidak atomik terhadap Lead creation.</w:t>
      </w:r>
    </w:p>
    <w:p>
      <w:pPr>
        <w:spacing w:after="130" w:line="300"/>
      </w:pPr>
      <w:r>
        <w:rPr>
          <w:rFonts w:ascii="Aptos" w:cs="Aptos" w:eastAsia="Aptos" w:hAnsi="Aptos"/>
          <w:color w:val="1F2937"/>
          <w:sz w:val="22"/>
          <w:szCs w:val="22"/>
        </w:rPr>
        <w:t xml:space="preserve">Allocator harus menerima Prisma.TransactionClient dan dipanggil dalam transaction yang sama dengan Lead.create:</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async function allocateNextLeadNumber(
  tx: Prisma.TransactionClient,
): Promise&lt;string&gt; {
  const counter = await tx.leadNumberCounter.upsert({
    where: { year: jakartaYear },
    update: { currentSequence: { increment: 1 } },
    create: { year: jakartaYear, currentSequence: 1 },
  });
  return `LEAD-${jakartaYear}-${String(counter.currentSequence).padStart(4, "0")}`;
}</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await prisma.$transaction(async (tx) =&gt; {
  const leadNumber = await allocateNextLeadNumber(tx);
  return tx.lead.create({ data: { ...input, leadNumber } });
});</w:t>
      </w:r>
    </w:p>
    <w:p>
      <w:pPr>
        <w:spacing w:after="130" w:line="300"/>
      </w:pPr>
      <w:r>
        <w:rPr>
          <w:rFonts w:ascii="Aptos" w:cs="Aptos" w:eastAsia="Aptos" w:hAnsi="Aptos"/>
          <w:color w:val="1F2937"/>
          <w:sz w:val="22"/>
          <w:szCs w:val="22"/>
        </w:rPr>
        <w:t xml:space="preserve">Audit di luar transaction hanya digunakan untuk ambiguous commit, infrastructure/network failure, dan reconciliation. Audit tidak boleh mengasumsikan bahwa setiap caught error telah mengonsumsi nomor.</w:t>
      </w:r>
    </w:p>
    <w:p>
      <w:pPr>
        <w:pStyle w:val="Heading2"/>
        <w:spacing w:after="100" w:before="240"/>
      </w:pPr>
      <w:r>
        <w:rPr>
          <w:rFonts w:ascii="Aptos Display" w:cs="Aptos Display" w:eastAsia="Aptos Display" w:hAnsi="Aptos Display"/>
          <w:b/>
          <w:bCs/>
          <w:color w:val="17365D"/>
        </w:rPr>
        <w:t xml:space="preserve">3. Bedakan current schema dan target design ProjectBaseline</w:t>
      </w:r>
    </w:p>
    <w:p>
      <w:pPr>
        <w:spacing w:after="130" w:line="300"/>
      </w:pPr>
      <w:r>
        <w:rPr>
          <w:rFonts w:ascii="Aptos" w:cs="Aptos" w:eastAsia="Aptos" w:hAnsi="Aptos"/>
          <w:color w:val="1F2937"/>
          <w:sz w:val="22"/>
          <w:szCs w:val="22"/>
        </w:rPr>
        <w:t xml:space="preserve">Dokumen menyebut contoh DEMO-11 sebagai existing ProjectBaseline model, tetapi contoh tersebut tidak sama dengan schema aktual. Current model menggunakan ProjectBaselineSource enum, Float untuk nilai finansial, createdById, changeRequestId, startDate, endDate, dan tidak memiliki approvedById atau scopeSummary.</w:t>
      </w:r>
    </w:p>
    <w:p>
      <w:pPr>
        <w:spacing w:after="130" w:line="300"/>
      </w:pPr>
      <w:r>
        <w:rPr>
          <w:rFonts w:ascii="Aptos" w:cs="Aptos" w:eastAsia="Aptos" w:hAnsi="Aptos"/>
          <w:b/>
          <w:bCs/>
          <w:color w:val="1F2937"/>
          <w:sz w:val="22"/>
          <w:szCs w:val="22"/>
        </w:rPr>
        <w:t xml:space="preserve">Pilih salah satu penyajian:</w:t>
      </w:r>
    </w:p>
    <w:p>
      <w:pPr>
        <w:pStyle w:val="ListParagraph"/>
        <w:numPr>
          <w:ilvl w:val="0"/>
          <w:numId w:val="1"/>
        </w:numPr>
        <w:spacing w:after="65" w:line="280"/>
      </w:pPr>
      <w:r>
        <w:t xml:space="preserve">Jika menjelaskan current state, tampilkan schema aktual tanpa target fields.</w:t>
      </w:r>
    </w:p>
    <w:p>
      <w:pPr>
        <w:pStyle w:val="ListParagraph"/>
        <w:numPr>
          <w:ilvl w:val="0"/>
          <w:numId w:val="1"/>
        </w:numPr>
        <w:spacing w:after="65" w:line="280"/>
      </w:pPr>
      <w:r>
        <w:t xml:space="preserve">Jika menjelaskan target design, ubah judul menjadi “Proposed Target Extension to Existing ProjectBaseline Model” dan jelaskan migration, terutama perubahan Float ke Decimal.</w:t>
      </w:r>
    </w:p>
    <w:p>
      <w:pPr>
        <w:pStyle w:val="Heading2"/>
        <w:spacing w:after="100" w:before="240"/>
      </w:pPr>
      <w:r>
        <w:rPr>
          <w:rFonts w:ascii="Aptos Display" w:cs="Aptos Display" w:eastAsia="Aptos Display" w:hAnsi="Aptos Display"/>
          <w:b/>
          <w:bCs/>
          <w:color w:val="17365D"/>
        </w:rPr>
        <w:t xml:space="preserve">4. Tambahkan exactly-one-current concurrency dan idempotency untuk DEMO-11</w:t>
      </w:r>
    </w:p>
    <w:p>
      <w:pPr>
        <w:spacing w:after="130" w:line="300"/>
      </w:pPr>
      <w:r>
        <w:rPr>
          <w:rFonts w:ascii="Aptos" w:cs="Aptos" w:eastAsia="Aptos" w:hAnsi="Aptos"/>
          <w:color w:val="1F2937"/>
          <w:sz w:val="22"/>
          <w:szCs w:val="22"/>
        </w:rPr>
        <w:t xml:space="preserve">Existing @@index([projectId, isCurrent]) tidak mencegah dua current baselines. Algoritme updateMany → read latest → create juga belum aman terhadap request concurrent atau retry.</w:t>
      </w:r>
    </w:p>
    <w:p>
      <w:pPr>
        <w:spacing w:after="130" w:line="300"/>
      </w:pPr>
      <w:r>
        <w:rPr>
          <w:rFonts w:ascii="Aptos" w:cs="Aptos" w:eastAsia="Aptos" w:hAnsi="Aptos"/>
          <w:b/>
          <w:bCs/>
          <w:color w:val="1F2937"/>
          <w:sz w:val="22"/>
          <w:szCs w:val="22"/>
        </w:rPr>
        <w:t xml:space="preserve">Tambahkan partial unique index:</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CREATE UNIQUE INDEX one_current_baseline_per_project
ON "ProjectBaseline" ("projectId")
WHERE "isCurrent" = true;</w:t>
      </w:r>
    </w:p>
    <w:p>
      <w:pPr>
        <w:spacing w:after="130" w:line="300"/>
      </w:pPr>
      <w:r>
        <w:rPr>
          <w:rFonts w:ascii="Aptos" w:cs="Aptos" w:eastAsia="Aptos" w:hAnsi="Aptos"/>
          <w:color w:val="1F2937"/>
          <w:sz w:val="22"/>
          <w:szCs w:val="22"/>
        </w:rPr>
        <w:t xml:space="preserve">Tambahkan per-project advisory lock di dalam transaction:</w:t>
      </w:r>
    </w:p>
    <w:p>
      <w:pPr>
        <w:pBdr>
          <w:left w:val="single" w:color="94A3B8" w:sz="12"/>
        </w:pBdr>
        <w:shd w:fill="F1F5F9" w:val="clear"/>
        <w:spacing w:after="130" w:before="60"/>
        <w:ind w:left="360"/>
      </w:pPr>
      <w:r>
        <w:rPr>
          <w:rFonts w:ascii="Consolas" w:cs="Consolas" w:eastAsia="Consolas" w:hAnsi="Consolas"/>
          <w:color w:val="0F172A"/>
          <w:sz w:val="18"/>
          <w:szCs w:val="18"/>
        </w:rPr>
        <w:t xml:space="preserve">await tx.$executeRaw`
  SELECT pg_advisory_xact_lock(hashtext(${projectId}))
`;</w:t>
      </w:r>
    </w:p>
    <w:p>
      <w:pPr>
        <w:spacing w:after="130" w:line="300"/>
      </w:pPr>
      <w:r>
        <w:rPr>
          <w:rFonts w:ascii="Aptos" w:cs="Aptos" w:eastAsia="Aptos" w:hAnsi="Aptos"/>
          <w:b/>
          <w:bCs/>
          <w:color w:val="1F2937"/>
          <w:sz w:val="22"/>
          <w:szCs w:val="22"/>
        </w:rPr>
        <w:t xml:space="preserve">Idempotency rules:</w:t>
      </w:r>
    </w:p>
    <w:p>
      <w:pPr>
        <w:pStyle w:val="ListParagraph"/>
        <w:numPr>
          <w:ilvl w:val="0"/>
          <w:numId w:val="1"/>
        </w:numPr>
        <w:spacing w:after="65" w:line="280"/>
      </w:pPr>
      <w:r>
        <w:t xml:space="preserve">ACTIVATION tidak membuat baseline kedua jika activation baseline sudah ada.</w:t>
      </w:r>
    </w:p>
    <w:p>
      <w:pPr>
        <w:pStyle w:val="ListParagraph"/>
        <w:numPr>
          <w:ilvl w:val="0"/>
          <w:numId w:val="1"/>
        </w:numPr>
        <w:spacing w:after="65" w:line="280"/>
      </w:pPr>
      <w:r>
        <w:t xml:space="preserve">Satu CHANGE_REQUEST hanya dapat menghasilkan satu baseline.</w:t>
      </w:r>
    </w:p>
    <w:p>
      <w:pPr>
        <w:pStyle w:val="ListParagraph"/>
        <w:numPr>
          <w:ilvl w:val="0"/>
          <w:numId w:val="1"/>
        </w:numPr>
        <w:spacing w:after="65" w:line="280"/>
      </w:pPr>
      <w:r>
        <w:t xml:space="preserve">Gunakan unique constraint atau atomic claim pada changeRequestId.</w:t>
      </w:r>
    </w:p>
    <w:p>
      <w:pPr>
        <w:pStyle w:val="ListParagraph"/>
        <w:numPr>
          <w:ilvl w:val="0"/>
          <w:numId w:val="1"/>
        </w:numPr>
        <w:spacing w:after="65" w:line="280"/>
      </w:pPr>
      <w:r>
        <w:t xml:space="preserve">Flip current dan create baseline baru harus berada dalam satu transaction.</w:t>
      </w:r>
    </w:p>
    <w:p>
      <w:pPr>
        <w:spacing w:after="130" w:line="300"/>
      </w:pPr>
      <w:r>
        <w:rPr>
          <w:rFonts w:ascii="Aptos" w:cs="Aptos" w:eastAsia="Aptos" w:hAnsi="Aptos"/>
          <w:color w:val="1F2937"/>
          <w:sz w:val="22"/>
          <w:szCs w:val="22"/>
        </w:rPr>
        <w:t xml:space="preserve">Partial unique index menjamin at most one current. At-least-one current tetap harus dijamin oleh lifecycle transaction dan reconciliation.</w:t>
      </w:r>
    </w:p>
    <w:p>
      <w:pPr>
        <w:pStyle w:val="Heading1"/>
        <w:spacing w:after="100" w:before="240"/>
      </w:pPr>
      <w:r>
        <w:rPr>
          <w:rFonts w:ascii="Aptos Display" w:cs="Aptos Display" w:eastAsia="Aptos Display" w:hAnsi="Aptos Display"/>
          <w:b/>
          <w:bCs/>
          <w:color w:val="17365D"/>
        </w:rPr>
        <w:t xml:space="preserve">Traceability Matrix Corrections</w:t>
      </w:r>
    </w:p>
    <w:p>
      <w:pPr>
        <w:pStyle w:val="Heading2"/>
        <w:spacing w:after="100" w:before="240"/>
      </w:pPr>
      <w:r>
        <w:rPr>
          <w:rFonts w:ascii="Aptos Display" w:cs="Aptos Display" w:eastAsia="Aptos Display" w:hAnsi="Aptos Display"/>
          <w:b/>
          <w:bCs/>
          <w:color w:val="17365D"/>
        </w:rPr>
        <w:t xml:space="preserve">DEMO-07 — Pipedrive</w:t>
      </w:r>
    </w:p>
    <w:p>
      <w:pPr>
        <w:spacing w:after="130" w:line="300"/>
      </w:pPr>
      <w:r>
        <w:rPr>
          <w:rFonts w:ascii="Aptos" w:cs="Aptos" w:eastAsia="Aptos" w:hAnsi="Aptos"/>
          <w:color w:val="1F2937"/>
          <w:sz w:val="22"/>
          <w:szCs w:val="22"/>
        </w:rPr>
        <w:t xml:space="preserve">Status NOT IMPLEMENTED / NOT TESTED terlalu luas karena basic Pipedrive deal import dan converted-lead protection sudah tersedia. Gunakan rincian:</w:t>
      </w:r>
    </w:p>
    <w:p>
      <w:pPr>
        <w:pStyle w:val="ListParagraph"/>
        <w:numPr>
          <w:ilvl w:val="0"/>
          <w:numId w:val="1"/>
        </w:numPr>
        <w:spacing w:after="65" w:line="280"/>
      </w:pPr>
      <w:r>
        <w:t xml:space="preserve">Basic Deal Import: IMPLEMENTED</w:t>
      </w:r>
    </w:p>
    <w:p>
      <w:pPr>
        <w:pStyle w:val="ListParagraph"/>
        <w:numPr>
          <w:ilvl w:val="0"/>
          <w:numId w:val="1"/>
        </w:numPr>
        <w:spacing w:after="65" w:line="280"/>
      </w:pPr>
      <w:r>
        <w:t xml:space="preserve">Converted Lead Protection: IMPLEMENTED</w:t>
      </w:r>
    </w:p>
    <w:p>
      <w:pPr>
        <w:pStyle w:val="ListParagraph"/>
        <w:numPr>
          <w:ilvl w:val="0"/>
          <w:numId w:val="1"/>
        </w:numPr>
        <w:spacing w:after="65" w:line="280"/>
      </w:pPr>
      <w:r>
        <w:t xml:space="preserve">Product Mapping: NOT IMPLEMENTED</w:t>
      </w:r>
    </w:p>
    <w:p>
      <w:pPr>
        <w:pStyle w:val="ListParagraph"/>
        <w:numPr>
          <w:ilvl w:val="0"/>
          <w:numId w:val="1"/>
        </w:numPr>
        <w:spacing w:after="65" w:line="280"/>
      </w:pPr>
      <w:r>
        <w:t xml:space="preserve">Sector/Cost Quarantine: NOT IMPLEMENTED</w:t>
      </w:r>
    </w:p>
    <w:p>
      <w:pPr>
        <w:pStyle w:val="ListParagraph"/>
        <w:numPr>
          <w:ilvl w:val="0"/>
          <w:numId w:val="1"/>
        </w:numPr>
        <w:spacing w:after="65" w:line="280"/>
      </w:pPr>
      <w:r>
        <w:t xml:space="preserve">Overall DEMO-07: PARTIALLY IMPLEMENTED</w:t>
      </w:r>
    </w:p>
    <w:p>
      <w:pPr>
        <w:pStyle w:val="Heading2"/>
        <w:spacing w:after="100" w:before="240"/>
      </w:pPr>
      <w:r>
        <w:rPr>
          <w:rFonts w:ascii="Aptos Display" w:cs="Aptos Display" w:eastAsia="Aptos Display" w:hAnsi="Aptos Display"/>
          <w:b/>
          <w:bCs/>
          <w:color w:val="17365D"/>
        </w:rPr>
        <w:t xml:space="preserve">DEMO-11 — Project Baseline</w:t>
      </w:r>
    </w:p>
    <w:p>
      <w:pPr>
        <w:spacing w:after="130" w:line="300"/>
      </w:pPr>
      <w:r>
        <w:rPr>
          <w:rFonts w:ascii="Aptos" w:cs="Aptos" w:eastAsia="Aptos" w:hAnsi="Aptos"/>
          <w:color w:val="1F2937"/>
          <w:sz w:val="22"/>
          <w:szCs w:val="22"/>
        </w:rPr>
        <w:t xml:space="preserve">Status PARTIALLY IMPLEMENTED sudah tepat, tetapi evidence harus dibedakan:</w:t>
      </w:r>
    </w:p>
    <w:p>
      <w:pPr>
        <w:pStyle w:val="ListParagraph"/>
        <w:numPr>
          <w:ilvl w:val="0"/>
          <w:numId w:val="1"/>
        </w:numPr>
        <w:spacing w:after="65" w:line="280"/>
      </w:pPr>
      <w:r>
        <w:t xml:space="preserve">ProjectBaseline core model: EXISTING.</w:t>
      </w:r>
    </w:p>
    <w:p>
      <w:pPr>
        <w:pStyle w:val="ListParagraph"/>
        <w:numPr>
          <w:ilvl w:val="0"/>
          <w:numId w:val="1"/>
        </w:numPr>
        <w:spacing w:after="65" w:line="280"/>
      </w:pPr>
      <w:r>
        <w:t xml:space="preserve">Activation/change-request baseline lifecycle: EXISTING/PARTIAL sesuai current flow.</w:t>
      </w:r>
    </w:p>
    <w:p>
      <w:pPr>
        <w:pStyle w:val="ListParagraph"/>
        <w:numPr>
          <w:ilvl w:val="0"/>
          <w:numId w:val="1"/>
        </w:numPr>
        <w:spacing w:after="65" w:line="280"/>
      </w:pPr>
      <w:r>
        <w:t xml:space="preserve">CommercialBudgetRevision-to-Baseline auto-sync: NOT IMPLEMENTED.</w:t>
      </w:r>
    </w:p>
    <w:p>
      <w:pPr>
        <w:pStyle w:val="ListParagraph"/>
        <w:numPr>
          <w:ilvl w:val="0"/>
          <w:numId w:val="1"/>
        </w:numPr>
        <w:spacing w:after="65" w:line="280"/>
      </w:pPr>
      <w:r>
        <w:t xml:space="preserve">DEMO-11 end-to-end integration: NOT TESTED.</w:t>
      </w:r>
    </w:p>
    <w:p>
      <w:pPr>
        <w:pStyle w:val="Heading1"/>
        <w:spacing w:after="100" w:before="240"/>
      </w:pPr>
      <w:r>
        <w:rPr>
          <w:rFonts w:ascii="Aptos Display" w:cs="Aptos Display" w:eastAsia="Aptos Display" w:hAnsi="Aptos Display"/>
          <w:b/>
          <w:bCs/>
          <w:color w:val="17365D"/>
        </w:rPr>
        <w:t xml:space="preserve">Final Assessment</w:t>
      </w:r>
    </w:p>
    <w:p>
      <w:pPr>
        <w:spacing w:after="130" w:line="300"/>
      </w:pPr>
      <w:r>
        <w:rPr>
          <w:rFonts w:ascii="Aptos" w:cs="Aptos" w:eastAsia="Aptos" w:hAnsi="Aptos"/>
          <w:b/>
          <w:bCs/>
          <w:color w:val="B91C1C"/>
          <w:sz w:val="22"/>
          <w:szCs w:val="22"/>
        </w:rPr>
        <w:t xml:space="preserve">ACCEPTED WITH FOUR MANDATORY CORRECTIONS — v0.07 dapat dipertahankan sebagai Final Pre-Signoff Draft. Setelah empat blocker teknis dan dua koreksi traceability diselesaikan, dokumen dapat diajukan untuk stakeholder sign-off.</w:t>
      </w:r>
    </w:p>
    <w:p>
      <w:pPr>
        <w:spacing w:after="130" w:line="300"/>
      </w:pPr>
      <w:r>
        <w:rPr>
          <w:rFonts w:ascii="Aptos" w:cs="Aptos" w:eastAsia="Aptos" w:hAnsi="Aptos"/>
          <w:b/>
          <w:bCs/>
          <w:color w:val="17365D"/>
          <w:sz w:val="22"/>
          <w:szCs w:val="22"/>
        </w:rPr>
        <w:t xml:space="preserve">Status v1.00 harus berarti approved decision baseline, bukan berarti seluruh 12 FSD sudah diimplementasikan atau diuji.</w:t>
      </w:r>
    </w:p>
    <w:sectPr>
      <w:headerReference w:type="default" r:id="rId7"/>
      <w:footerReference w:type="default" r:id="rId8"/>
      <w:pgSz w:w="11906" w:h="16838" w:orient="portrait"/>
      <w:pgMar w:top="850" w:right="900" w:bottom="85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64748B"/>
        <w:sz w:val="16"/>
        <w:szCs w:val="16"/>
      </w:rPr>
      <w:t xml:space="preserve">SPH-REC-CLARIF-01 v0.07 — Mandatory Corrections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ptos" w:cs="Aptos" w:eastAsia="Aptos" w:hAnsi="Aptos"/>
        <w:color w:val="64748B"/>
        <w:sz w:val="16"/>
        <w:szCs w:val="16"/>
      </w:rPr>
      <w:t xml:space="preserve">SECUREPROFIT HUB — FINAL PRE-SIGNOFF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F2937"/>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SPH 12 FSD v0.07 Final Pre-Signoff Review</dc:title>
  <dc:subject>Mandatory corrections before baseline v1.00</dc:subject>
  <dc:creator>SecureProfit Hub Review</dc:creator>
  <cp:lastModifiedBy>Un-named</cp:lastModifiedBy>
  <cp:revision>1</cp:revision>
  <dcterms:created xsi:type="dcterms:W3CDTF">2026-09-01T10:44:16.028Z</dcterms:created>
  <dcterms:modified xsi:type="dcterms:W3CDTF">2026-09-01T10:44:16.029Z</dcterms:modified>
</cp:coreProperties>
</file>

<file path=docProps/custom.xml><?xml version="1.0" encoding="utf-8"?>
<Properties xmlns="http://schemas.openxmlformats.org/officeDocument/2006/custom-properties" xmlns:vt="http://schemas.openxmlformats.org/officeDocument/2006/docPropsVTypes"/>
</file>