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00"/>
      </w:pPr>
      <w:r>
        <w:rPr>
          <w:b/>
          <w:bCs/>
          <w:color w:val="C2410C"/>
          <w:sz w:val="18"/>
          <w:szCs w:val="18"/>
          <w:rFonts w:ascii="Calibri" w:cs="Calibri" w:eastAsia="Calibri" w:hAnsi="Calibri"/>
        </w:rPr>
        <w:t xml:space="preserve">BENCHMARK INTERNAL · MEI 2026</w:t>
      </w:r>
    </w:p>
    <w:p>
      <w:pPr>
        <w:spacing w:after="100"/>
      </w:pPr>
      <w:r>
        <w:rPr>
          <w:b/>
          <w:bCs/>
          <w:color w:val="0F2C5C"/>
          <w:sz w:val="56"/>
          <w:szCs w:val="56"/>
          <w:rFonts w:ascii="Calibri" w:cs="Calibri" w:eastAsia="Calibri" w:hAnsi="Calibri"/>
        </w:rPr>
        <w:t xml:space="preserve">Gap Analysis</w:t>
      </w:r>
    </w:p>
    <w:p>
      <w:pPr>
        <w:spacing w:after="200"/>
      </w:pPr>
      <w:r>
        <w:rPr>
          <w:b/>
          <w:bCs/>
          <w:color w:val="111827"/>
          <w:sz w:val="36"/>
          <w:szCs w:val="36"/>
          <w:rFonts w:ascii="Calibri" w:cs="Calibri" w:eastAsia="Calibri" w:hAnsi="Calibri"/>
        </w:rPr>
        <w:t xml:space="preserve">SecureProfit Hub  vs  PSOHUB</w:t>
      </w:r>
    </w:p>
    <w:p>
      <w:pPr>
        <w:spacing w:before="0" w:after="200"/>
        <w:jc w:val="left"/>
      </w:pPr>
      <w:r>
        <w:rPr>
          <w:color w:val="475569"/>
          <w:sz w:val="22"/>
          <w:szCs w:val="22"/>
          <w:rFonts w:ascii="Calibri" w:cs="Calibri" w:eastAsia="Calibri" w:hAnsi="Calibri"/>
        </w:rPr>
        <w:t xml:space="preserve">Analisis komparatif fitur SecureProfit Hub (kondisi saat ini) terhadap PSOHUB sebagai referensi platform Professional Services Automation (PSA) yang sudah matang. Disusun untuk membantu memutuskan roadmap prioritas berikutnya.</w:t>
      </w:r>
    </w:p>
    <w:p>
      <w:pPr>
        <w:spacing w:before="0" w:after="100"/>
        <w:jc w:val="left"/>
      </w:pPr>
      <w:r>
        <w:rPr>
          <w:color w:val="111827"/>
          <w:sz w:val="20"/>
          <w:szCs w:val="20"/>
          <w:rFonts w:ascii="Calibri" w:cs="Calibri" w:eastAsia="Calibri" w:hAnsi="Calibri"/>
        </w:rPr>
      </w:r>
    </w:p>
    <w:p>
      <w:pPr>
        <w:pBdr>
          <w:left w:val="single" w:color="C2410C" w:sz="24"/>
        </w:pBdr>
        <w:shd w:fill="FDF3E0" w:color="auto" w:val="clear"/>
        <w:spacing w:before="160" w:after="160"/>
      </w:pPr>
      <w:r>
        <w:rPr>
          <w:i/>
          <w:iCs/>
          <w:color w:val="0F2C5C"/>
          <w:sz w:val="20"/>
          <w:szCs w:val="20"/>
          <w:rFonts w:ascii="Calibri" w:cs="Calibri" w:eastAsia="Calibri" w:hAnsi="Calibri"/>
        </w:rPr>
        <w:t xml:space="preserve">Catatan metodologi: PSOHUB adalah platform PSA komersial untuk firma jasa profesional global (consulting, IT services, agency). SecureProfit Hub adalah aplikasi internal khusus konsultansi IT security berbahasa Indonesia. Sebagian fitur PSOHUB tidak relevan untuk SecureProfit Hub karena perbedaan scope, single-tenant, dan ukuran organisasi — kolom "Gap" dan "Prioritas" sudah mempertimbangkan ini.</w:t>
      </w:r>
    </w:p>
    <w:p>
      <w:r>
        <w:br w:type="page"/>
      </w:r>
    </w:p>
    <w:p>
      <w:pPr>
        <w:spacing w:before="120" w:after="60"/>
      </w:pPr>
      <w:r>
        <w:rPr>
          <w:b/>
          <w:bCs/>
          <w:color w:val="C2410C"/>
          <w:sz w:val="16"/>
          <w:szCs w:val="16"/>
          <w:rFonts w:ascii="Calibri" w:cs="Calibri" w:eastAsia="Calibri" w:hAnsi="Calibri"/>
        </w:rPr>
        <w:t xml:space="preserve">01</w:t>
      </w:r>
    </w:p>
    <w:p>
      <w:pPr>
        <w:spacing w:before="360" w:after="180"/>
      </w:pPr>
      <w:r>
        <w:rPr>
          <w:b/>
          <w:bCs/>
          <w:color w:val="0F2C5C"/>
          <w:sz w:val="32"/>
          <w:szCs w:val="32"/>
          <w:rFonts w:ascii="Calibri" w:cs="Calibri" w:eastAsia="Calibri" w:hAnsi="Calibri"/>
        </w:rPr>
        <w:t xml:space="preserve">Ringkasan Eksekutif</w:t>
      </w:r>
    </w:p>
    <w:p>
      <w:pPr>
        <w:pBdr>
          <w:bottom w:val="single" w:color="D6CFC1" w:sz="8"/>
        </w:pBdr>
        <w:spacing w:after="160"/>
      </w:pPr>
    </w:p>
    <w:p>
      <w:pPr>
        <w:spacing w:before="0" w:after="160"/>
        <w:jc w:val="left"/>
      </w:pPr>
      <w:r>
        <w:rPr>
          <w:color w:val="475569"/>
          <w:sz w:val="20"/>
          <w:szCs w:val="20"/>
          <w:rFonts w:ascii="Calibri" w:cs="Calibri" w:eastAsia="Calibri" w:hAnsi="Calibri"/>
        </w:rPr>
        <w:t xml:space="preserve">Tabel berikut merangkum posisi SecureProfit Hub vs PSOHUB pada 18 aspek inti platform PSA, beserta penilaian status (setara, gap kecil/menengah/besar, atau unggul).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Aspek</w:t>
            </w:r>
          </w:p>
        </w:tc>
        <w:tc>
          <w:tcPr>
            <w:tcW w:type="dxa" w:w="30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7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4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Status</w:t>
            </w:r>
          </w:p>
        </w:tc>
      </w:tr>
      <w:tr>
        <w:tc>
          <w:tcPr>
            <w:tcW w:type="dxa" w:w="19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Manajemen Project</w:t>
            </w:r>
          </w:p>
        </w:tc>
        <w:tc>
          <w:tcPr>
            <w:tcW w:type="dxa" w:w="30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lifecycle 5 status, PMO assignment, WBS multi-level, multi-assignee task, Gantt drag-resize + dependency arrows</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WBS, dependensi, baseline, milestone</w:t>
            </w:r>
          </w:p>
        </w:tc>
        <w:tc>
          <w:tcPr>
            <w:tcW w:type="dxa" w:w="14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19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Time Tracking</w:t>
            </w:r>
          </w:p>
        </w:tc>
        <w:tc>
          <w:tcPr>
            <w:tcW w:type="dxa" w:w="30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Draft→Submitted→Approved/Rejected, link ke Task, billable flag via Task, edit window 5 hari</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web + mobile native, timer, billable/non-billable</w:t>
            </w:r>
          </w:p>
        </w:tc>
        <w:tc>
          <w:tcPr>
            <w:tcW w:type="dxa" w:w="14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 fungsional</w:t>
            </w:r>
          </w:p>
        </w:tc>
      </w:tr>
      <w:tr>
        <w:tc>
          <w:tcPr>
            <w:tcW w:type="dxa" w:w="19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Profitabilitas Real-time</w:t>
            </w:r>
          </w:p>
        </w:tc>
        <w:tc>
          <w:tcPr>
            <w:tcW w:type="dxa" w:w="30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resourceCost + APPROVED expense saja, marginPct, forecast linear</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margin per project / per resource / per phase</w:t>
            </w:r>
          </w:p>
        </w:tc>
        <w:tc>
          <w:tcPr>
            <w:tcW w:type="dxa" w:w="14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19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Resource Planning</w:t>
            </w:r>
          </w:p>
        </w:tc>
        <w:tc>
          <w:tcPr>
            <w:tcW w:type="dxa" w:w="30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matrix per BU per minggu, color-coded load, propose flow Principal→PM, skill catalog</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Sangat kuat — heatmap multi-bulan, skill matching, scenario planning, soft/hard booking</w:t>
            </w:r>
          </w:p>
        </w:tc>
        <w:tc>
          <w:tcPr>
            <w:tcW w:type="dxa" w:w="14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Gap menengah</w:t>
            </w:r>
          </w:p>
        </w:tc>
      </w:tr>
      <w:tr>
        <w:tc>
          <w:tcPr>
            <w:tcW w:type="dxa" w:w="19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Kontrak / SOW / Proposal</w:t>
            </w:r>
          </w:p>
        </w:tc>
        <w:tc>
          <w:tcPr>
            <w:tcW w:type="dxa" w:w="30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 — hanya kolom contractValue + SPK + upload Document.CONTRACT</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Sangat kuat — template proposal, e-signature, kontrak otomatis jadi project</w:t>
            </w:r>
          </w:p>
        </w:tc>
        <w:tc>
          <w:tcPr>
            <w:tcW w:type="dxa" w:w="1400"/>
            <w:shd w:fill="FFFFFF"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Gap besar</w:t>
            </w:r>
          </w:p>
        </w:tc>
      </w:tr>
      <w:tr>
        <w:tc>
          <w:tcPr>
            <w:tcW w:type="dxa" w:w="19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Billing &amp; Invoicing</w:t>
            </w:r>
          </w:p>
        </w:tc>
        <w:tc>
          <w:tcPr>
            <w:tcW w:type="dxa" w:w="30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Cukup — BillingMilestone (Terms of Payment) dengan status Planned/Invoiced/Paid, tapi belum generate PDF invoice</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Sangat kuat — auto-invoice dari approved timesheet, T&amp;M / fixed / milestone / retainer, PDF + email</w:t>
            </w:r>
          </w:p>
        </w:tc>
        <w:tc>
          <w:tcPr>
            <w:tcW w:type="dxa" w:w="1400"/>
            <w:shd w:fill="F5F2EA"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Gap besar</w:t>
            </w:r>
          </w:p>
        </w:tc>
      </w:tr>
      <w:tr>
        <w:tc>
          <w:tcPr>
            <w:tcW w:type="dxa" w:w="19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CRM / Pipeline Sales</w:t>
            </w:r>
          </w:p>
        </w:tc>
        <w:tc>
          <w:tcPr>
            <w:tcW w:type="dxa" w:w="30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Minimal — Sales intake form 4 field langsung jadi DRAFT project</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Sangat kuat — integrasi native HubSpot/Salesforce, deal closed-won → project</w:t>
            </w:r>
          </w:p>
        </w:tc>
        <w:tc>
          <w:tcPr>
            <w:tcW w:type="dxa" w:w="1400"/>
            <w:shd w:fill="FFFFFF"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Gap besar (kontekstual)</w:t>
            </w:r>
          </w:p>
        </w:tc>
      </w:tr>
      <w:tr>
        <w:tc>
          <w:tcPr>
            <w:tcW w:type="dxa" w:w="19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Approval Workflow</w:t>
            </w:r>
          </w:p>
        </w:tc>
        <w:tc>
          <w:tcPr>
            <w:tcW w:type="dxa" w:w="30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timesheet &amp; expense approval oleh PM/MGMT, Approve All untuk inbox PM</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multi-level configurable (timesheet, expense, invoice)</w:t>
            </w:r>
          </w:p>
        </w:tc>
        <w:tc>
          <w:tcPr>
            <w:tcW w:type="dxa" w:w="14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Gap kecil</w:t>
            </w:r>
          </w:p>
        </w:tc>
      </w:tr>
      <w:tr>
        <w:tc>
          <w:tcPr>
            <w:tcW w:type="dxa" w:w="19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Expense Management</w:t>
            </w:r>
          </w:p>
        </w:tc>
        <w:tc>
          <w:tcPr>
            <w:tcW w:type="dxa" w:w="30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5 kategori, status Pending/Approved/Rejected, hanya APPROVED yang masuk margin</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receipt upload + OCR, mileage, auto-billable, multi-level approval</w:t>
            </w:r>
          </w:p>
        </w:tc>
        <w:tc>
          <w:tcPr>
            <w:tcW w:type="dxa" w:w="14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Gap menengah</w:t>
            </w:r>
          </w:p>
        </w:tc>
      </w:tr>
      <w:tr>
        <w:tc>
          <w:tcPr>
            <w:tcW w:type="dxa" w:w="19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Document Management</w:t>
            </w:r>
          </w:p>
        </w:tc>
        <w:tc>
          <w:tcPr>
            <w:tcW w:type="dxa" w:w="30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Cukup — BAST/Invoice/Contract/Report/Other, base64 di DB</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versi, folder, integrasi Google Drive / SharePoint / Dropbox</w:t>
            </w:r>
          </w:p>
        </w:tc>
        <w:tc>
          <w:tcPr>
            <w:tcW w:type="dxa" w:w="14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Gap kecil</w:t>
            </w:r>
          </w:p>
        </w:tc>
      </w:tr>
      <w:tr>
        <w:tc>
          <w:tcPr>
            <w:tcW w:type="dxa" w:w="19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Reporting &amp; BI</w:t>
            </w:r>
          </w:p>
        </w:tc>
        <w:tc>
          <w:tcPr>
            <w:tcW w:type="dxa" w:w="30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Cukup — 6 dashboard per role, CSV export di banyak modul</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Sangat kuat — custom report builder, scheduled email, connector Power BI/Tableau</w:t>
            </w:r>
          </w:p>
        </w:tc>
        <w:tc>
          <w:tcPr>
            <w:tcW w:type="dxa" w:w="14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Gap menengah</w:t>
            </w:r>
          </w:p>
        </w:tc>
      </w:tr>
      <w:tr>
        <w:tc>
          <w:tcPr>
            <w:tcW w:type="dxa" w:w="19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Audit Trail</w:t>
            </w:r>
          </w:p>
        </w:tc>
        <w:tc>
          <w:tcPr>
            <w:tcW w:type="dxa" w:w="30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Activity table + page khusus SITE_ADMIN, audit di setiap perubahan entity</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w:t>
            </w:r>
          </w:p>
        </w:tc>
        <w:tc>
          <w:tcPr>
            <w:tcW w:type="dxa" w:w="14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19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Survey / Feedback Klien</w:t>
            </w:r>
          </w:p>
        </w:tc>
        <w:tc>
          <w:tcPr>
            <w:tcW w:type="dxa" w:w="30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token publik, SurveyTab di project detail</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menjadi fokus</w:t>
            </w:r>
          </w:p>
        </w:tc>
        <w:tc>
          <w:tcPr>
            <w:tcW w:type="dxa" w:w="14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SecureProfit unggul</w:t>
            </w:r>
          </w:p>
        </w:tc>
      </w:tr>
      <w:tr>
        <w:tc>
          <w:tcPr>
            <w:tcW w:type="dxa" w:w="19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Hierarki Principal Supervisor</w:t>
            </w:r>
          </w:p>
        </w:tc>
        <w:tc>
          <w:tcPr>
            <w:tcW w:type="dxa" w:w="30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3 Principal (Konsultan / Technical Writer / Admin Project) dengan flow propose-resource</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 konsep persis ini</w:t>
            </w:r>
          </w:p>
        </w:tc>
        <w:tc>
          <w:tcPr>
            <w:tcW w:type="dxa" w:w="14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SecureProfit unggul untuk struktur ITSEC</w:t>
            </w:r>
          </w:p>
        </w:tc>
      </w:tr>
      <w:tr>
        <w:tc>
          <w:tcPr>
            <w:tcW w:type="dxa" w:w="19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Mobile Native App</w:t>
            </w:r>
          </w:p>
        </w:tc>
        <w:tc>
          <w:tcPr>
            <w:tcW w:type="dxa" w:w="30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 — web responsive saja</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iOS + Android dengan timer &amp; geofencing</w:t>
            </w:r>
          </w:p>
        </w:tc>
        <w:tc>
          <w:tcPr>
            <w:tcW w:type="dxa" w:w="1400"/>
            <w:shd w:fill="FFFFFF"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Gap besar</w:t>
            </w:r>
          </w:p>
        </w:tc>
      </w:tr>
      <w:tr>
        <w:tc>
          <w:tcPr>
            <w:tcW w:type="dxa" w:w="19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Integrasi Eksternal</w:t>
            </w:r>
          </w:p>
        </w:tc>
        <w:tc>
          <w:tcPr>
            <w:tcW w:type="dxa" w:w="30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 (OpenAPI internal saja)</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HubSpot, Salesforce, QuickBooks, Xero, Outlook, Slack, Zapier</w:t>
            </w:r>
          </w:p>
        </w:tc>
        <w:tc>
          <w:tcPr>
            <w:tcW w:type="dxa" w:w="1400"/>
            <w:shd w:fill="F5F2EA"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Gap besar (kontekstual)</w:t>
            </w:r>
          </w:p>
        </w:tc>
      </w:tr>
      <w:tr>
        <w:tc>
          <w:tcPr>
            <w:tcW w:type="dxa" w:w="19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Multi-Tenancy / Multi-Currency</w:t>
            </w:r>
          </w:p>
        </w:tc>
        <w:tc>
          <w:tcPr>
            <w:tcW w:type="dxa" w:w="30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 single-tenant, IDR only</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Ya — multi-currency, multi-entity</w:t>
            </w:r>
          </w:p>
        </w:tc>
        <w:tc>
          <w:tcPr>
            <w:tcW w:type="dxa" w:w="1400"/>
            <w:shd w:fill="FFFFFF" w:color="auto" w:val="clear"/>
            <w:tcMar>
              <w:top w:type="dxa" w:w="80"/>
              <w:left w:type="dxa" w:w="110"/>
              <w:bottom w:type="dxa" w:w="80"/>
              <w:right w:type="dxa" w:w="110"/>
            </w:tcMar>
            <w:vAlign w:val="center"/>
          </w:tcPr>
          <w:p>
            <w:pPr>
              <w:jc w:val="center"/>
            </w:pPr>
            <w:r>
              <w:rPr>
                <w:b/>
                <w:bCs/>
                <w:color w:val="475569"/>
                <w:sz w:val="18"/>
                <w:szCs w:val="18"/>
                <w:rFonts w:ascii="Calibri" w:cs="Calibri" w:eastAsia="Calibri" w:hAnsi="Calibri"/>
              </w:rPr>
              <w:t xml:space="preserve">Tidak relevan untuk firma single-entity ID</w:t>
            </w:r>
          </w:p>
        </w:tc>
      </w:tr>
      <w:tr>
        <w:tc>
          <w:tcPr>
            <w:tcW w:type="dxa" w:w="19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Notifikasi (Email / Slack)</w:t>
            </w:r>
          </w:p>
        </w:tc>
        <w:tc>
          <w:tcPr>
            <w:tcW w:type="dxa" w:w="30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Cukup — in-app notification saja</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Kuat — email digest, Slack, mobile push, daily/weekly reminder</w:t>
            </w:r>
          </w:p>
        </w:tc>
        <w:tc>
          <w:tcPr>
            <w:tcW w:type="dxa" w:w="14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Gap menengah</w:t>
            </w:r>
          </w:p>
        </w:tc>
      </w:tr>
    </w:tbl>
    <w:p>
      <w:r>
        <w:br w:type="page"/>
      </w:r>
    </w:p>
    <w:p>
      <w:pPr>
        <w:spacing w:before="120" w:after="60"/>
      </w:pPr>
      <w:r>
        <w:rPr>
          <w:b/>
          <w:bCs/>
          <w:color w:val="C2410C"/>
          <w:sz w:val="16"/>
          <w:szCs w:val="16"/>
          <w:rFonts w:ascii="Calibri" w:cs="Calibri" w:eastAsia="Calibri" w:hAnsi="Calibri"/>
        </w:rPr>
        <w:t xml:space="preserve">02</w:t>
      </w:r>
    </w:p>
    <w:p>
      <w:pPr>
        <w:spacing w:before="360" w:after="180"/>
      </w:pPr>
      <w:r>
        <w:rPr>
          <w:b/>
          <w:bCs/>
          <w:color w:val="0F2C5C"/>
          <w:sz w:val="32"/>
          <w:szCs w:val="32"/>
          <w:rFonts w:ascii="Calibri" w:cs="Calibri" w:eastAsia="Calibri" w:hAnsi="Calibri"/>
        </w:rPr>
        <w:t xml:space="preserve">Detail Per-Modul</w:t>
      </w:r>
    </w:p>
    <w:p>
      <w:pPr>
        <w:pBdr>
          <w:bottom w:val="single" w:color="D6CFC1" w:sz="8"/>
        </w:pBdr>
        <w:spacing w:after="160"/>
      </w:pPr>
    </w:p>
    <w:p>
      <w:pPr>
        <w:spacing w:before="280" w:after="120"/>
      </w:pPr>
      <w:r>
        <w:rPr>
          <w:b/>
          <w:bCs/>
          <w:color w:val="0F2C5C"/>
          <w:sz w:val="26"/>
          <w:szCs w:val="26"/>
          <w:rFonts w:ascii="Calibri" w:cs="Calibri" w:eastAsia="Calibri" w:hAnsi="Calibri"/>
        </w:rPr>
        <w:t xml:space="preserve">2.1  Pre-Sales / CRM / Kontrak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Fitur</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Gap</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Pipeline opportunity / deal</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(atau via HubSpot)</w:t>
            </w:r>
          </w:p>
        </w:tc>
        <w:tc>
          <w:tcPr>
            <w:tcW w:type="dxa" w:w="1300"/>
            <w:shd w:fill="FFFFFF"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Besar</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Template proposal / SOW</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drag-drop, branded</w:t>
            </w:r>
          </w:p>
        </w:tc>
        <w:tc>
          <w:tcPr>
            <w:tcW w:type="dxa" w:w="1300"/>
            <w:shd w:fill="F5F2EA"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Besar</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E-signature kontrak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Native (DocuSign-like)</w:t>
            </w:r>
          </w:p>
        </w:tc>
        <w:tc>
          <w:tcPr>
            <w:tcW w:type="dxa" w:w="1300"/>
            <w:shd w:fill="FFFFFF"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Besar</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Kontrak menjadi project otomatis</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Manual — Sales isi 4 field di /projects/new</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Otomatis dari kontrak signed</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Versi &amp; approval kontrak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Tracking nilai pipeline / forecast revenue</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bl>
    <w:p>
      <w:pPr>
        <w:pBdr>
          <w:left w:val="single" w:color="C2410C" w:sz="24"/>
        </w:pBdr>
        <w:shd w:fill="FDF3E0" w:color="auto" w:val="clear"/>
        <w:spacing w:before="160" w:after="160"/>
      </w:pPr>
      <w:r>
        <w:rPr>
          <w:i/>
          <w:iCs/>
          <w:color w:val="0F2C5C"/>
          <w:sz w:val="20"/>
          <w:szCs w:val="20"/>
          <w:rFonts w:ascii="Calibri" w:cs="Calibri" w:eastAsia="Calibri" w:hAnsi="Calibri"/>
        </w:rPr>
        <w:t xml:space="preserve">Insight — SecureProfit Hub memulai siklus dari "kontrak sudah closed". Sales langsung masuk di tahap intake DRAFT. Jika ITSEC ingin menyentuh tahap pre-sales (proposal → negosiasi → tanda tangan), ini gap besar tapi paling efisien diatasi dengan integrasi tool eksternal (DocuSign / Mekari Sign / HubSpot / Pipedrive) — tidak harus dibangun in-house.</w:t>
      </w:r>
    </w:p>
    <w:p>
      <w:pPr>
        <w:spacing w:before="280" w:after="120"/>
      </w:pPr>
      <w:r>
        <w:rPr>
          <w:b/>
          <w:bCs/>
          <w:color w:val="0F2C5C"/>
          <w:sz w:val="26"/>
          <w:szCs w:val="26"/>
          <w:rFonts w:ascii="Calibri" w:cs="Calibri" w:eastAsia="Calibri" w:hAnsi="Calibri"/>
        </w:rPr>
        <w:t xml:space="preserve">2.2  Project Delivery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Fitur</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Gap</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Lifecycle status</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DRAFT → OBSERVATION → ACTIVE → PAUSE/COMPLETE → CLOSED (opinionated)</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Customizable phases</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WBS / Task hierarchy</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Multi-level via parentTaskId, render DFS tree dengan indentasi</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Multi-level (task → subtask)</w:t>
            </w:r>
          </w:p>
        </w:tc>
        <w:tc>
          <w:tcPr>
            <w:tcW w:type="dxa" w:w="13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Dependensi antar task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Sudah ada — finish-to-start, cycle check forward-BFS, render arrow di Gantt</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(FS, SS, FF, SF)</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Gap kecil — hanya FS yang didukung</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Multi-assignee task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TaskAssignee join, replace via transaction</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Baseline &amp; variance (planned vs actual)</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Milestone eksplisit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eksplisit (di-handle via Task + dueDate)</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Kecil</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Gantt chart interaktif</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drag bar, resize handle 8px, dependency arrow overlay, ResizeObserver re-layout</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interaktif</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Billable / non-billable per task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Task.billable flag, badge amber di non-billable, exclude dari revenue</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Task time log per assignee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TaskTimeLog dengan jam (0,24], note, loggedAt</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bl>
    <w:p>
      <w:pPr>
        <w:spacing w:before="280" w:after="120"/>
      </w:pPr>
      <w:r>
        <w:rPr>
          <w:b/>
          <w:bCs/>
          <w:color w:val="0F2C5C"/>
          <w:sz w:val="26"/>
          <w:szCs w:val="26"/>
          <w:rFonts w:ascii="Calibri" w:cs="Calibri" w:eastAsia="Calibri" w:hAnsi="Calibri"/>
        </w:rPr>
        <w:t xml:space="preserve">2.3  Time Tracking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Fitur</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Gap</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Submit timesheet web</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Draft/Submitted/Approved/Rejected, link ke Task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Mobile native (iOS/Android)</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Besar</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Timer (start/stop)</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 entry manual hours</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Link timesheet ke Task tertentu</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server validasi caller adalah assignee task tsb.</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Approval flow</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PM approve untuk projek-nya; MGMT/PM auto-approve sendiri</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Multi-level configurable</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Kecil</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Edit window setelah approve</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5 hari kerja terakhir</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Configurable</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Kecil</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Billable vs non-billable flag</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Inherit dari Task.billable; non-billable tidak masuk revenue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eksplisit di entry timesheet</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Kecil</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Reminder otomatis (email/push)</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 hanya notif in-app</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Email + push reminder harian/mingguan</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Bulk approve (Approve All)</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di PM Dashboard</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bl>
    <w:p>
      <w:pPr>
        <w:spacing w:before="280" w:after="120"/>
      </w:pPr>
      <w:r>
        <w:rPr>
          <w:b/>
          <w:bCs/>
          <w:color w:val="0F2C5C"/>
          <w:sz w:val="26"/>
          <w:szCs w:val="26"/>
          <w:rFonts w:ascii="Calibri" w:cs="Calibri" w:eastAsia="Calibri" w:hAnsi="Calibri"/>
        </w:rPr>
        <w:t xml:space="preserve">2.4  Resource Planning &amp; Capacity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Fitur</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Gap</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Per-resource daily rate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di ProjectResource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Planned vs actual mandays</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Heatmap utilization mingguan</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/resource-planning, color-code &gt;=6 destructive / &gt;=4 amber / &gt;0 emerald</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(multi-bulan)</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Kecil</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Skill matrix &amp; matching</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Skill catalog + UserSkill join, manual matching saat assign</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auto-suggest by skill</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Business Unit grouping</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3 BU (Pentest / GRC / Threat Hunting), matrix di-group per BU</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Scenario planning ("what-if")</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111827"/>
                <w:sz w:val="18"/>
                <w:szCs w:val="18"/>
                <w:rFonts w:ascii="Calibri" w:cs="Calibri" w:eastAsia="Calibri" w:hAnsi="Calibri"/>
              </w:rPr>
              <w:t xml:space="preserve">Rendah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Hard vs soft booking</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Hanya hard (langsung jadi ProjectResource)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(soft = tentative, hard = committed)</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Principal supervisor flow</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Principal propose supervisee → PM accept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w:t>
            </w:r>
          </w:p>
        </w:tc>
        <w:tc>
          <w:tcPr>
            <w:tcW w:type="dxa" w:w="13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Unggul</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Absence / cuti tracking</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bl>
    <w:p>
      <w:pPr>
        <w:spacing w:before="280" w:after="120"/>
      </w:pPr>
      <w:r>
        <w:rPr>
          <w:b/>
          <w:bCs/>
          <w:color w:val="0F2C5C"/>
          <w:sz w:val="26"/>
          <w:szCs w:val="26"/>
          <w:rFonts w:ascii="Calibri" w:cs="Calibri" w:eastAsia="Calibri" w:hAnsi="Calibri"/>
        </w:rPr>
        <w:t xml:space="preserve">2.5  Financials &amp; Billing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Fitur</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Gap</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Margin per project real-time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resourceCost + APPROVED additionalCost, marginPct, forecast linear</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Margin per resource</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eksplisit (bisa dihitung manual dari ProjectResource × dailyRate)</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native</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Billing milestone (Terms of Payment)</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BillingMilestone dengan %, amount override, status Planned/Invoiced/Paid/Cancelled, audit</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Generate PDF invoice dari approved timesheet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 hanya tracking status, dokumen invoice diunggah manual</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Otomatis</w:t>
            </w:r>
          </w:p>
        </w:tc>
        <w:tc>
          <w:tcPr>
            <w:tcW w:type="dxa" w:w="1300"/>
            <w:shd w:fill="F5F2EA"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Besar</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Tipe billing: T&amp;M / Fixed / Milestone / Retainer</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Hanya kolom contractValue + milestone (mirip fixed + milestone)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Semua tipe</w:t>
            </w:r>
          </w:p>
        </w:tc>
        <w:tc>
          <w:tcPr>
            <w:tcW w:type="dxa" w:w="1300"/>
            <w:shd w:fill="FFFFFF"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Besar</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Tax handling (PPN 11%)</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 — manual di luar sistem</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 (wajib di ID)</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Aging report invoice (overdue/unpaid)</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 hanya alert closing &gt; 3 hari</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Multi-currency</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IDR only</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Multi</w:t>
            </w:r>
          </w:p>
        </w:tc>
        <w:tc>
          <w:tcPr>
            <w:tcW w:type="dxa" w:w="1300"/>
            <w:shd w:fill="F5F2EA" w:color="auto" w:val="clear"/>
            <w:tcMar>
              <w:top w:type="dxa" w:w="80"/>
              <w:left w:type="dxa" w:w="110"/>
              <w:bottom w:type="dxa" w:w="80"/>
              <w:right w:type="dxa" w:w="110"/>
            </w:tcMar>
            <w:vAlign w:val="center"/>
          </w:tcPr>
          <w:p>
            <w:pPr>
              <w:jc w:val="center"/>
            </w:pPr>
            <w:r>
              <w:rPr>
                <w:b/>
                <w:bCs/>
                <w:color w:val="475569"/>
                <w:sz w:val="18"/>
                <w:szCs w:val="18"/>
                <w:rFonts w:ascii="Calibri" w:cs="Calibri" w:eastAsia="Calibri" w:hAnsi="Calibri"/>
              </w:rPr>
              <w:t xml:space="preserve">Tidak relevan</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Integrasi accounting (Xero / QuickBooks / Accurate)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Rendah-menengah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Cash collection forecast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bl>
    <w:p>
      <w:pPr>
        <w:spacing w:before="280" w:after="120"/>
      </w:pPr>
      <w:r>
        <w:rPr>
          <w:b/>
          <w:bCs/>
          <w:color w:val="0F2C5C"/>
          <w:sz w:val="26"/>
          <w:szCs w:val="26"/>
          <w:rFonts w:ascii="Calibri" w:cs="Calibri" w:eastAsia="Calibri" w:hAnsi="Calibri"/>
        </w:rPr>
        <w:t xml:space="preserve">2.6  Expense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Fitur</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Gap</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Log expense per-project</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5 kategori (Software/Hardware/License/Travel/Other)</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Approval workflow</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Pending/Approved/Rejected, hanya PM/MGMT approve, MGMT auto-approve, hanya APPROVED masuk margin</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Multi-level</w:t>
            </w:r>
          </w:p>
        </w:tc>
        <w:tc>
          <w:tcPr>
            <w:tcW w:type="dxa" w:w="13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Receipt / bukti foto upload</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Receipt OCR (auto-extract amount)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Rendah-menengah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Mileage / per-diem otomatis</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11827"/>
                <w:sz w:val="18"/>
                <w:szCs w:val="18"/>
                <w:rFonts w:ascii="Calibri" w:cs="Calibri" w:eastAsia="Calibri" w:hAnsi="Calibri"/>
              </w:rPr>
              <w:t xml:space="preserve">Rendah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Auto-billable ke client (markup)</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Pending expense alert di dashboard PM</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amber card "Expense Menunggu Persetujuan"</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bl>
    <w:p>
      <w:pPr>
        <w:spacing w:before="280" w:after="120"/>
      </w:pPr>
      <w:r>
        <w:rPr>
          <w:b/>
          <w:bCs/>
          <w:color w:val="0F2C5C"/>
          <w:sz w:val="26"/>
          <w:szCs w:val="26"/>
          <w:rFonts w:ascii="Calibri" w:cs="Calibri" w:eastAsia="Calibri" w:hAnsi="Calibri"/>
        </w:rPr>
        <w:t xml:space="preserve">2.7  Reporting &amp; BI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Fitur</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Gap</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Dashboard per role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Sangat baik — 6 dashboard (MGMT/PM/Sales/Konsultan/Admin Project/Site Admin)</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(configurable)</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 / unggul untuk fokus</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Custom report builder (drag-drop column + filter)</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 laporan fixed</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Scheduled email report (daily/weekly)</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Export CSV</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di banyak modul (timesheet, dst.)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Export PDF / Excel native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Hanya PDF user-guide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native di laporan</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Connector BI eksternal (Power BI / Tableau)</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111827"/>
                <w:sz w:val="18"/>
                <w:szCs w:val="18"/>
                <w:rFonts w:ascii="Calibri" w:cs="Calibri" w:eastAsia="Calibri" w:hAnsi="Calibri"/>
              </w:rPr>
              <w:t xml:space="preserve">Rendah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Drill-down per project / per resource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via halaman detail</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di laporan</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bl>
    <w:p>
      <w:pPr>
        <w:spacing w:before="280" w:after="120"/>
      </w:pPr>
      <w:r>
        <w:rPr>
          <w:b/>
          <w:bCs/>
          <w:color w:val="0F2C5C"/>
          <w:sz w:val="26"/>
          <w:szCs w:val="26"/>
          <w:rFonts w:ascii="Calibri" w:cs="Calibri" w:eastAsia="Calibri" w:hAnsi="Calibri"/>
        </w:rPr>
        <w:t xml:space="preserve">2.8  Klien &amp; Survey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Fitur</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Gap</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Survey kepuasan klien (token publik)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Survey + SurveyTab di project detail, link share-able tanpa login</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menjadi fokus</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Unggul</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Client portal (klien lihat status project)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Klien approve milestone / deliverable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Email update progress otomatis ke klien</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Rendah-menengah</w:t>
            </w:r>
          </w:p>
        </w:tc>
      </w:tr>
    </w:tbl>
    <w:p>
      <w:pPr>
        <w:spacing w:before="280" w:after="120"/>
      </w:pPr>
      <w:r>
        <w:rPr>
          <w:b/>
          <w:bCs/>
          <w:color w:val="0F2C5C"/>
          <w:sz w:val="26"/>
          <w:szCs w:val="26"/>
          <w:rFonts w:ascii="Calibri" w:cs="Calibri" w:eastAsia="Calibri" w:hAnsi="Calibri"/>
        </w:rPr>
        <w:t xml:space="preserve">2.9  Operasional / Platform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Fitur</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SecureProfit Hub</w:t>
            </w:r>
          </w:p>
        </w:tc>
        <w:tc>
          <w:tcPr>
            <w:tcW w:type="dxa" w:w="22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PSOHUB</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Gap</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Audit log lengkap per entity</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 Activity model + page khusus SITE_ADMIN, dicatat di setiap mutation</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Role-based access fine-grained</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Sangat baik — 8 role + 3 Principal + ownership rule (PM-of-project, Sales-of-project)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 / unggul</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Notifikasi in-app</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66534"/>
                <w:sz w:val="18"/>
                <w:szCs w:val="18"/>
                <w:rFonts w:ascii="Calibri" w:cs="Calibri" w:eastAsia="Calibri" w:hAnsi="Calibri"/>
              </w:rPr>
              <w:t xml:space="preserve">Setara</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Email notif (transactional)</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ada</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Slack / MS Teams notif</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FFFFF" w:color="auto" w:val="clear"/>
            <w:tcMar>
              <w:top w:type="dxa" w:w="80"/>
              <w:left w:type="dxa" w:w="110"/>
              <w:bottom w:type="dxa" w:w="80"/>
              <w:right w:type="dxa" w:w="110"/>
            </w:tcMar>
            <w:vAlign w:val="center"/>
          </w:tcPr>
          <w:p>
            <w:pPr>
              <w:jc w:val="center"/>
            </w:pPr>
            <w:r>
              <w:rPr>
                <w:b/>
                <w:bCs/>
                <w:color w:val="111827"/>
                <w:sz w:val="18"/>
                <w:szCs w:val="18"/>
                <w:rFonts w:ascii="Calibri" w:cs="Calibri" w:eastAsia="Calibri" w:hAnsi="Calibri"/>
              </w:rPr>
              <w:t xml:space="preserve">Rendah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API publik + webhook</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 OpenAPI internal saja</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(REST + webhook)</w:t>
            </w:r>
          </w:p>
        </w:tc>
        <w:tc>
          <w:tcPr>
            <w:tcW w:type="dxa" w:w="1300"/>
            <w:shd w:fill="F5F2EA" w:color="auto" w:val="clear"/>
            <w:tcMar>
              <w:top w:type="dxa" w:w="80"/>
              <w:left w:type="dxa" w:w="110"/>
              <w:bottom w:type="dxa" w:w="80"/>
              <w:right w:type="dxa" w:w="110"/>
            </w:tcMar>
            <w:vAlign w:val="center"/>
          </w:tcPr>
          <w:p>
            <w:pPr>
              <w:jc w:val="center"/>
            </w:pPr>
            <w:r>
              <w:rPr>
                <w:b/>
                <w:bCs/>
                <w:color w:val="111827"/>
                <w:sz w:val="18"/>
                <w:szCs w:val="18"/>
                <w:rFonts w:ascii="Calibri" w:cs="Calibri" w:eastAsia="Calibri" w:hAnsi="Calibri"/>
              </w:rPr>
              <w:t xml:space="preserve">Rendah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Mobile app native</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 — web responsive saja</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(iOS + Android)</w:t>
            </w:r>
          </w:p>
        </w:tc>
        <w:tc>
          <w:tcPr>
            <w:tcW w:type="dxa" w:w="1300"/>
            <w:shd w:fill="FFFFFF"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Besar</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SSO Google / Microsoft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Login email/password (JWT bcrypt)</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(Google + Microsoft + SAML)</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2FA / MFA</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Tidak</w:t>
            </w:r>
          </w:p>
        </w:tc>
        <w:tc>
          <w:tcPr>
            <w:tcW w:type="dxa" w:w="22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 (opsional)</w:t>
            </w:r>
          </w:p>
        </w:tc>
        <w:tc>
          <w:tcPr>
            <w:tcW w:type="dxa" w:w="13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r>
      <w:tr>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Session timeout &amp; token refresh</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JWT 24 jam (tanpa refresh token)</w:t>
            </w:r>
          </w:p>
        </w:tc>
        <w:tc>
          <w:tcPr>
            <w:tcW w:type="dxa" w:w="22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Ada</w:t>
            </w:r>
          </w:p>
        </w:tc>
        <w:tc>
          <w:tcPr>
            <w:tcW w:type="dxa" w:w="13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Kecil</w:t>
            </w:r>
          </w:p>
        </w:tc>
      </w:tr>
    </w:tbl>
    <w:p>
      <w:r>
        <w:br w:type="page"/>
      </w:r>
    </w:p>
    <w:p>
      <w:pPr>
        <w:spacing w:before="120" w:after="60"/>
      </w:pPr>
      <w:r>
        <w:rPr>
          <w:b/>
          <w:bCs/>
          <w:color w:val="C2410C"/>
          <w:sz w:val="16"/>
          <w:szCs w:val="16"/>
          <w:rFonts w:ascii="Calibri" w:cs="Calibri" w:eastAsia="Calibri" w:hAnsi="Calibri"/>
        </w:rPr>
        <w:t xml:space="preserve">03</w:t>
      </w:r>
    </w:p>
    <w:p>
      <w:pPr>
        <w:spacing w:before="360" w:after="180"/>
      </w:pPr>
      <w:r>
        <w:rPr>
          <w:b/>
          <w:bCs/>
          <w:color w:val="0F2C5C"/>
          <w:sz w:val="32"/>
          <w:szCs w:val="32"/>
          <w:rFonts w:ascii="Calibri" w:cs="Calibri" w:eastAsia="Calibri" w:hAnsi="Calibri"/>
        </w:rPr>
        <w:t xml:space="preserve">Top 10 Gap Berprioritas</w:t>
      </w:r>
    </w:p>
    <w:p>
      <w:pPr>
        <w:pBdr>
          <w:bottom w:val="single" w:color="D6CFC1" w:sz="8"/>
        </w:pBdr>
        <w:spacing w:after="160"/>
      </w:pPr>
    </w:p>
    <w:p>
      <w:pPr>
        <w:spacing w:before="0" w:after="160"/>
        <w:jc w:val="left"/>
      </w:pPr>
      <w:r>
        <w:rPr>
          <w:color w:val="475569"/>
          <w:sz w:val="20"/>
          <w:szCs w:val="20"/>
          <w:rFonts w:ascii="Calibri" w:cs="Calibri" w:eastAsia="Calibri" w:hAnsi="Calibri"/>
        </w:rPr>
        <w:t xml:space="preserve">Diurutkan berdasarkan dampak bisnis × effort yang masuk akal untuk firma ITSEC ukuran SecureProfit Hub. Estimasi effort dalam orang-minggu (1 backend + 1 frontend developer).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w:t>
            </w:r>
          </w:p>
        </w:tc>
        <w:tc>
          <w:tcPr>
            <w:tcW w:type="dxa" w:w="33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Gap</w:t>
            </w:r>
          </w:p>
        </w:tc>
        <w:tc>
          <w:tcPr>
            <w:tcW w:type="dxa" w:w="11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Dampak</w:t>
            </w:r>
          </w:p>
        </w:tc>
        <w:tc>
          <w:tcPr>
            <w:tcW w:type="dxa" w:w="13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Effort</w:t>
            </w:r>
          </w:p>
        </w:tc>
        <w:tc>
          <w:tcPr>
            <w:tcW w:type="dxa" w:w="28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Catatan</w:t>
            </w:r>
          </w:p>
        </w:tc>
      </w:tr>
      <w:tr>
        <w:tc>
          <w:tcPr>
            <w:tcW w:type="dxa" w:w="5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1</w:t>
            </w:r>
          </w:p>
        </w:tc>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Tax (PPN 11%) di Financials &amp; Billing Milestone</w:t>
            </w:r>
          </w:p>
        </w:tc>
        <w:tc>
          <w:tcPr>
            <w:tcW w:type="dxa" w:w="1100"/>
            <w:shd w:fill="FFFFFF"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Tinggi</w:t>
            </w:r>
          </w:p>
        </w:tc>
        <w:tc>
          <w:tcPr>
            <w:tcW w:type="dxa" w:w="13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Kecil (1 mg)</w:t>
            </w:r>
          </w:p>
        </w:tc>
        <w:tc>
          <w:tcPr>
            <w:tcW w:type="dxa" w:w="28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Wajib untuk firma Indonesia. Tambah taxPct di Project + tampilkan total termasuk PPN di Financials, Billing, Survey/CSV.</w:t>
            </w:r>
          </w:p>
        </w:tc>
      </w:tr>
      <w:tr>
        <w:tc>
          <w:tcPr>
            <w:tcW w:type="dxa" w:w="5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2</w:t>
            </w:r>
          </w:p>
        </w:tc>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Generate draft invoice PDF otomatis dari approved timesheet + milestone</w:t>
            </w:r>
          </w:p>
        </w:tc>
        <w:tc>
          <w:tcPr>
            <w:tcW w:type="dxa" w:w="1100"/>
            <w:shd w:fill="F5F2EA"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Tinggi</w:t>
            </w:r>
          </w:p>
        </w:tc>
        <w:tc>
          <w:tcPr>
            <w:tcW w:type="dxa" w:w="1300"/>
            <w:shd w:fill="F5F2EA"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Menengah (3-4 mg)</w:t>
            </w:r>
          </w:p>
        </w:tc>
        <w:tc>
          <w:tcPr>
            <w:tcW w:type="dxa" w:w="28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Tombol "Generate Invoice (period X-Y)" → PDF + simpan ke Document.INVOICE + isi BillingMilestone.invoiceNumber.</w:t>
            </w:r>
          </w:p>
        </w:tc>
      </w:tr>
      <w:tr>
        <w:tc>
          <w:tcPr>
            <w:tcW w:type="dxa" w:w="5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3</w:t>
            </w:r>
          </w:p>
        </w:tc>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Email notifikasi (timesheet pending, expense pending, project at-risk, milestone overdue)</w:t>
            </w:r>
          </w:p>
        </w:tc>
        <w:tc>
          <w:tcPr>
            <w:tcW w:type="dxa" w:w="1100"/>
            <w:shd w:fill="FFFFFF"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Tinggi</w:t>
            </w:r>
          </w:p>
        </w:tc>
        <w:tc>
          <w:tcPr>
            <w:tcW w:type="dxa" w:w="13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Menengah (2-3 mg)</w:t>
            </w:r>
          </w:p>
        </w:tc>
        <w:tc>
          <w:tcPr>
            <w:tcW w:type="dxa" w:w="28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Saat ini hanya in-app. Tambah Resend / SMTP + template email + opt-out per user di /settings.</w:t>
            </w:r>
          </w:p>
        </w:tc>
      </w:tr>
      <w:tr>
        <w:tc>
          <w:tcPr>
            <w:tcW w:type="dxa" w:w="5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4</w:t>
            </w:r>
          </w:p>
        </w:tc>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Aging invoice tracker + dashboard MGMT</w:t>
            </w:r>
          </w:p>
        </w:tc>
        <w:tc>
          <w:tcPr>
            <w:tcW w:type="dxa" w:w="1100"/>
            <w:shd w:fill="F5F2EA" w:color="auto" w:val="clear"/>
            <w:tcMar>
              <w:top w:type="dxa" w:w="80"/>
              <w:left w:type="dxa" w:w="110"/>
              <w:bottom w:type="dxa" w:w="80"/>
              <w:right w:type="dxa" w:w="110"/>
            </w:tcMar>
            <w:vAlign w:val="center"/>
          </w:tcPr>
          <w:p>
            <w:pPr>
              <w:jc w:val="center"/>
            </w:pPr>
            <w:r>
              <w:rPr>
                <w:b/>
                <w:bCs/>
                <w:color w:val="991B1B"/>
                <w:sz w:val="18"/>
                <w:szCs w:val="18"/>
                <w:rFonts w:ascii="Calibri" w:cs="Calibri" w:eastAsia="Calibri" w:hAnsi="Calibri"/>
              </w:rPr>
              <w:t xml:space="preserve">Tinggi</w:t>
            </w:r>
          </w:p>
        </w:tc>
        <w:tc>
          <w:tcPr>
            <w:tcW w:type="dxa" w:w="1300"/>
            <w:shd w:fill="F5F2EA"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Menengah (2 mg)</w:t>
            </w:r>
          </w:p>
        </w:tc>
        <w:tc>
          <w:tcPr>
            <w:tcW w:type="dxa" w:w="28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Tambah dueDate + paidAt eksplisit di BillingMilestone (sudah ada), buat dashboard widget "Outstanding &gt; 30 / 60 / 90 hari".</w:t>
            </w:r>
          </w:p>
        </w:tc>
      </w:tr>
      <w:tr>
        <w:tc>
          <w:tcPr>
            <w:tcW w:type="dxa" w:w="5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5</w:t>
            </w:r>
          </w:p>
        </w:tc>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Receipt upload (foto / PDF) untuk Expense</w:t>
            </w:r>
          </w:p>
        </w:tc>
        <w:tc>
          <w:tcPr>
            <w:tcW w:type="dxa" w:w="11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c>
          <w:tcPr>
            <w:tcW w:type="dxa" w:w="13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Kecil (1 mg)</w:t>
            </w:r>
          </w:p>
        </w:tc>
        <w:tc>
          <w:tcPr>
            <w:tcW w:type="dxa" w:w="28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Tambah receiptUrl + storage adapter (Replit Object Storage / S3). OCR fase 2.</w:t>
            </w:r>
          </w:p>
        </w:tc>
      </w:tr>
      <w:tr>
        <w:tc>
          <w:tcPr>
            <w:tcW w:type="dxa" w:w="5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6</w:t>
            </w:r>
          </w:p>
        </w:tc>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SSO Google + Microsoft</w:t>
            </w:r>
          </w:p>
        </w:tc>
        <w:tc>
          <w:tcPr>
            <w:tcW w:type="dxa" w:w="11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c>
          <w:tcPr>
            <w:tcW w:type="dxa" w:w="1300"/>
            <w:shd w:fill="F5F2EA"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Menengah (2 mg)</w:t>
            </w:r>
          </w:p>
        </w:tc>
        <w:tc>
          <w:tcPr>
            <w:tcW w:type="dxa" w:w="28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Banyak user pakai akun korporat; meningkatkan adopsi &amp; keamanan dibanding password JWT.</w:t>
            </w:r>
          </w:p>
        </w:tc>
      </w:tr>
      <w:tr>
        <w:tc>
          <w:tcPr>
            <w:tcW w:type="dxa" w:w="5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7</w:t>
            </w:r>
          </w:p>
        </w:tc>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Reminder otomatis timesheet (Senin–Jumat sore)</w:t>
            </w:r>
          </w:p>
        </w:tc>
        <w:tc>
          <w:tcPr>
            <w:tcW w:type="dxa" w:w="11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c>
          <w:tcPr>
            <w:tcW w:type="dxa" w:w="13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Kecil (1 mg)</w:t>
            </w:r>
          </w:p>
        </w:tc>
        <w:tc>
          <w:tcPr>
            <w:tcW w:type="dxa" w:w="28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Cron + email; sangat memengaruhi disiplin pelaporan. Pre-requisite: gap #3.</w:t>
            </w:r>
          </w:p>
        </w:tc>
      </w:tr>
      <w:tr>
        <w:tc>
          <w:tcPr>
            <w:tcW w:type="dxa" w:w="5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8</w:t>
            </w:r>
          </w:p>
        </w:tc>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Scenario planning resource (what-if booking)</w:t>
            </w:r>
          </w:p>
        </w:tc>
        <w:tc>
          <w:tcPr>
            <w:tcW w:type="dxa" w:w="11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c>
          <w:tcPr>
            <w:tcW w:type="dxa" w:w="1300"/>
            <w:shd w:fill="F5F2EA"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Menengah (3 mg)</w:t>
            </w:r>
          </w:p>
        </w:tc>
        <w:tc>
          <w:tcPr>
            <w:tcW w:type="dxa" w:w="28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Tambah status soft / hard di ProjectResource; tampilkan dual-view di matrix planning.</w:t>
            </w:r>
          </w:p>
        </w:tc>
      </w:tr>
      <w:tr>
        <w:tc>
          <w:tcPr>
            <w:tcW w:type="dxa" w:w="5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9</w:t>
            </w:r>
          </w:p>
        </w:tc>
        <w:tc>
          <w:tcPr>
            <w:tcW w:type="dxa" w:w="33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Client portal mini (read-only status &amp; dokumen)</w:t>
            </w:r>
          </w:p>
        </w:tc>
        <w:tc>
          <w:tcPr>
            <w:tcW w:type="dxa" w:w="1100"/>
            <w:shd w:fill="FFFFFF"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c>
          <w:tcPr>
            <w:tcW w:type="dxa" w:w="13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Menengah-besar (4 mg)</w:t>
            </w:r>
          </w:p>
        </w:tc>
        <w:tc>
          <w:tcPr>
            <w:tcW w:type="dxa" w:w="28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Reuse pattern Survey token publik. Klien bisa lihat progress milestone + download report tanpa login penuh.</w:t>
            </w:r>
          </w:p>
        </w:tc>
      </w:tr>
      <w:tr>
        <w:tc>
          <w:tcPr>
            <w:tcW w:type="dxa" w:w="5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10</w:t>
            </w:r>
          </w:p>
        </w:tc>
        <w:tc>
          <w:tcPr>
            <w:tcW w:type="dxa" w:w="33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Custom report builder sederhana</w:t>
            </w:r>
          </w:p>
        </w:tc>
        <w:tc>
          <w:tcPr>
            <w:tcW w:type="dxa" w:w="1100"/>
            <w:shd w:fill="F5F2EA" w:color="auto" w:val="clear"/>
            <w:tcMar>
              <w:top w:type="dxa" w:w="80"/>
              <w:left w:type="dxa" w:w="110"/>
              <w:bottom w:type="dxa" w:w="80"/>
              <w:right w:type="dxa" w:w="110"/>
            </w:tcMar>
            <w:vAlign w:val="center"/>
          </w:tcPr>
          <w:p>
            <w:pPr>
              <w:jc w:val="center"/>
            </w:pPr>
            <w:r>
              <w:rPr>
                <w:b/>
                <w:bCs/>
                <w:color w:val="C2410C"/>
                <w:sz w:val="18"/>
                <w:szCs w:val="18"/>
                <w:rFonts w:ascii="Calibri" w:cs="Calibri" w:eastAsia="Calibri" w:hAnsi="Calibri"/>
              </w:rPr>
              <w:t xml:space="preserve">Menengah</w:t>
            </w:r>
          </w:p>
        </w:tc>
        <w:tc>
          <w:tcPr>
            <w:tcW w:type="dxa" w:w="1300"/>
            <w:shd w:fill="F5F2EA"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Besar (6 mg)</w:t>
            </w:r>
          </w:p>
        </w:tc>
        <w:tc>
          <w:tcPr>
            <w:tcW w:type="dxa" w:w="28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Bisa fase 2; sementara perbanyak preset di BI page + tambah filter date-range universal.</w:t>
            </w:r>
          </w:p>
        </w:tc>
      </w:tr>
    </w:tbl>
    <w:p>
      <w:pPr>
        <w:spacing w:before="200"/>
      </w:pPr>
      <w:r>
        <w:rPr>
          <w:b/>
          <w:bCs/>
          <w:color w:val="0F2C5C"/>
          <w:sz w:val="22"/>
          <w:szCs w:val="22"/>
          <w:rFonts w:ascii="Calibri" w:cs="Calibri" w:eastAsia="Calibri" w:hAnsi="Calibri"/>
        </w:rPr>
        <w:t xml:space="preserve">Yang sengaja TIDAK direkomendasikan untuk dibangun in-house:</w:t>
      </w:r>
    </w:p>
    <w:p>
      <w:pPr>
        <w:pStyle w:val="ListParagraph"/>
        <w:numPr>
          <w:ilvl w:val="0"/>
          <w:numId w:val="1"/>
        </w:numPr>
        <w:spacing w:after="60"/>
      </w:pPr>
      <w:r>
        <w:rPr>
          <w:color w:val="111827"/>
          <w:sz w:val="20"/>
          <w:szCs w:val="20"/>
          <w:rFonts w:ascii="Calibri" w:cs="Calibri" w:eastAsia="Calibri" w:hAnsi="Calibri"/>
        </w:rPr>
        <w:t xml:space="preserve">Pre-sales pipeline / CRM — pakai HubSpot / Pipedrive saja, integrasikan via webhook</w:t>
      </w:r>
    </w:p>
    <w:p>
      <w:pPr>
        <w:pStyle w:val="ListParagraph"/>
        <w:numPr>
          <w:ilvl w:val="0"/>
          <w:numId w:val="1"/>
        </w:numPr>
        <w:spacing w:after="60"/>
      </w:pPr>
      <w:r>
        <w:rPr>
          <w:color w:val="111827"/>
          <w:sz w:val="20"/>
          <w:szCs w:val="20"/>
          <w:rFonts w:ascii="Calibri" w:cs="Calibri" w:eastAsia="Calibri" w:hAnsi="Calibri"/>
        </w:rPr>
        <w:t xml:space="preserve">E-signature kontrak — pakai DocuSign / Mekari Sign (lebih hemat &amp; legally compliant)</w:t>
      </w:r>
    </w:p>
    <w:p>
      <w:pPr>
        <w:pStyle w:val="ListParagraph"/>
        <w:numPr>
          <w:ilvl w:val="0"/>
          <w:numId w:val="1"/>
        </w:numPr>
        <w:spacing w:after="60"/>
      </w:pPr>
      <w:r>
        <w:rPr>
          <w:color w:val="111827"/>
          <w:sz w:val="20"/>
          <w:szCs w:val="20"/>
          <w:rFonts w:ascii="Calibri" w:cs="Calibri" w:eastAsia="Calibri" w:hAnsi="Calibri"/>
        </w:rPr>
        <w:t xml:space="preserve">Multi-currency — firma single-entity Indonesia, tidak relevan</w:t>
      </w:r>
    </w:p>
    <w:p>
      <w:pPr>
        <w:pStyle w:val="ListParagraph"/>
        <w:numPr>
          <w:ilvl w:val="0"/>
          <w:numId w:val="1"/>
        </w:numPr>
        <w:spacing w:after="60"/>
      </w:pPr>
      <w:r>
        <w:rPr>
          <w:color w:val="111827"/>
          <w:sz w:val="20"/>
          <w:szCs w:val="20"/>
          <w:rFonts w:ascii="Calibri" w:cs="Calibri" w:eastAsia="Calibri" w:hAnsi="Calibri"/>
        </w:rPr>
        <w:t xml:space="preserve">Mobile native — web responsive saat ini sudah cukup; bangun mobile app = effort sangat besar</w:t>
      </w:r>
    </w:p>
    <w:p>
      <w:pPr>
        <w:pStyle w:val="ListParagraph"/>
        <w:numPr>
          <w:ilvl w:val="0"/>
          <w:numId w:val="1"/>
        </w:numPr>
        <w:spacing w:after="60"/>
      </w:pPr>
      <w:r>
        <w:rPr>
          <w:color w:val="111827"/>
          <w:sz w:val="20"/>
          <w:szCs w:val="20"/>
          <w:rFonts w:ascii="Calibri" w:cs="Calibri" w:eastAsia="Calibri" w:hAnsi="Calibri"/>
        </w:rPr>
        <w:t xml:space="preserve">Connector Power BI / Tableau — export CSV → tarik ke BI tool sudah cukup</w:t>
      </w:r>
    </w:p>
    <w:p>
      <w:pPr>
        <w:pStyle w:val="ListParagraph"/>
        <w:numPr>
          <w:ilvl w:val="0"/>
          <w:numId w:val="1"/>
        </w:numPr>
        <w:spacing w:after="60"/>
      </w:pPr>
      <w:r>
        <w:rPr>
          <w:color w:val="111827"/>
          <w:sz w:val="20"/>
          <w:szCs w:val="20"/>
          <w:rFonts w:ascii="Calibri" w:cs="Calibri" w:eastAsia="Calibri" w:hAnsi="Calibri"/>
        </w:rPr>
        <w:t xml:space="preserve">Receipt OCR canggih — manual upload + approval sudah memenuhi 80% kebutuhan</w:t>
      </w:r>
    </w:p>
    <w:p>
      <w:r>
        <w:br w:type="page"/>
      </w:r>
    </w:p>
    <w:p>
      <w:pPr>
        <w:spacing w:before="120" w:after="60"/>
      </w:pPr>
      <w:r>
        <w:rPr>
          <w:b/>
          <w:bCs/>
          <w:color w:val="C2410C"/>
          <w:sz w:val="16"/>
          <w:szCs w:val="16"/>
          <w:rFonts w:ascii="Calibri" w:cs="Calibri" w:eastAsia="Calibri" w:hAnsi="Calibri"/>
        </w:rPr>
        <w:t xml:space="preserve">04</w:t>
      </w:r>
    </w:p>
    <w:p>
      <w:pPr>
        <w:spacing w:before="360" w:after="180"/>
      </w:pPr>
      <w:r>
        <w:rPr>
          <w:b/>
          <w:bCs/>
          <w:color w:val="0F2C5C"/>
          <w:sz w:val="32"/>
          <w:szCs w:val="32"/>
          <w:rFonts w:ascii="Calibri" w:cs="Calibri" w:eastAsia="Calibri" w:hAnsi="Calibri"/>
        </w:rPr>
        <w:t xml:space="preserve">Area di Mana SecureProfit Hub Justru Lebih Baik</w:t>
      </w:r>
    </w:p>
    <w:p>
      <w:pPr>
        <w:pBdr>
          <w:bottom w:val="single" w:color="D6CFC1" w:sz="8"/>
        </w:pBdr>
        <w:spacing w:after="160"/>
      </w:pPr>
    </w:p>
    <w:p>
      <w:pPr>
        <w:spacing w:before="0" w:after="160"/>
        <w:jc w:val="left"/>
      </w:pPr>
      <w:r>
        <w:rPr>
          <w:color w:val="475569"/>
          <w:sz w:val="20"/>
          <w:szCs w:val="20"/>
          <w:rFonts w:ascii="Calibri" w:cs="Calibri" w:eastAsia="Calibri" w:hAnsi="Calibri"/>
        </w:rPr>
        <w:t xml:space="preserve">Penting dicatat agar tidak salah arah meniru PSOHUB:</w:t>
      </w:r>
    </w:p>
    <w:p>
      <w:pPr>
        <w:spacing w:before="0" w:after="100"/>
        <w:jc w:val="left"/>
      </w:pPr>
      <w:r>
        <w:rPr>
          <w:b/>
          <w:bCs/>
          <w:color w:val="0F2C5C"/>
          <w:sz w:val="22"/>
          <w:szCs w:val="22"/>
          <w:rFonts w:ascii="Calibri" w:cs="Calibri" w:eastAsia="Calibri" w:hAnsi="Calibri"/>
        </w:rPr>
        <w:t xml:space="preserve">Hierarki Principal supervisor</w:t>
      </w:r>
    </w:p>
    <w:p>
      <w:pPr>
        <w:pStyle w:val="ListParagraph"/>
        <w:numPr>
          <w:ilvl w:val="0"/>
          <w:numId w:val="1"/>
        </w:numPr>
        <w:spacing w:after="60"/>
      </w:pPr>
      <w:r>
        <w:rPr>
          <w:color w:val="111827"/>
          <w:sz w:val="20"/>
          <w:szCs w:val="20"/>
          <w:rFonts w:ascii="Calibri" w:cs="Calibri" w:eastAsia="Calibri" w:hAnsi="Calibri"/>
        </w:rPr>
        <w:t xml:space="preserve">Tiga peran Principal (Konsultan / Technical Writer / Admin Project) yang membina supervisee dan boleh propose resource ke project. PSOHUB tidak punya konsep ini — model tata kelola khas ITSEC Indonesia.</w:t>
      </w:r>
    </w:p>
    <w:p>
      <w:pPr>
        <w:spacing w:before="0" w:after="100"/>
        <w:jc w:val="left"/>
      </w:pPr>
      <w:r>
        <w:rPr>
          <w:color w:val="111827"/>
          <w:sz w:val="20"/>
          <w:szCs w:val="20"/>
          <w:rFonts w:ascii="Calibri" w:cs="Calibri" w:eastAsia="Calibri" w:hAnsi="Calibri"/>
        </w:rPr>
      </w:r>
    </w:p>
    <w:p>
      <w:pPr>
        <w:spacing w:before="0" w:after="100"/>
        <w:jc w:val="left"/>
      </w:pPr>
      <w:r>
        <w:rPr>
          <w:b/>
          <w:bCs/>
          <w:color w:val="0F2C5C"/>
          <w:sz w:val="22"/>
          <w:szCs w:val="22"/>
          <w:rFonts w:ascii="Calibri" w:cs="Calibri" w:eastAsia="Calibri" w:hAnsi="Calibri"/>
        </w:rPr>
        <w:t xml:space="preserve">Survey klien dengan token publik</w:t>
      </w:r>
    </w:p>
    <w:p>
      <w:pPr>
        <w:pStyle w:val="ListParagraph"/>
        <w:numPr>
          <w:ilvl w:val="0"/>
          <w:numId w:val="1"/>
        </w:numPr>
        <w:spacing w:after="60"/>
      </w:pPr>
      <w:r>
        <w:rPr>
          <w:color w:val="111827"/>
          <w:sz w:val="20"/>
          <w:szCs w:val="20"/>
          <w:rFonts w:ascii="Calibri" w:cs="Calibri" w:eastAsia="Calibri" w:hAnsi="Calibri"/>
        </w:rPr>
        <w:t xml:space="preserve">Sudah jadi, link share-able tanpa login. Di PSOHUB ini biasanya add-on terpisah / butuh tool eksternal (SurveyMonkey, Typeform).</w:t>
      </w:r>
    </w:p>
    <w:p>
      <w:pPr>
        <w:spacing w:before="0" w:after="100"/>
        <w:jc w:val="left"/>
      </w:pPr>
      <w:r>
        <w:rPr>
          <w:color w:val="111827"/>
          <w:sz w:val="20"/>
          <w:szCs w:val="20"/>
          <w:rFonts w:ascii="Calibri" w:cs="Calibri" w:eastAsia="Calibri" w:hAnsi="Calibri"/>
        </w:rPr>
      </w:r>
    </w:p>
    <w:p>
      <w:pPr>
        <w:spacing w:before="0" w:after="100"/>
        <w:jc w:val="left"/>
      </w:pPr>
      <w:r>
        <w:rPr>
          <w:b/>
          <w:bCs/>
          <w:color w:val="0F2C5C"/>
          <w:sz w:val="22"/>
          <w:szCs w:val="22"/>
          <w:rFonts w:ascii="Calibri" w:cs="Calibri" w:eastAsia="Calibri" w:hAnsi="Calibri"/>
        </w:rPr>
        <w:t xml:space="preserve">Lifecycle DRAFT → OBSERVATION yang opinionated</w:t>
      </w:r>
    </w:p>
    <w:p>
      <w:pPr>
        <w:pStyle w:val="ListParagraph"/>
        <w:numPr>
          <w:ilvl w:val="0"/>
          <w:numId w:val="1"/>
        </w:numPr>
        <w:spacing w:after="60"/>
      </w:pPr>
      <w:r>
        <w:rPr>
          <w:color w:val="111827"/>
          <w:sz w:val="20"/>
          <w:szCs w:val="20"/>
          <w:rFonts w:ascii="Calibri" w:cs="Calibri" w:eastAsia="Calibri" w:hAnsi="Calibri"/>
        </w:rPr>
        <w:t xml:space="preserve">Alur intake Sales → PMO Director assign PM → PM lengkapi detail sudah baked-in dengan invariant 409 (tidak bisa reassign PM yang sudah di-set di DRAFT). PSOHUB lebih generik dan butuh konfigurasi manual.</w:t>
      </w:r>
    </w:p>
    <w:p>
      <w:pPr>
        <w:spacing w:before="0" w:after="100"/>
        <w:jc w:val="left"/>
      </w:pPr>
      <w:r>
        <w:rPr>
          <w:color w:val="111827"/>
          <w:sz w:val="20"/>
          <w:szCs w:val="20"/>
          <w:rFonts w:ascii="Calibri" w:cs="Calibri" w:eastAsia="Calibri" w:hAnsi="Calibri"/>
        </w:rPr>
      </w:r>
    </w:p>
    <w:p>
      <w:pPr>
        <w:spacing w:before="0" w:after="100"/>
        <w:jc w:val="left"/>
      </w:pPr>
      <w:r>
        <w:rPr>
          <w:b/>
          <w:bCs/>
          <w:color w:val="0F2C5C"/>
          <w:sz w:val="22"/>
          <w:szCs w:val="22"/>
          <w:rFonts w:ascii="Calibri" w:cs="Calibri" w:eastAsia="Calibri" w:hAnsi="Calibri"/>
        </w:rPr>
        <w:t xml:space="preserve">Dashboard per role yang sangat fokus</w:t>
      </w:r>
    </w:p>
    <w:p>
      <w:pPr>
        <w:pStyle w:val="ListParagraph"/>
        <w:numPr>
          <w:ilvl w:val="0"/>
          <w:numId w:val="1"/>
        </w:numPr>
        <w:spacing w:after="60"/>
      </w:pPr>
      <w:r>
        <w:rPr>
          <w:color w:val="111827"/>
          <w:sz w:val="20"/>
          <w:szCs w:val="20"/>
          <w:rFonts w:ascii="Calibri" w:cs="Calibri" w:eastAsia="Calibri" w:hAnsi="Calibri"/>
        </w:rPr>
        <w:t xml:space="preserve">6 dashboard (MGMT / PM / Sales / Konsultan / Admin Project / Site Admin) didesain spesifik per peran dengan KPI dan alert masing-masing. Lebih fokus dibanding "satu dashboard configurable" ala PSOHUB yang sering overwhelming.</w:t>
      </w:r>
    </w:p>
    <w:p>
      <w:pPr>
        <w:spacing w:before="0" w:after="100"/>
        <w:jc w:val="left"/>
      </w:pPr>
      <w:r>
        <w:rPr>
          <w:color w:val="111827"/>
          <w:sz w:val="20"/>
          <w:szCs w:val="20"/>
          <w:rFonts w:ascii="Calibri" w:cs="Calibri" w:eastAsia="Calibri" w:hAnsi="Calibri"/>
        </w:rPr>
      </w:r>
    </w:p>
    <w:p>
      <w:pPr>
        <w:spacing w:before="0" w:after="100"/>
        <w:jc w:val="left"/>
      </w:pPr>
      <w:r>
        <w:rPr>
          <w:b/>
          <w:bCs/>
          <w:color w:val="0F2C5C"/>
          <w:sz w:val="22"/>
          <w:szCs w:val="22"/>
          <w:rFonts w:ascii="Calibri" w:cs="Calibri" w:eastAsia="Calibri" w:hAnsi="Calibri"/>
        </w:rPr>
        <w:t xml:space="preserve">Konteks Indonesia native</w:t>
      </w:r>
    </w:p>
    <w:p>
      <w:pPr>
        <w:pStyle w:val="ListParagraph"/>
        <w:numPr>
          <w:ilvl w:val="0"/>
          <w:numId w:val="1"/>
        </w:numPr>
        <w:spacing w:after="60"/>
      </w:pPr>
      <w:r>
        <w:rPr>
          <w:color w:val="111827"/>
          <w:sz w:val="20"/>
          <w:szCs w:val="20"/>
          <w:rFonts w:ascii="Calibri" w:cs="Calibri" w:eastAsia="Calibri" w:hAnsi="Calibri"/>
        </w:rPr>
        <w:t xml:space="preserve">IDR formatting (formatIDR helper), terminologi (mandays, BAST, SPK, Terms of Payment), Bahasa Indonesia di semua label, Business Unit yang relevan ITSEC (Pentest / GRC / Threat Hunting).</w:t>
      </w:r>
    </w:p>
    <w:p>
      <w:pPr>
        <w:spacing w:before="0" w:after="100"/>
        <w:jc w:val="left"/>
      </w:pPr>
      <w:r>
        <w:rPr>
          <w:color w:val="111827"/>
          <w:sz w:val="20"/>
          <w:szCs w:val="20"/>
          <w:rFonts w:ascii="Calibri" w:cs="Calibri" w:eastAsia="Calibri" w:hAnsi="Calibri"/>
        </w:rPr>
      </w:r>
    </w:p>
    <w:p>
      <w:pPr>
        <w:spacing w:before="0" w:after="100"/>
        <w:jc w:val="left"/>
      </w:pPr>
      <w:r>
        <w:rPr>
          <w:b/>
          <w:bCs/>
          <w:color w:val="0F2C5C"/>
          <w:sz w:val="22"/>
          <w:szCs w:val="22"/>
          <w:rFonts w:ascii="Calibri" w:cs="Calibri" w:eastAsia="Calibri" w:hAnsi="Calibri"/>
        </w:rPr>
        <w:t xml:space="preserve">Skill catalog yang spesifik IT security</w:t>
      </w:r>
    </w:p>
    <w:p>
      <w:pPr>
        <w:pStyle w:val="ListParagraph"/>
        <w:numPr>
          <w:ilvl w:val="0"/>
          <w:numId w:val="1"/>
        </w:numPr>
        <w:spacing w:after="60"/>
      </w:pPr>
      <w:r>
        <w:rPr>
          <w:color w:val="111827"/>
          <w:sz w:val="20"/>
          <w:szCs w:val="20"/>
          <w:rFonts w:ascii="Calibri" w:cs="Calibri" w:eastAsia="Calibri" w:hAnsi="Calibri"/>
        </w:rPr>
        <w:t xml:space="preserve">11 skill seeded (Web/Mobile/Infra Pentest, Red Team, SWIFT/ISO 27001/SOC 2/PCI DSS Audit, DFIR, Threat Hunting, Technical Writing) — out of the box langsung relevan. PSOHUB butuh setup manual.</w:t>
      </w:r>
    </w:p>
    <w:p>
      <w:pPr>
        <w:spacing w:before="0" w:after="100"/>
        <w:jc w:val="left"/>
      </w:pPr>
      <w:r>
        <w:rPr>
          <w:color w:val="111827"/>
          <w:sz w:val="20"/>
          <w:szCs w:val="20"/>
          <w:rFonts w:ascii="Calibri" w:cs="Calibri" w:eastAsia="Calibri" w:hAnsi="Calibri"/>
        </w:rPr>
      </w:r>
    </w:p>
    <w:p>
      <w:pPr>
        <w:spacing w:before="0" w:after="100"/>
        <w:jc w:val="left"/>
      </w:pPr>
      <w:r>
        <w:rPr>
          <w:b/>
          <w:bCs/>
          <w:color w:val="0F2C5C"/>
          <w:sz w:val="22"/>
          <w:szCs w:val="22"/>
          <w:rFonts w:ascii="Calibri" w:cs="Calibri" w:eastAsia="Calibri" w:hAnsi="Calibri"/>
        </w:rPr>
        <w:t xml:space="preserve">Billable flag granular per Task</w:t>
      </w:r>
    </w:p>
    <w:p>
      <w:pPr>
        <w:pStyle w:val="ListParagraph"/>
        <w:numPr>
          <w:ilvl w:val="0"/>
          <w:numId w:val="1"/>
        </w:numPr>
        <w:spacing w:after="60"/>
      </w:pPr>
      <w:r>
        <w:rPr>
          <w:color w:val="111827"/>
          <w:sz w:val="20"/>
          <w:szCs w:val="20"/>
          <w:rFonts w:ascii="Calibri" w:cs="Calibri" w:eastAsia="Calibri" w:hAnsi="Calibri"/>
        </w:rPr>
        <w:t xml:space="preserve">Task.billable boolean memisahkan internal/training dari delivery klien dengan badge amber. Time log non-billable tetap dicatat untuk visibility tapi tidak masuk revenue/margin. Lebih bersih dibanding PSOHUB yang flag-nya di entry timesheet.</w:t>
      </w:r>
    </w:p>
    <w:p>
      <w:r>
        <w:br w:type="page"/>
      </w:r>
    </w:p>
    <w:p>
      <w:pPr>
        <w:spacing w:before="120" w:after="60"/>
      </w:pPr>
      <w:r>
        <w:rPr>
          <w:b/>
          <w:bCs/>
          <w:color w:val="C2410C"/>
          <w:sz w:val="16"/>
          <w:szCs w:val="16"/>
          <w:rFonts w:ascii="Calibri" w:cs="Calibri" w:eastAsia="Calibri" w:hAnsi="Calibri"/>
        </w:rPr>
        <w:t xml:space="preserve">05</w:t>
      </w:r>
    </w:p>
    <w:p>
      <w:pPr>
        <w:spacing w:before="360" w:after="180"/>
      </w:pPr>
      <w:r>
        <w:rPr>
          <w:b/>
          <w:bCs/>
          <w:color w:val="0F2C5C"/>
          <w:sz w:val="32"/>
          <w:szCs w:val="32"/>
          <w:rFonts w:ascii="Calibri" w:cs="Calibri" w:eastAsia="Calibri" w:hAnsi="Calibri"/>
        </w:rPr>
        <w:t xml:space="preserve">Roadmap Bertahap (Saran)</w:t>
      </w:r>
    </w:p>
    <w:p>
      <w:pPr>
        <w:pBdr>
          <w:bottom w:val="single" w:color="D6CFC1" w:sz="8"/>
        </w:pBdr>
        <w:spacing w:after="160"/>
      </w:pPr>
    </w:p>
    <w:p>
      <w:pPr>
        <w:spacing w:before="240" w:after="120"/>
      </w:pPr>
      <w:r>
        <w:rPr>
          <w:b/>
          <w:bCs/>
          <w:color w:val="0F2C5C"/>
          <w:sz w:val="24"/>
          <w:szCs w:val="24"/>
          <w:rFonts w:ascii="Calibri" w:cs="Calibri" w:eastAsia="Calibri" w:hAnsi="Calibri"/>
        </w:rPr>
        <w:t xml:space="preserve">Sprint 1–2  ·  Quick Wins  ·  ~2 minggu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Inisiatif</w:t>
            </w:r>
          </w:p>
        </w:tc>
        <w:tc>
          <w:tcPr>
            <w:tcW w:type="dxa" w:w="18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Effort</w:t>
            </w:r>
          </w:p>
        </w:tc>
        <w:tc>
          <w:tcPr>
            <w:tcW w:type="dxa" w:w="27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Hasil yang Diharapkan</w:t>
            </w:r>
          </w:p>
        </w:tc>
      </w:tr>
      <w:tr>
        <w:tc>
          <w:tcPr>
            <w:tcW w:type="dxa" w:w="45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Tax PPN 11% di Financials &amp; Billing</w:t>
            </w:r>
          </w:p>
        </w:tc>
        <w:tc>
          <w:tcPr>
            <w:tcW w:type="dxa" w:w="18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1 mg</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Compliance pajak Indonesia, angka invoice akurat</w:t>
            </w:r>
          </w:p>
        </w:tc>
      </w:tr>
      <w:tr>
        <w:tc>
          <w:tcPr>
            <w:tcW w:type="dxa" w:w="45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Email reminder timesheet harian/mingguan (cron)</w:t>
            </w:r>
          </w:p>
        </w:tc>
        <w:tc>
          <w:tcPr>
            <w:tcW w:type="dxa" w:w="1800"/>
            <w:shd w:fill="F5F2EA"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1 mg</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Disiplin pelaporan timesheet meningkat</w:t>
            </w:r>
          </w:p>
        </w:tc>
      </w:tr>
      <w:tr>
        <w:tc>
          <w:tcPr>
            <w:tcW w:type="dxa" w:w="45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Receipt upload (foto/PDF) untuk Expense</w:t>
            </w:r>
          </w:p>
        </w:tc>
        <w:tc>
          <w:tcPr>
            <w:tcW w:type="dxa" w:w="18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1 mg</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Audit trail lebih kuat, approver punya bukti</w:t>
            </w:r>
          </w:p>
        </w:tc>
      </w:tr>
    </w:tbl>
    <w:p>
      <w:pPr>
        <w:spacing w:before="240" w:after="120"/>
      </w:pPr>
      <w:r>
        <w:rPr>
          <w:b/>
          <w:bCs/>
          <w:color w:val="C2410C"/>
          <w:sz w:val="24"/>
          <w:szCs w:val="24"/>
          <w:rFonts w:ascii="Calibri" w:cs="Calibri" w:eastAsia="Calibri" w:hAnsi="Calibri"/>
        </w:rPr>
        <w:t xml:space="preserve">Sprint 3–4  ·  Core Gap  ·  ~4 minggu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Inisiatif</w:t>
            </w:r>
          </w:p>
        </w:tc>
        <w:tc>
          <w:tcPr>
            <w:tcW w:type="dxa" w:w="18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Effort</w:t>
            </w:r>
          </w:p>
        </w:tc>
        <w:tc>
          <w:tcPr>
            <w:tcW w:type="dxa" w:w="27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Hasil yang Diharapkan</w:t>
            </w:r>
          </w:p>
        </w:tc>
      </w:tr>
      <w:tr>
        <w:tc>
          <w:tcPr>
            <w:tcW w:type="dxa" w:w="45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Generate draft invoice PDF dari approved timesheet + milestone</w:t>
            </w:r>
          </w:p>
        </w:tc>
        <w:tc>
          <w:tcPr>
            <w:tcW w:type="dxa" w:w="18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3-4 mg</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Cash flow lebih cepat, hemat waktu admin 2-3 jam/invoice</w:t>
            </w:r>
          </w:p>
        </w:tc>
      </w:tr>
      <w:tr>
        <w:tc>
          <w:tcPr>
            <w:tcW w:type="dxa" w:w="45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Email notifikasi (timesheet pending, expense pending, project at-risk, milestone overdue)</w:t>
            </w:r>
          </w:p>
        </w:tc>
        <w:tc>
          <w:tcPr>
            <w:tcW w:type="dxa" w:w="1800"/>
            <w:shd w:fill="F5F2EA"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2-3 mg</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Respons approval lebih cepat, project tidak stagnan</w:t>
            </w:r>
          </w:p>
        </w:tc>
      </w:tr>
      <w:tr>
        <w:tc>
          <w:tcPr>
            <w:tcW w:type="dxa" w:w="45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Aging invoice dashboard (Outstanding 30/60/90 hari)</w:t>
            </w:r>
          </w:p>
        </w:tc>
        <w:tc>
          <w:tcPr>
            <w:tcW w:type="dxa" w:w="18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2 mg</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MGMT sadar collection issue lebih awal</w:t>
            </w:r>
          </w:p>
        </w:tc>
      </w:tr>
    </w:tbl>
    <w:p>
      <w:pPr>
        <w:spacing w:before="240" w:after="120"/>
      </w:pPr>
      <w:r>
        <w:rPr>
          <w:b/>
          <w:bCs/>
          <w:color w:val="166534"/>
          <w:sz w:val="24"/>
          <w:szCs w:val="24"/>
          <w:rFonts w:ascii="Calibri" w:cs="Calibri" w:eastAsia="Calibri" w:hAnsi="Calibri"/>
        </w:rPr>
        <w:t xml:space="preserve">Sprint 5+  ·  Strategic  ·  &gt;6 minggu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Inisiatif</w:t>
            </w:r>
          </w:p>
        </w:tc>
        <w:tc>
          <w:tcPr>
            <w:tcW w:type="dxa" w:w="1800"/>
            <w:shd w:fill="0F2C5C" w:color="auto" w:val="clear"/>
            <w:tcMar>
              <w:top w:type="dxa" w:w="80"/>
              <w:left w:type="dxa" w:w="110"/>
              <w:bottom w:type="dxa" w:w="80"/>
              <w:right w:type="dxa" w:w="110"/>
            </w:tcMar>
            <w:vAlign w:val="center"/>
          </w:tcPr>
          <w:p>
            <w:pPr>
              <w:jc w:val="center"/>
            </w:pPr>
            <w:r>
              <w:rPr>
                <w:b/>
                <w:bCs/>
                <w:color w:val="FFFFFF"/>
                <w:sz w:val="18"/>
                <w:szCs w:val="18"/>
                <w:rFonts w:ascii="Calibri" w:cs="Calibri" w:eastAsia="Calibri" w:hAnsi="Calibri"/>
              </w:rPr>
              <w:t xml:space="preserve">Effort</w:t>
            </w:r>
          </w:p>
        </w:tc>
        <w:tc>
          <w:tcPr>
            <w:tcW w:type="dxa" w:w="2700"/>
            <w:shd w:fill="0F2C5C" w:color="auto" w:val="clear"/>
            <w:tcMar>
              <w:top w:type="dxa" w:w="80"/>
              <w:left w:type="dxa" w:w="110"/>
              <w:bottom w:type="dxa" w:w="80"/>
              <w:right w:type="dxa" w:w="110"/>
            </w:tcMar>
            <w:vAlign w:val="center"/>
          </w:tcPr>
          <w:p>
            <w:pPr>
              <w:jc w:val="left"/>
            </w:pPr>
            <w:r>
              <w:rPr>
                <w:b/>
                <w:bCs/>
                <w:color w:val="FFFFFF"/>
                <w:sz w:val="18"/>
                <w:szCs w:val="18"/>
                <w:rFonts w:ascii="Calibri" w:cs="Calibri" w:eastAsia="Calibri" w:hAnsi="Calibri"/>
              </w:rPr>
              <w:t xml:space="preserve">Hasil yang Diharapkan</w:t>
            </w:r>
          </w:p>
        </w:tc>
      </w:tr>
      <w:tr>
        <w:tc>
          <w:tcPr>
            <w:tcW w:type="dxa" w:w="45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SSO Google + Microsoft</w:t>
            </w:r>
          </w:p>
        </w:tc>
        <w:tc>
          <w:tcPr>
            <w:tcW w:type="dxa" w:w="18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2 mg</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Adopsi user lebih mudah, keamanan lebih baik</w:t>
            </w:r>
          </w:p>
        </w:tc>
      </w:tr>
      <w:tr>
        <w:tc>
          <w:tcPr>
            <w:tcW w:type="dxa" w:w="45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Scenario planning resource (soft vs hard booking)</w:t>
            </w:r>
          </w:p>
        </w:tc>
        <w:tc>
          <w:tcPr>
            <w:tcW w:type="dxa" w:w="1800"/>
            <w:shd w:fill="F5F2EA"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3 mg</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PM bisa simulasi assignment sebelum commit</w:t>
            </w:r>
          </w:p>
        </w:tc>
      </w:tr>
      <w:tr>
        <w:tc>
          <w:tcPr>
            <w:tcW w:type="dxa" w:w="4500"/>
            <w:shd w:fill="FFFFFF"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Client portal mini (read-only status + dokumen)</w:t>
            </w:r>
          </w:p>
        </w:tc>
        <w:tc>
          <w:tcPr>
            <w:tcW w:type="dxa" w:w="1800"/>
            <w:shd w:fill="FFFFFF"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4 mg</w:t>
            </w:r>
          </w:p>
        </w:tc>
        <w:tc>
          <w:tcPr>
            <w:tcW w:type="dxa" w:w="2700"/>
            <w:shd w:fill="FFFFFF"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Mengurangi email back-and-forth dengan klien</w:t>
            </w:r>
          </w:p>
        </w:tc>
      </w:tr>
      <w:tr>
        <w:tc>
          <w:tcPr>
            <w:tcW w:type="dxa" w:w="4500"/>
            <w:shd w:fill="F5F2EA" w:color="auto" w:val="clear"/>
            <w:tcMar>
              <w:top w:type="dxa" w:w="80"/>
              <w:left w:type="dxa" w:w="110"/>
              <w:bottom w:type="dxa" w:w="80"/>
              <w:right w:type="dxa" w:w="110"/>
            </w:tcMar>
            <w:vAlign w:val="center"/>
          </w:tcPr>
          <w:p>
            <w:pPr>
              <w:jc w:val="left"/>
            </w:pPr>
            <w:r>
              <w:rPr>
                <w:b/>
                <w:bCs/>
                <w:color w:val="111827"/>
                <w:sz w:val="18"/>
                <w:szCs w:val="18"/>
                <w:rFonts w:ascii="Calibri" w:cs="Calibri" w:eastAsia="Calibri" w:hAnsi="Calibri"/>
              </w:rPr>
              <w:t xml:space="preserve">Custom report builder sederhana</w:t>
            </w:r>
          </w:p>
        </w:tc>
        <w:tc>
          <w:tcPr>
            <w:tcW w:type="dxa" w:w="1800"/>
            <w:shd w:fill="F5F2EA" w:color="auto" w:val="clear"/>
            <w:tcMar>
              <w:top w:type="dxa" w:w="80"/>
              <w:left w:type="dxa" w:w="110"/>
              <w:bottom w:type="dxa" w:w="80"/>
              <w:right w:type="dxa" w:w="110"/>
            </w:tcMar>
            <w:vAlign w:val="center"/>
          </w:tcPr>
          <w:p>
            <w:pPr>
              <w:jc w:val="center"/>
            </w:pPr>
            <w:r>
              <w:rPr>
                <w:color w:val="475569"/>
                <w:sz w:val="18"/>
                <w:szCs w:val="18"/>
                <w:rFonts w:ascii="Calibri" w:cs="Calibri" w:eastAsia="Calibri" w:hAnsi="Calibri"/>
              </w:rPr>
              <w:t xml:space="preserve">6 mg</w:t>
            </w:r>
          </w:p>
        </w:tc>
        <w:tc>
          <w:tcPr>
            <w:tcW w:type="dxa" w:w="2700"/>
            <w:shd w:fill="F5F2EA" w:color="auto" w:val="clear"/>
            <w:tcMar>
              <w:top w:type="dxa" w:w="80"/>
              <w:left w:type="dxa" w:w="110"/>
              <w:bottom w:type="dxa" w:w="80"/>
              <w:right w:type="dxa" w:w="110"/>
            </w:tcMar>
            <w:vAlign w:val="center"/>
          </w:tcPr>
          <w:p>
            <w:pPr>
              <w:jc w:val="left"/>
            </w:pPr>
            <w:r>
              <w:rPr>
                <w:color w:val="111827"/>
                <w:sz w:val="18"/>
                <w:szCs w:val="18"/>
                <w:rFonts w:ascii="Calibri" w:cs="Calibri" w:eastAsia="Calibri" w:hAnsi="Calibri"/>
              </w:rPr>
              <w:t xml:space="preserve">MGMT/PM bisa buat laporan ad-hoc sendiri</w:t>
            </w:r>
          </w:p>
        </w:tc>
      </w:tr>
    </w:tbl>
    <w:p>
      <w:r>
        <w:br w:type="page"/>
      </w:r>
    </w:p>
    <w:p>
      <w:pPr>
        <w:spacing w:before="120" w:after="60"/>
      </w:pPr>
      <w:r>
        <w:rPr>
          <w:b/>
          <w:bCs/>
          <w:color w:val="C2410C"/>
          <w:sz w:val="16"/>
          <w:szCs w:val="16"/>
          <w:rFonts w:ascii="Calibri" w:cs="Calibri" w:eastAsia="Calibri" w:hAnsi="Calibri"/>
        </w:rPr>
        <w:t xml:space="preserve">06</w:t>
      </w:r>
    </w:p>
    <w:p>
      <w:pPr>
        <w:spacing w:before="360" w:after="180"/>
      </w:pPr>
      <w:r>
        <w:rPr>
          <w:b/>
          <w:bCs/>
          <w:color w:val="0F2C5C"/>
          <w:sz w:val="32"/>
          <w:szCs w:val="32"/>
          <w:rFonts w:ascii="Calibri" w:cs="Calibri" w:eastAsia="Calibri" w:hAnsi="Calibri"/>
        </w:rPr>
        <w:t xml:space="preserve">Kesimpulan</w:t>
      </w:r>
    </w:p>
    <w:p>
      <w:pPr>
        <w:pBdr>
          <w:bottom w:val="single" w:color="D6CFC1" w:sz="8"/>
        </w:pBdr>
        <w:spacing w:after="160"/>
      </w:pPr>
    </w:p>
    <w:p>
      <w:pPr>
        <w:spacing w:before="0" w:after="160"/>
        <w:jc w:val="left"/>
      </w:pPr>
      <w:r>
        <w:rPr>
          <w:color w:val="111827"/>
          <w:sz w:val="22"/>
          <w:szCs w:val="22"/>
          <w:rFonts w:ascii="Calibri" w:cs="Calibri" w:eastAsia="Calibri" w:hAnsi="Calibri"/>
        </w:rPr>
        <w:t xml:space="preserve">SecureProfit Hub sudah sangat solid untuk operasi delivery + profit tracking — modul Project Management, Time Tracking, Resource Planning, Expense Approval, dan Profitability Real-time sudah setara PSOHUB, bahkan unggul di beberapa area khas ITSEC Indonesia (Principal supervisor, Survey klien dengan token publik, dashboard per-role yang opinionated).</w:t>
      </w:r>
    </w:p>
    <w:p>
      <w:pPr>
        <w:spacing w:before="0" w:after="100"/>
        <w:jc w:val="left"/>
      </w:pPr>
      <w:r>
        <w:rPr>
          <w:b/>
          <w:bCs/>
          <w:color w:val="0F2C5C"/>
          <w:sz w:val="22"/>
          <w:szCs w:val="22"/>
          <w:rFonts w:ascii="Calibri" w:cs="Calibri" w:eastAsia="Calibri" w:hAnsi="Calibri"/>
        </w:rPr>
        <w:t xml:space="preserve">Gap utama yang memberi ROI bisnis paling jelas terletak di dua kategori:</w:t>
      </w:r>
    </w:p>
    <w:p>
      <w:pPr>
        <w:pStyle w:val="ListParagraph"/>
        <w:numPr>
          <w:ilvl w:val="0"/>
          <w:numId w:val="1"/>
        </w:numPr>
        <w:spacing w:after="60"/>
      </w:pPr>
      <w:r>
        <w:rPr>
          <w:color w:val="111827"/>
          <w:sz w:val="20"/>
          <w:szCs w:val="20"/>
          <w:rFonts w:ascii="Calibri" w:cs="Calibri" w:eastAsia="Calibri" w:hAnsi="Calibri"/>
        </w:rPr>
        <w:t xml:space="preserve">Billing Automation — auto-invoice + tax PPN + aging tracker (gap #1, #2, #4 di top-10)</w:t>
      </w:r>
    </w:p>
    <w:p>
      <w:pPr>
        <w:pStyle w:val="ListParagraph"/>
        <w:numPr>
          <w:ilvl w:val="0"/>
          <w:numId w:val="1"/>
        </w:numPr>
        <w:spacing w:after="60"/>
      </w:pPr>
      <w:r>
        <w:rPr>
          <w:color w:val="111827"/>
          <w:sz w:val="20"/>
          <w:szCs w:val="20"/>
          <w:rFonts w:ascii="Calibri" w:cs="Calibri" w:eastAsia="Calibri" w:hAnsi="Calibri"/>
        </w:rPr>
        <w:t xml:space="preserve">Disiplin Operasional — email notif &amp; reminder otomatis (gap #3, #7)</w:t>
      </w:r>
    </w:p>
    <w:p>
      <w:pPr>
        <w:spacing w:before="0" w:after="100"/>
        <w:jc w:val="left"/>
      </w:pPr>
      <w:r>
        <w:rPr>
          <w:color w:val="111827"/>
          <w:sz w:val="20"/>
          <w:szCs w:val="20"/>
          <w:rFonts w:ascii="Calibri" w:cs="Calibri" w:eastAsia="Calibri" w:hAnsi="Calibri"/>
        </w:rPr>
      </w:r>
    </w:p>
    <w:p>
      <w:pPr>
        <w:spacing w:before="0" w:after="200"/>
        <w:jc w:val="left"/>
      </w:pPr>
      <w:r>
        <w:rPr>
          <w:color w:val="111827"/>
          <w:sz w:val="22"/>
          <w:szCs w:val="22"/>
          <w:rFonts w:ascii="Calibri" w:cs="Calibri" w:eastAsia="Calibri" w:hAnsi="Calibri"/>
        </w:rPr>
        <w:t xml:space="preserve">Bukan di mengejar fitur "PSA lengkap" seperti CRM / proposal / multi-currency / mobile native — yang relevansinya rendah untuk satu firma ITSEC Indonesia dan jauh lebih efisien diatasi dengan integrasi tool eksternal.</w:t>
      </w:r>
    </w:p>
    <w:p>
      <w:pPr>
        <w:pBdr>
          <w:left w:val="single" w:color="C2410C" w:sz="24"/>
        </w:pBdr>
        <w:shd w:fill="FDF3E0" w:color="auto" w:val="clear"/>
        <w:spacing w:before="160" w:after="160"/>
      </w:pPr>
      <w:r>
        <w:rPr>
          <w:i/>
          <w:iCs/>
          <w:color w:val="0F2C5C"/>
          <w:sz w:val="20"/>
          <w:szCs w:val="20"/>
          <w:rFonts w:ascii="Calibri" w:cs="Calibri" w:eastAsia="Calibri" w:hAnsi="Calibri"/>
        </w:rPr>
        <w:t xml:space="preserve">Pendekatan yang disarankan: fokus pada 5 gap teratas (PPN, auto-invoice, email notif, aging tracker, receipt upload) di Sprint 1–4. Pertahankan keunggulan unik (Principal hierarchy, Survey, dashboard per-role, BU &amp; Skill catalog ITSEC). Integrasikan dengan tool eksternal untuk area di luar core (CRM, e-signature) daripada membangun ulang.</w:t>
      </w:r>
    </w:p>
    <w:p>
      <w:pPr>
        <w:spacing w:before="0" w:after="100"/>
        <w:jc w:val="left"/>
      </w:pPr>
      <w:r>
        <w:rPr>
          <w:color w:val="111827"/>
          <w:sz w:val="20"/>
          <w:szCs w:val="20"/>
          <w:rFonts w:ascii="Calibri" w:cs="Calibri" w:eastAsia="Calibri" w:hAnsi="Calibri"/>
        </w:rPr>
      </w:r>
    </w:p>
    <w:p>
      <w:pPr>
        <w:spacing w:before="0" w:after="100"/>
        <w:jc w:val="left"/>
      </w:pPr>
      <w:r>
        <w:rPr>
          <w:color w:val="475569"/>
          <w:sz w:val="20"/>
          <w:szCs w:val="20"/>
          <w:rFonts w:ascii="Calibri" w:cs="Calibri" w:eastAsia="Calibri" w:hAnsi="Calibri"/>
        </w:rPr>
        <w:t xml:space="preserve">Total estimasi roadmap Sprint 1–4: </w:t>
      </w:r>
      <w:r>
        <w:rPr>
          <w:b/>
          <w:bCs/>
          <w:color w:val="0F2C5C"/>
          <w:sz w:val="20"/>
          <w:szCs w:val="20"/>
          <w:rFonts w:ascii="Calibri" w:cs="Calibri" w:eastAsia="Calibri" w:hAnsi="Calibri"/>
        </w:rPr>
        <w:t xml:space="preserve">~10–12 minggu kerja</w:t>
      </w:r>
      <w:r>
        <w:rPr>
          <w:color w:val="475569"/>
          <w:sz w:val="20"/>
          <w:szCs w:val="20"/>
          <w:rFonts w:ascii="Calibri" w:cs="Calibri" w:eastAsia="Calibri" w:hAnsi="Calibri"/>
        </w:rPr>
        <w:t xml:space="preserve"> dengan 1 backend + 1 frontend developer. Investasi ini menutup 80% gap berdampak tinggi dan memposisikan SecureProfit Hub setara PSOHUB di kategori PSA delivery + billing untuk pasar firma ITSEC Indonesia.</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SecureProfit Hub vs PSOHUB</dc:title>
  <dc:creator>SecureProfit Hub</dc:creator>
  <cp:lastModifiedBy>Un-named</cp:lastModifiedBy>
  <cp:revision>1</cp:revision>
  <dcterms:created xsi:type="dcterms:W3CDTF">2026-05-14T01:29:18.250Z</dcterms:created>
  <dcterms:modified xsi:type="dcterms:W3CDTF">2026-05-14T01:29:18.251Z</dcterms:modified>
</cp:coreProperties>
</file>

<file path=docProps/custom.xml><?xml version="1.0" encoding="utf-8"?>
<Properties xmlns="http://schemas.openxmlformats.org/officeDocument/2006/custom-properties" xmlns:vt="http://schemas.openxmlformats.org/officeDocument/2006/docPropsVTypes"/>
</file>