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line="290"/>
        <w:jc w:val="center"/>
      </w:pPr>
      <w:r>
        <w:rPr>
          <w:rFonts w:ascii="Aptos" w:cs="Aptos" w:eastAsia="Aptos" w:hAnsi="Aptos"/>
          <w:b/>
          <w:bCs/>
          <w:color w:val="17365D"/>
          <w:sz w:val="31"/>
          <w:szCs w:val="31"/>
        </w:rPr>
        <w:t xml:space="preserve">ADDITIONAL FSD REVIEW &amp; CONSOLIDATION RECOMMENDATION</w:t>
      </w:r>
    </w:p>
    <w:p>
      <w:pPr>
        <w:spacing w:after="240" w:line="290"/>
        <w:jc w:val="center"/>
      </w:pPr>
      <w:r>
        <w:rPr>
          <w:rFonts w:ascii="Aptos" w:cs="Aptos" w:eastAsia="Aptos" w:hAnsi="Aptos"/>
          <w:b/>
          <w:bCs/>
          <w:color w:val="1F2937"/>
          <w:sz w:val="26"/>
          <w:szCs w:val="26"/>
        </w:rPr>
        <w:t xml:space="preserve">SecureProfit Hub — DEMO-13 and DEMO-14</w:t>
      </w:r>
    </w:p>
    <w:p>
      <w:pPr>
        <w:spacing w:after="120" w:line="290"/>
      </w:pPr>
      <w:r>
        <w:rPr>
          <w:rFonts w:ascii="Aptos" w:cs="Aptos" w:eastAsia="Aptos" w:hAnsi="Aptos"/>
          <w:b/>
          <w:bCs/>
          <w:color w:val="17365D"/>
          <w:sz w:val="21"/>
          <w:szCs w:val="21"/>
        </w:rPr>
        <w:t xml:space="preserve">Expansion of the Master Baseline from 12 FSDs to 14 FSDs</w:t>
      </w:r>
    </w:p>
    <w:p>
      <w:pPr>
        <w:pStyle w:val="Heading1"/>
        <w:spacing w:after="90" w:before="220"/>
      </w:pPr>
      <w:r>
        <w:rPr>
          <w:rFonts w:ascii="Aptos Display" w:cs="Aptos Display" w:eastAsia="Aptos Display" w:hAnsi="Aptos Display"/>
          <w:b/>
          <w:bCs/>
          <w:color w:val="17365D"/>
        </w:rPr>
        <w:t xml:space="preserve">Executive Summary</w:t>
      </w:r>
    </w:p>
    <w:p>
      <w:pPr>
        <w:spacing w:after="120" w:line="290"/>
      </w:pPr>
      <w:r>
        <w:rPr>
          <w:rFonts w:ascii="Aptos" w:cs="Aptos" w:eastAsia="Aptos" w:hAnsi="Aptos"/>
          <w:color w:val="1F2937"/>
          <w:sz w:val="21"/>
          <w:szCs w:val="21"/>
        </w:rPr>
        <w:t xml:space="preserve">The latest archive contains 14 FSDs. Two documents were not included in the previous 12-FSD baseline:</w:t>
      </w:r>
    </w:p>
    <w:p>
      <w:pPr>
        <w:pStyle w:val="ListParagraph"/>
        <w:numPr>
          <w:ilvl w:val="0"/>
          <w:numId w:val="1"/>
        </w:numPr>
        <w:spacing w:after="55" w:line="270"/>
      </w:pPr>
      <w:r>
        <w:t xml:space="preserve">DEMO-13 — Revenue Recognition Dual-Timeline &amp; Finance Gate Engine.</w:t>
      </w:r>
    </w:p>
    <w:p>
      <w:pPr>
        <w:pStyle w:val="ListParagraph"/>
        <w:numPr>
          <w:ilvl w:val="0"/>
          <w:numId w:val="1"/>
        </w:numPr>
        <w:spacing w:after="55" w:line="270"/>
      </w:pPr>
      <w:r>
        <w:t xml:space="preserve">DEMO-14 — Project Activation Data Integrity Hard-Gate &amp; Contract Line Classification Engine.</w:t>
      </w:r>
    </w:p>
    <w:p>
      <w:pPr>
        <w:spacing w:after="120" w:line="290"/>
      </w:pPr>
      <w:r>
        <w:rPr>
          <w:rFonts w:ascii="Aptos" w:cs="Aptos" w:eastAsia="Aptos" w:hAnsi="Aptos"/>
          <w:b/>
          <w:bCs/>
          <w:color w:val="92400E"/>
          <w:sz w:val="21"/>
          <w:szCs w:val="21"/>
        </w:rPr>
        <w:t xml:space="preserve">Both requirements are valid additions, but both documents remain Draft v0.01 and require technical corrections before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7365D" w:val="clear"/>
            <w:tcMar>
              <w:top w:type="dxa" w:w="75"/>
              <w:left w:type="dxa" w:w="90"/>
              <w:bottom w:type="dxa" w:w="75"/>
              <w:right w:type="dxa" w:w="90"/>
            </w:tcMar>
          </w:tcPr>
          <w:p>
            <w:r>
              <w:rPr>
                <w:rFonts w:ascii="Aptos" w:cs="Aptos" w:eastAsia="Aptos" w:hAnsi="Aptos"/>
                <w:b/>
                <w:bCs/>
                <w:color w:val="FFFFFF"/>
                <w:sz w:val="17"/>
                <w:szCs w:val="17"/>
              </w:rPr>
              <w:t xml:space="preserve">FSD</w:t>
            </w:r>
          </w:p>
        </w:tc>
        <w:tc>
          <w:tcPr>
            <w:shd w:fill="17365D" w:val="clear"/>
            <w:tcMar>
              <w:top w:type="dxa" w:w="75"/>
              <w:left w:type="dxa" w:w="90"/>
              <w:bottom w:type="dxa" w:w="75"/>
              <w:right w:type="dxa" w:w="90"/>
            </w:tcMar>
          </w:tcPr>
          <w:p>
            <w:r>
              <w:rPr>
                <w:rFonts w:ascii="Aptos" w:cs="Aptos" w:eastAsia="Aptos" w:hAnsi="Aptos"/>
                <w:b/>
                <w:bCs/>
                <w:color w:val="FFFFFF"/>
                <w:sz w:val="17"/>
                <w:szCs w:val="17"/>
              </w:rPr>
              <w:t xml:space="preserve">Business Need</w:t>
            </w:r>
          </w:p>
        </w:tc>
        <w:tc>
          <w:tcPr>
            <w:shd w:fill="17365D" w:val="clear"/>
            <w:tcMar>
              <w:top w:type="dxa" w:w="75"/>
              <w:left w:type="dxa" w:w="90"/>
              <w:bottom w:type="dxa" w:w="75"/>
              <w:right w:type="dxa" w:w="90"/>
            </w:tcMar>
          </w:tcPr>
          <w:p>
            <w:r>
              <w:rPr>
                <w:rFonts w:ascii="Aptos" w:cs="Aptos" w:eastAsia="Aptos" w:hAnsi="Aptos"/>
                <w:b/>
                <w:bCs/>
                <w:color w:val="FFFFFF"/>
                <w:sz w:val="17"/>
                <w:szCs w:val="17"/>
              </w:rPr>
              <w:t xml:space="preserve">Current Readiness</w:t>
            </w:r>
          </w:p>
        </w:tc>
        <w:tc>
          <w:tcPr>
            <w:shd w:fill="17365D" w:val="clear"/>
            <w:tcMar>
              <w:top w:type="dxa" w:w="75"/>
              <w:left w:type="dxa" w:w="90"/>
              <w:bottom w:type="dxa" w:w="75"/>
              <w:right w:type="dxa" w:w="90"/>
            </w:tcMar>
          </w:tcPr>
          <w:p>
            <w:r>
              <w:rPr>
                <w:rFonts w:ascii="Aptos" w:cs="Aptos" w:eastAsia="Aptos" w:hAnsi="Aptos"/>
                <w:b/>
                <w:bCs/>
                <w:color w:val="FFFFFF"/>
                <w:sz w:val="17"/>
                <w:szCs w:val="17"/>
              </w:rPr>
              <w:t xml:space="preserve">Recommended Phase</w:t>
            </w:r>
          </w:p>
        </w:tc>
      </w:tr>
      <w:tr>
        <w:tc>
          <w:tcPr>
            <w:tcMar>
              <w:top w:type="dxa" w:w="75"/>
              <w:left w:type="dxa" w:w="90"/>
              <w:bottom w:type="dxa" w:w="75"/>
              <w:right w:type="dxa" w:w="90"/>
            </w:tcMar>
          </w:tcPr>
          <w:p>
            <w:r>
              <w:rPr>
                <w:rFonts w:ascii="Aptos" w:cs="Aptos" w:eastAsia="Aptos" w:hAnsi="Aptos"/>
                <w:b w:val="false"/>
                <w:bCs w:val="false"/>
                <w:color w:val="1F2937"/>
                <w:sz w:val="17"/>
                <w:szCs w:val="17"/>
              </w:rPr>
              <w:t xml:space="preserve">DEMO-13</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Valid and important</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Revise before implementation</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Phase 3</w:t>
            </w:r>
          </w:p>
        </w:tc>
      </w:tr>
      <w:tr>
        <w:tc>
          <w:tcPr>
            <w:tcMar>
              <w:top w:type="dxa" w:w="75"/>
              <w:left w:type="dxa" w:w="90"/>
              <w:bottom w:type="dxa" w:w="75"/>
              <w:right w:type="dxa" w:w="90"/>
            </w:tcMar>
          </w:tcPr>
          <w:p>
            <w:r>
              <w:rPr>
                <w:rFonts w:ascii="Aptos" w:cs="Aptos" w:eastAsia="Aptos" w:hAnsi="Aptos"/>
                <w:b w:val="false"/>
                <w:bCs w:val="false"/>
                <w:color w:val="1F2937"/>
                <w:sz w:val="17"/>
                <w:szCs w:val="17"/>
              </w:rPr>
              <w:t xml:space="preserve">DEMO-14</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Valid; partially overlaps existing functionality</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Revise and extend existing gate</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Phase 3</w:t>
            </w:r>
          </w:p>
        </w:tc>
      </w:tr>
    </w:tbl>
    <w:p>
      <w:pPr>
        <w:pStyle w:val="Heading1"/>
        <w:spacing w:after="90" w:before="220"/>
      </w:pPr>
      <w:r>
        <w:rPr>
          <w:rFonts w:ascii="Aptos Display" w:cs="Aptos Display" w:eastAsia="Aptos Display" w:hAnsi="Aptos Display"/>
          <w:b/>
          <w:bCs/>
          <w:color w:val="17365D"/>
        </w:rPr>
        <w:t xml:space="preserve">1. DEMO-13 — Revenue Recognition Dual-Timeline</w:t>
      </w:r>
    </w:p>
    <w:p>
      <w:pPr>
        <w:pStyle w:val="Heading2"/>
        <w:spacing w:after="90" w:before="220"/>
      </w:pPr>
      <w:r>
        <w:rPr>
          <w:rFonts w:ascii="Aptos Display" w:cs="Aptos Display" w:eastAsia="Aptos Display" w:hAnsi="Aptos Display"/>
          <w:b/>
          <w:bCs/>
          <w:color w:val="17365D"/>
        </w:rPr>
        <w:t xml:space="preserve">Assessment</w:t>
      </w:r>
    </w:p>
    <w:p>
      <w:pPr>
        <w:spacing w:after="120" w:line="290"/>
      </w:pPr>
      <w:r>
        <w:rPr>
          <w:rFonts w:ascii="Aptos" w:cs="Aptos" w:eastAsia="Aptos" w:hAnsi="Aptos"/>
          <w:color w:val="1F2937"/>
          <w:sz w:val="21"/>
          <w:szCs w:val="21"/>
        </w:rPr>
        <w:t xml:space="preserve">The business requirement is valid: billing and revenue recognition must operate on separate timelines. Billing covers invoicing, tax and payment; revenue recognition covers performance obligations, delivery evidence, recognition dates and accounting journals.</w:t>
      </w:r>
    </w:p>
    <w:p>
      <w:pPr>
        <w:spacing w:after="120" w:line="290"/>
      </w:pPr>
      <w:r>
        <w:rPr>
          <w:rFonts w:ascii="Aptos" w:cs="Aptos" w:eastAsia="Aptos" w:hAnsi="Aptos"/>
          <w:color w:val="1F2937"/>
          <w:sz w:val="21"/>
          <w:szCs w:val="21"/>
        </w:rPr>
        <w:t xml:space="preserve">SecureProfit Hub already has Revenue Recognition API and UI behavior derived from BillingMilestone records. DEMO-13 must therefore be treated as a controlled migration from the existing inferred model, not as an entirely greenfield feature.</w:t>
      </w:r>
    </w:p>
    <w:p>
      <w:pPr>
        <w:pStyle w:val="Heading2"/>
        <w:spacing w:after="90" w:before="220"/>
      </w:pPr>
      <w:r>
        <w:rPr>
          <w:rFonts w:ascii="Aptos Display" w:cs="Aptos Display" w:eastAsia="Aptos Display" w:hAnsi="Aptos Display"/>
          <w:b/>
          <w:bCs/>
          <w:color w:val="17365D"/>
        </w:rPr>
        <w:t xml:space="preserve">Mandatory Revisions</w:t>
      </w:r>
    </w:p>
    <w:p>
      <w:pPr>
        <w:pStyle w:val="Heading3"/>
        <w:spacing w:after="90" w:before="220"/>
      </w:pPr>
      <w:r>
        <w:rPr>
          <w:rFonts w:ascii="Aptos Display" w:cs="Aptos Display" w:eastAsia="Aptos Display" w:hAnsi="Aptos Display"/>
          <w:b/>
          <w:bCs/>
          <w:color w:val="17365D"/>
        </w:rPr>
        <w:t xml:space="preserve">1.1 Align roles with the actual system</w:t>
      </w:r>
    </w:p>
    <w:p>
      <w:pPr>
        <w:pStyle w:val="ListParagraph"/>
        <w:numPr>
          <w:ilvl w:val="0"/>
          <w:numId w:val="1"/>
        </w:numPr>
        <w:spacing w:after="55" w:line="270"/>
      </w:pPr>
      <w:r>
        <w:t xml:space="preserve">Replace FINANCE_LEAD with FINANCE.</w:t>
      </w:r>
    </w:p>
    <w:p>
      <w:pPr>
        <w:pStyle w:val="ListParagraph"/>
        <w:numPr>
          <w:ilvl w:val="0"/>
          <w:numId w:val="1"/>
        </w:numPr>
        <w:spacing w:after="55" w:line="270"/>
      </w:pPr>
      <w:r>
        <w:t xml:space="preserve">Replace DELIVERY_LEAD with PROJECT_MANAGER where appropriate.</w:t>
      </w:r>
    </w:p>
    <w:p>
      <w:pPr>
        <w:pStyle w:val="ListParagraph"/>
        <w:numPr>
          <w:ilvl w:val="0"/>
          <w:numId w:val="1"/>
        </w:numPr>
        <w:spacing w:after="55" w:line="270"/>
      </w:pPr>
      <w:r>
        <w:t xml:space="preserve">Use MANAGEMENT and SUPER_ADMIN only for explicitly defined oversight or recovery actions.</w:t>
      </w:r>
    </w:p>
    <w:p>
      <w:pPr>
        <w:pStyle w:val="ListParagraph"/>
        <w:numPr>
          <w:ilvl w:val="0"/>
          <w:numId w:val="1"/>
        </w:numPr>
        <w:spacing w:after="55" w:line="270"/>
      </w:pPr>
      <w:r>
        <w:t xml:space="preserve">Do not grant SITE_ADMIN automatic financial-recognition authority.</w:t>
      </w:r>
    </w:p>
    <w:p>
      <w:pPr>
        <w:pStyle w:val="Heading3"/>
        <w:spacing w:after="90" w:before="220"/>
      </w:pPr>
      <w:r>
        <w:rPr>
          <w:rFonts w:ascii="Aptos Display" w:cs="Aptos Display" w:eastAsia="Aptos Display" w:hAnsi="Aptos Display"/>
          <w:b/>
          <w:bCs/>
          <w:color w:val="17365D"/>
        </w:rPr>
        <w:t xml:space="preserve">1.2 Correct the PSAK 115 / IFRS 15 trigger rule</w:t>
      </w:r>
    </w:p>
    <w:p>
      <w:pPr>
        <w:spacing w:after="120" w:line="290"/>
      </w:pPr>
      <w:r>
        <w:rPr>
          <w:rFonts w:ascii="Aptos" w:cs="Aptos" w:eastAsia="Aptos" w:hAnsi="Aptos"/>
          <w:color w:val="1F2937"/>
          <w:sz w:val="21"/>
          <w:szCs w:val="21"/>
        </w:rPr>
        <w:t xml:space="preserve">Contract signing, PO receipt or advance payment must not automatically recognize revenue. Advance receipts normally create a contract liability unless the relevant performance obligation has been satisfied.</w:t>
      </w:r>
    </w:p>
    <w:p>
      <w:pPr>
        <w:pStyle w:val="ListParagraph"/>
        <w:numPr>
          <w:ilvl w:val="0"/>
          <w:numId w:val="1"/>
        </w:numPr>
        <w:spacing w:after="55" w:line="270"/>
      </w:pPr>
      <w:r>
        <w:t xml:space="preserve">Recommended triggers: TIME_ELAPSED, DELIVERABLE_ACCEPTED, USAGE_BASED and MANUAL_FINANCE_ASSESSMENT.</w:t>
      </w:r>
    </w:p>
    <w:p>
      <w:pPr>
        <w:pStyle w:val="ListParagraph"/>
        <w:numPr>
          <w:ilvl w:val="0"/>
          <w:numId w:val="1"/>
        </w:numPr>
        <w:spacing w:after="55" w:line="270"/>
      </w:pPr>
      <w:r>
        <w:t xml:space="preserve">Recognition must retain evidence of performance-obligation satisfaction.</w:t>
      </w:r>
    </w:p>
    <w:p>
      <w:pPr>
        <w:pStyle w:val="Heading3"/>
        <w:spacing w:after="90" w:before="220"/>
      </w:pPr>
      <w:r>
        <w:rPr>
          <w:rFonts w:ascii="Aptos Display" w:cs="Aptos Display" w:eastAsia="Aptos Display" w:hAnsi="Aptos Display"/>
          <w:b/>
          <w:bCs/>
          <w:color w:val="17365D"/>
        </w:rPr>
        <w:t xml:space="preserve">1.3 Make recognized entries immutable</w:t>
      </w:r>
    </w:p>
    <w:p>
      <w:pPr>
        <w:pStyle w:val="ListParagraph"/>
        <w:numPr>
          <w:ilvl w:val="0"/>
          <w:numId w:val="1"/>
        </w:numPr>
        <w:spacing w:after="55" w:line="270"/>
      </w:pPr>
      <w:r>
        <w:t xml:space="preserve">A recognized entry cannot be edited or deleted.</w:t>
      </w:r>
    </w:p>
    <w:p>
      <w:pPr>
        <w:pStyle w:val="ListParagraph"/>
        <w:numPr>
          <w:ilvl w:val="0"/>
          <w:numId w:val="1"/>
        </w:numPr>
        <w:spacing w:after="55" w:line="270"/>
      </w:pPr>
      <w:r>
        <w:t xml:space="preserve">Corrections must use reversal and replacement entries.</w:t>
      </w:r>
    </w:p>
    <w:p>
      <w:pPr>
        <w:pStyle w:val="ListParagraph"/>
        <w:numPr>
          <w:ilvl w:val="0"/>
          <w:numId w:val="1"/>
        </w:numPr>
        <w:spacing w:after="55" w:line="270"/>
      </w:pPr>
      <w:r>
        <w:t xml:space="preserve">Recognition status, ledger posting and audit record must commit atomically.</w:t>
      </w:r>
    </w:p>
    <w:p>
      <w:pPr>
        <w:pStyle w:val="Heading3"/>
        <w:spacing w:after="90" w:before="220"/>
      </w:pPr>
      <w:r>
        <w:rPr>
          <w:rFonts w:ascii="Aptos Display" w:cs="Aptos Display" w:eastAsia="Aptos Display" w:hAnsi="Aptos Display"/>
          <w:b/>
          <w:bCs/>
          <w:color w:val="17365D"/>
        </w:rPr>
        <w:t xml:space="preserve">1.4 Add financial invariants</w:t>
      </w:r>
    </w:p>
    <w:p>
      <w:pPr>
        <w:pStyle w:val="ListParagraph"/>
        <w:numPr>
          <w:ilvl w:val="0"/>
          <w:numId w:val="1"/>
        </w:numPr>
        <w:spacing w:after="55" w:line="270"/>
      </w:pPr>
      <w:r>
        <w:t xml:space="preserve">Schedule allocation must reconcile to contract DPP.</w:t>
      </w:r>
    </w:p>
    <w:p>
      <w:pPr>
        <w:pStyle w:val="ListParagraph"/>
        <w:numPr>
          <w:ilvl w:val="0"/>
          <w:numId w:val="1"/>
        </w:numPr>
        <w:spacing w:after="55" w:line="270"/>
      </w:pPr>
      <w:r>
        <w:t xml:space="preserve">Each percentage must be between 0 and 100; total allocation must equal 100%.</w:t>
      </w:r>
    </w:p>
    <w:p>
      <w:pPr>
        <w:pStyle w:val="ListParagraph"/>
        <w:numPr>
          <w:ilvl w:val="0"/>
          <w:numId w:val="1"/>
        </w:numPr>
        <w:spacing w:after="55" w:line="270"/>
      </w:pPr>
      <w:r>
        <w:t xml:space="preserve">Recognized DPP must never exceed allocated DPP.</w:t>
      </w:r>
    </w:p>
    <w:p>
      <w:pPr>
        <w:pStyle w:val="ListParagraph"/>
        <w:numPr>
          <w:ilvl w:val="0"/>
          <w:numId w:val="1"/>
        </w:numPr>
        <w:spacing w:after="55" w:line="270"/>
      </w:pPr>
      <w:r>
        <w:t xml:space="preserve">Currency, exchange rate and accounting-period snapshots must be explicit.</w:t>
      </w:r>
    </w:p>
    <w:p>
      <w:pPr>
        <w:pStyle w:val="ListParagraph"/>
        <w:numPr>
          <w:ilvl w:val="0"/>
          <w:numId w:val="1"/>
        </w:numPr>
        <w:spacing w:after="55" w:line="270"/>
      </w:pPr>
      <w:r>
        <w:t xml:space="preserve">Idempotent retries must not create duplicate journals.</w:t>
      </w:r>
    </w:p>
    <w:p>
      <w:pPr>
        <w:pStyle w:val="Heading3"/>
        <w:spacing w:after="90" w:before="220"/>
      </w:pPr>
      <w:r>
        <w:rPr>
          <w:rFonts w:ascii="Aptos Display" w:cs="Aptos Display" w:eastAsia="Aptos Display" w:hAnsi="Aptos Display"/>
          <w:b/>
          <w:bCs/>
          <w:color w:val="17365D"/>
        </w:rPr>
        <w:t xml:space="preserve">1.5 Define migration and cutover</w:t>
      </w:r>
    </w:p>
    <w:p>
      <w:pPr>
        <w:pStyle w:val="ListParagraph"/>
        <w:numPr>
          <w:ilvl w:val="0"/>
          <w:numId w:val="1"/>
        </w:numPr>
        <w:spacing w:after="55" w:line="270"/>
      </w:pPr>
      <w:r>
        <w:t xml:space="preserve">Backfill legacy recognition inferred from BillingMilestone.</w:t>
      </w:r>
    </w:p>
    <w:p>
      <w:pPr>
        <w:pStyle w:val="ListParagraph"/>
        <w:numPr>
          <w:ilvl w:val="0"/>
          <w:numId w:val="1"/>
        </w:numPr>
        <w:spacing w:after="55" w:line="270"/>
      </w:pPr>
      <w:r>
        <w:t xml:space="preserve">Distinguish historically inferred entries from Finance-approved entries.</w:t>
      </w:r>
    </w:p>
    <w:p>
      <w:pPr>
        <w:pStyle w:val="ListParagraph"/>
        <w:numPr>
          <w:ilvl w:val="0"/>
          <w:numId w:val="1"/>
        </w:numPr>
        <w:spacing w:after="55" w:line="270"/>
      </w:pPr>
      <w:r>
        <w:t xml:space="preserve">Produce reconciliation reports and define a cutover date.</w:t>
      </w:r>
    </w:p>
    <w:p>
      <w:pPr>
        <w:pStyle w:val="ListParagraph"/>
        <w:numPr>
          <w:ilvl w:val="0"/>
          <w:numId w:val="1"/>
        </w:numPr>
        <w:spacing w:after="55" w:line="270"/>
      </w:pPr>
      <w:r>
        <w:t xml:space="preserve">Retain a compatibility period for existing reports.</w:t>
      </w:r>
    </w:p>
    <w:p>
      <w:pPr>
        <w:pStyle w:val="Heading3"/>
        <w:spacing w:after="90" w:before="220"/>
      </w:pPr>
      <w:r>
        <w:rPr>
          <w:rFonts w:ascii="Aptos Display" w:cs="Aptos Display" w:eastAsia="Aptos Display" w:hAnsi="Aptos Display"/>
          <w:b/>
          <w:bCs/>
          <w:color w:val="17365D"/>
        </w:rPr>
        <w:t xml:space="preserve">1.6 Clarify Xero scope</w:t>
      </w:r>
    </w:p>
    <w:p>
      <w:pPr>
        <w:spacing w:after="120" w:line="290"/>
      </w:pPr>
      <w:r>
        <w:rPr>
          <w:rFonts w:ascii="Aptos" w:cs="Aptos" w:eastAsia="Aptos" w:hAnsi="Aptos"/>
          <w:color w:val="1F2937"/>
          <w:sz w:val="21"/>
          <w:szCs w:val="21"/>
        </w:rPr>
        <w:t xml:space="preserve">Recommended initial scope: reviewed monthly CSV journal export. Direct Xero journal posting should follow only after Finance validates account mappings, reversal handling and reconciliation outputs.</w:t>
      </w:r>
    </w:p>
    <w:p>
      <w:pPr>
        <w:pStyle w:val="Heading1"/>
        <w:spacing w:after="90" w:before="220"/>
      </w:pPr>
      <w:r>
        <w:rPr>
          <w:rFonts w:ascii="Aptos Display" w:cs="Aptos Display" w:eastAsia="Aptos Display" w:hAnsi="Aptos Display"/>
          <w:b/>
          <w:bCs/>
          <w:color w:val="17365D"/>
        </w:rPr>
        <w:t xml:space="preserve">2. DEMO-14 — Project Activation Integrity Gate</w:t>
      </w:r>
    </w:p>
    <w:p>
      <w:pPr>
        <w:pStyle w:val="Heading2"/>
        <w:spacing w:after="90" w:before="220"/>
      </w:pPr>
      <w:r>
        <w:rPr>
          <w:rFonts w:ascii="Aptos Display" w:cs="Aptos Display" w:eastAsia="Aptos Display" w:hAnsi="Aptos Display"/>
          <w:b/>
          <w:bCs/>
          <w:color w:val="17365D"/>
        </w:rPr>
        <w:t xml:space="preserve">Assessment</w:t>
      </w:r>
    </w:p>
    <w:p>
      <w:pPr>
        <w:spacing w:after="120" w:line="290"/>
      </w:pPr>
      <w:r>
        <w:rPr>
          <w:rFonts w:ascii="Aptos" w:cs="Aptos" w:eastAsia="Aptos" w:hAnsi="Aptos"/>
          <w:color w:val="1F2937"/>
          <w:sz w:val="21"/>
          <w:szCs w:val="21"/>
        </w:rPr>
        <w:t xml:space="preserve">The requirement is valid, but the application already blocks activation when core project data is incomplete. Existing checks include Client, description, dates, contract value, planned mandays, estimated cost, Project Manager, resources, tasks, RAID items and billing milestones totaling 100%.</w:t>
      </w:r>
    </w:p>
    <w:p>
      <w:pPr>
        <w:spacing w:after="120" w:line="290"/>
      </w:pPr>
      <w:r>
        <w:rPr>
          <w:rFonts w:ascii="Aptos" w:cs="Aptos" w:eastAsia="Aptos" w:hAnsi="Aptos"/>
          <w:color w:val="1F2937"/>
          <w:sz w:val="21"/>
          <w:szCs w:val="21"/>
        </w:rPr>
        <w:t xml:space="preserve">DEMO-14 must extend and consolidate the existing activation gate rather than introduce a second evaluator.</w:t>
      </w:r>
    </w:p>
    <w:p>
      <w:pPr>
        <w:pStyle w:val="Heading2"/>
        <w:spacing w:after="90" w:before="220"/>
      </w:pPr>
      <w:r>
        <w:rPr>
          <w:rFonts w:ascii="Aptos Display" w:cs="Aptos Display" w:eastAsia="Aptos Display" w:hAnsi="Aptos Display"/>
          <w:b/>
          <w:bCs/>
          <w:color w:val="17365D"/>
        </w:rPr>
        <w:t xml:space="preserve">Mandatory Revisions</w:t>
      </w:r>
    </w:p>
    <w:p>
      <w:pPr>
        <w:pStyle w:val="Heading3"/>
        <w:spacing w:after="90" w:before="220"/>
      </w:pPr>
      <w:r>
        <w:rPr>
          <w:rFonts w:ascii="Aptos Display" w:cs="Aptos Display" w:eastAsia="Aptos Display" w:hAnsi="Aptos Display"/>
          <w:b/>
          <w:bCs/>
          <w:color w:val="17365D"/>
        </w:rPr>
        <w:t xml:space="preserve">2.1 Use one shared readiness evaluator</w:t>
      </w:r>
    </w:p>
    <w:p>
      <w:pPr>
        <w:pStyle w:val="ListParagraph"/>
        <w:numPr>
          <w:ilvl w:val="0"/>
          <w:numId w:val="1"/>
        </w:numPr>
        <w:spacing w:after="55" w:line="270"/>
      </w:pPr>
      <w:r>
        <w:t xml:space="preserve">The readiness endpoint, activation PATCH, UI checklist, tests and reconciliation job must call the same evaluator.</w:t>
      </w:r>
    </w:p>
    <w:p>
      <w:pPr>
        <w:pStyle w:val="ListParagraph"/>
        <w:numPr>
          <w:ilvl w:val="0"/>
          <w:numId w:val="1"/>
        </w:numPr>
        <w:spacing w:after="55" w:line="270"/>
      </w:pPr>
      <w:r>
        <w:t xml:space="preserve">The evaluator must validate the effective state, including changes submitted together with the activation request.</w:t>
      </w:r>
    </w:p>
    <w:p>
      <w:pPr>
        <w:pStyle w:val="Heading3"/>
        <w:spacing w:after="90" w:before="220"/>
      </w:pPr>
      <w:r>
        <w:rPr>
          <w:rFonts w:ascii="Aptos Display" w:cs="Aptos Display" w:eastAsia="Aptos Display" w:hAnsi="Aptos Display"/>
          <w:b/>
          <w:bCs/>
          <w:color w:val="17365D"/>
        </w:rPr>
        <w:t xml:space="preserve">2.2 Resolve the Business Unit source</w:t>
      </w:r>
    </w:p>
    <w:p>
      <w:pPr>
        <w:spacing w:after="120" w:line="290"/>
      </w:pPr>
      <w:r>
        <w:rPr>
          <w:rFonts w:ascii="Aptos" w:cs="Aptos" w:eastAsia="Aptos" w:hAnsi="Aptos"/>
          <w:color w:val="1F2937"/>
          <w:sz w:val="21"/>
          <w:szCs w:val="21"/>
        </w:rPr>
        <w:t xml:space="preserve">The draft refers to project.businessUnitId, but the current Project model does not use that field. The baseline must decide whether Project receives a canonical primary BU or derives it from Project Workstreams before INV-ACT-06 can be enforced.</w:t>
      </w:r>
    </w:p>
    <w:p>
      <w:pPr>
        <w:pStyle w:val="Heading3"/>
        <w:spacing w:after="90" w:before="220"/>
      </w:pPr>
      <w:r>
        <w:rPr>
          <w:rFonts w:ascii="Aptos Display" w:cs="Aptos Display" w:eastAsia="Aptos Display" w:hAnsi="Aptos Display"/>
          <w:b/>
          <w:bCs/>
          <w:color w:val="17365D"/>
        </w:rPr>
        <w:t xml:space="preserve">2.3 Avoid duplicate commercial-line models</w:t>
      </w:r>
    </w:p>
    <w:p>
      <w:pPr>
        <w:spacing w:after="120" w:line="290"/>
      </w:pPr>
      <w:r>
        <w:rPr>
          <w:rFonts w:ascii="Aptos" w:cs="Aptos" w:eastAsia="Aptos" w:hAnsi="Aptos"/>
          <w:color w:val="1F2937"/>
          <w:sz w:val="21"/>
          <w:szCs w:val="21"/>
        </w:rPr>
        <w:t xml:space="preserve">ProjectContractLine overlaps DEMO-02 offering lines and DEMO-10 CommercialBudgetRevision. Contract lines should originate from the approved commercial revision and become an immutable Project commercial snapshot at Won conversion.</w:t>
      </w:r>
    </w:p>
    <w:p>
      <w:pPr>
        <w:pStyle w:val="Heading3"/>
        <w:spacing w:after="90" w:before="220"/>
      </w:pPr>
      <w:r>
        <w:rPr>
          <w:rFonts w:ascii="Aptos Display" w:cs="Aptos Display" w:eastAsia="Aptos Display" w:hAnsi="Aptos Display"/>
          <w:b/>
          <w:bCs/>
          <w:color w:val="17365D"/>
        </w:rPr>
        <w:t xml:space="preserve">2.4 Define applicability by Project kind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7365D" w:val="clear"/>
            <w:tcMar>
              <w:top w:type="dxa" w:w="75"/>
              <w:left w:type="dxa" w:w="90"/>
              <w:bottom w:type="dxa" w:w="75"/>
              <w:right w:type="dxa" w:w="90"/>
            </w:tcMar>
          </w:tcPr>
          <w:p>
            <w:r>
              <w:rPr>
                <w:rFonts w:ascii="Aptos" w:cs="Aptos" w:eastAsia="Aptos" w:hAnsi="Aptos"/>
                <w:b/>
                <w:bCs/>
                <w:color w:val="FFFFFF"/>
                <w:sz w:val="17"/>
                <w:szCs w:val="17"/>
              </w:rPr>
              <w:t xml:space="preserve">Invariant</w:t>
            </w:r>
          </w:p>
        </w:tc>
        <w:tc>
          <w:tcPr>
            <w:shd w:fill="17365D" w:val="clear"/>
            <w:tcMar>
              <w:top w:type="dxa" w:w="75"/>
              <w:left w:type="dxa" w:w="90"/>
              <w:bottom w:type="dxa" w:w="75"/>
              <w:right w:type="dxa" w:w="90"/>
            </w:tcMar>
          </w:tcPr>
          <w:p>
            <w:r>
              <w:rPr>
                <w:rFonts w:ascii="Aptos" w:cs="Aptos" w:eastAsia="Aptos" w:hAnsi="Aptos"/>
                <w:b/>
                <w:bCs/>
                <w:color w:val="FFFFFF"/>
                <w:sz w:val="17"/>
                <w:szCs w:val="17"/>
              </w:rPr>
              <w:t xml:space="preserve">CLIENT</w:t>
            </w:r>
          </w:p>
        </w:tc>
        <w:tc>
          <w:tcPr>
            <w:shd w:fill="17365D" w:val="clear"/>
            <w:tcMar>
              <w:top w:type="dxa" w:w="75"/>
              <w:left w:type="dxa" w:w="90"/>
              <w:bottom w:type="dxa" w:w="75"/>
              <w:right w:type="dxa" w:w="90"/>
            </w:tcMar>
          </w:tcPr>
          <w:p>
            <w:r>
              <w:rPr>
                <w:rFonts w:ascii="Aptos" w:cs="Aptos" w:eastAsia="Aptos" w:hAnsi="Aptos"/>
                <w:b/>
                <w:bCs/>
                <w:color w:val="FFFFFF"/>
                <w:sz w:val="17"/>
                <w:szCs w:val="17"/>
              </w:rPr>
              <w:t xml:space="preserve">INTERNAL</w:t>
            </w:r>
          </w:p>
        </w:tc>
        <w:tc>
          <w:tcPr>
            <w:shd w:fill="17365D" w:val="clear"/>
            <w:tcMar>
              <w:top w:type="dxa" w:w="75"/>
              <w:left w:type="dxa" w:w="90"/>
              <w:bottom w:type="dxa" w:w="75"/>
              <w:right w:type="dxa" w:w="90"/>
            </w:tcMar>
          </w:tcPr>
          <w:p>
            <w:r>
              <w:rPr>
                <w:rFonts w:ascii="Aptos" w:cs="Aptos" w:eastAsia="Aptos" w:hAnsi="Aptos"/>
                <w:b/>
                <w:bCs/>
                <w:color w:val="FFFFFF"/>
                <w:sz w:val="17"/>
                <w:szCs w:val="17"/>
              </w:rPr>
              <w:t xml:space="preserve">PRESALES</w:t>
            </w:r>
          </w:p>
        </w:tc>
        <w:tc>
          <w:tcPr>
            <w:shd w:fill="17365D" w:val="clear"/>
            <w:tcMar>
              <w:top w:type="dxa" w:w="75"/>
              <w:left w:type="dxa" w:w="90"/>
              <w:bottom w:type="dxa" w:w="75"/>
              <w:right w:type="dxa" w:w="90"/>
            </w:tcMar>
          </w:tcPr>
          <w:p>
            <w:r>
              <w:rPr>
                <w:rFonts w:ascii="Aptos" w:cs="Aptos" w:eastAsia="Aptos" w:hAnsi="Aptos"/>
                <w:b/>
                <w:bCs/>
                <w:color w:val="FFFFFF"/>
                <w:sz w:val="17"/>
                <w:szCs w:val="17"/>
              </w:rPr>
              <w:t xml:space="preserve">TRAINING</w:t>
            </w:r>
          </w:p>
        </w:tc>
      </w:tr>
      <w:tr>
        <w:tc>
          <w:tcPr>
            <w:tcMar>
              <w:top w:type="dxa" w:w="75"/>
              <w:left w:type="dxa" w:w="90"/>
              <w:bottom w:type="dxa" w:w="75"/>
              <w:right w:type="dxa" w:w="90"/>
            </w:tcMar>
          </w:tcPr>
          <w:p>
            <w:r>
              <w:rPr>
                <w:rFonts w:ascii="Aptos" w:cs="Aptos" w:eastAsia="Aptos" w:hAnsi="Aptos"/>
                <w:b w:val="false"/>
                <w:bCs w:val="false"/>
                <w:color w:val="1F2937"/>
                <w:sz w:val="17"/>
                <w:szCs w:val="17"/>
              </w:rPr>
              <w:t xml:space="preserve">Client</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Required</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No</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Conditional</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No</w:t>
            </w:r>
          </w:p>
        </w:tc>
      </w:tr>
      <w:tr>
        <w:tc>
          <w:tcPr>
            <w:tcMar>
              <w:top w:type="dxa" w:w="75"/>
              <w:left w:type="dxa" w:w="90"/>
              <w:bottom w:type="dxa" w:w="75"/>
              <w:right w:type="dxa" w:w="90"/>
            </w:tcMar>
          </w:tcPr>
          <w:p>
            <w:r>
              <w:rPr>
                <w:rFonts w:ascii="Aptos" w:cs="Aptos" w:eastAsia="Aptos" w:hAnsi="Aptos"/>
                <w:b w:val="false"/>
                <w:bCs w:val="false"/>
                <w:color w:val="1F2937"/>
                <w:sz w:val="17"/>
                <w:szCs w:val="17"/>
              </w:rPr>
              <w:t xml:space="preserve">Contract value</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Required</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No</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No</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No</w:t>
            </w:r>
          </w:p>
        </w:tc>
      </w:tr>
      <w:tr>
        <w:tc>
          <w:tcPr>
            <w:tcMar>
              <w:top w:type="dxa" w:w="75"/>
              <w:left w:type="dxa" w:w="90"/>
              <w:bottom w:type="dxa" w:w="75"/>
              <w:right w:type="dxa" w:w="90"/>
            </w:tcMar>
          </w:tcPr>
          <w:p>
            <w:r>
              <w:rPr>
                <w:rFonts w:ascii="Aptos" w:cs="Aptos" w:eastAsia="Aptos" w:hAnsi="Aptos"/>
                <w:b w:val="false"/>
                <w:bCs w:val="false"/>
                <w:color w:val="1F2937"/>
                <w:sz w:val="17"/>
                <w:szCs w:val="17"/>
              </w:rPr>
              <w:t xml:space="preserve">Billing milestones</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Required</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No</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No</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No</w:t>
            </w:r>
          </w:p>
        </w:tc>
      </w:tr>
      <w:tr>
        <w:tc>
          <w:tcPr>
            <w:tcMar>
              <w:top w:type="dxa" w:w="75"/>
              <w:left w:type="dxa" w:w="90"/>
              <w:bottom w:type="dxa" w:w="75"/>
              <w:right w:type="dxa" w:w="90"/>
            </w:tcMar>
          </w:tcPr>
          <w:p>
            <w:r>
              <w:rPr>
                <w:rFonts w:ascii="Aptos" w:cs="Aptos" w:eastAsia="Aptos" w:hAnsi="Aptos"/>
                <w:b w:val="false"/>
                <w:bCs w:val="false"/>
                <w:color w:val="1F2937"/>
                <w:sz w:val="17"/>
                <w:szCs w:val="17"/>
              </w:rPr>
              <w:t xml:space="preserve">Planned mandays</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Required</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Required</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Required</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Required</w:t>
            </w:r>
          </w:p>
        </w:tc>
      </w:tr>
      <w:tr>
        <w:tc>
          <w:tcPr>
            <w:tcMar>
              <w:top w:type="dxa" w:w="75"/>
              <w:left w:type="dxa" w:w="90"/>
              <w:bottom w:type="dxa" w:w="75"/>
              <w:right w:type="dxa" w:w="90"/>
            </w:tcMar>
          </w:tcPr>
          <w:p>
            <w:r>
              <w:rPr>
                <w:rFonts w:ascii="Aptos" w:cs="Aptos" w:eastAsia="Aptos" w:hAnsi="Aptos"/>
                <w:b w:val="false"/>
                <w:bCs w:val="false"/>
                <w:color w:val="1F2937"/>
                <w:sz w:val="17"/>
                <w:szCs w:val="17"/>
              </w:rPr>
              <w:t xml:space="preserve">Estimated cost</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Required</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Required</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Required</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Required</w:t>
            </w:r>
          </w:p>
        </w:tc>
      </w:tr>
      <w:tr>
        <w:tc>
          <w:tcPr>
            <w:tcMar>
              <w:top w:type="dxa" w:w="75"/>
              <w:left w:type="dxa" w:w="90"/>
              <w:bottom w:type="dxa" w:w="75"/>
              <w:right w:type="dxa" w:w="90"/>
            </w:tcMar>
          </w:tcPr>
          <w:p>
            <w:r>
              <w:rPr>
                <w:rFonts w:ascii="Aptos" w:cs="Aptos" w:eastAsia="Aptos" w:hAnsi="Aptos"/>
                <w:b w:val="false"/>
                <w:bCs w:val="false"/>
                <w:color w:val="1F2937"/>
                <w:sz w:val="17"/>
                <w:szCs w:val="17"/>
              </w:rPr>
              <w:t xml:space="preserve">Finance margin approval</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Required</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No</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No</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No</w:t>
            </w:r>
          </w:p>
        </w:tc>
      </w:tr>
    </w:tbl>
    <w:p>
      <w:pPr>
        <w:pStyle w:val="Heading3"/>
        <w:spacing w:after="90" w:before="220"/>
      </w:pPr>
      <w:r>
        <w:rPr>
          <w:rFonts w:ascii="Aptos Display" w:cs="Aptos Display" w:eastAsia="Aptos Display" w:hAnsi="Aptos Display"/>
          <w:b/>
          <w:bCs/>
          <w:color w:val="17365D"/>
        </w:rPr>
        <w:t xml:space="preserve">2.5 Align roles and fields</w:t>
      </w:r>
    </w:p>
    <w:p>
      <w:pPr>
        <w:pStyle w:val="ListParagraph"/>
        <w:numPr>
          <w:ilvl w:val="0"/>
          <w:numId w:val="1"/>
        </w:numPr>
        <w:spacing w:after="55" w:line="270"/>
      </w:pPr>
      <w:r>
        <w:t xml:space="preserve">Replace FINANCE_LEAD with FINANCE.</w:t>
      </w:r>
    </w:p>
    <w:p>
      <w:pPr>
        <w:pStyle w:val="ListParagraph"/>
        <w:numPr>
          <w:ilvl w:val="0"/>
          <w:numId w:val="1"/>
        </w:numPr>
        <w:spacing w:after="55" w:line="270"/>
      </w:pPr>
      <w:r>
        <w:t xml:space="preserve">Use pmId, which is the current Project Manager field, instead of projectManagerId.</w:t>
      </w:r>
    </w:p>
    <w:p>
      <w:pPr>
        <w:pStyle w:val="Heading3"/>
        <w:spacing w:after="90" w:before="220"/>
      </w:pPr>
      <w:r>
        <w:rPr>
          <w:rFonts w:ascii="Aptos Display" w:cs="Aptos Display" w:eastAsia="Aptos Display" w:hAnsi="Aptos Display"/>
          <w:b/>
          <w:bCs/>
          <w:color w:val="17365D"/>
        </w:rPr>
        <w:t xml:space="preserve">2.6 Preserve API compatibility</w:t>
      </w:r>
    </w:p>
    <w:p>
      <w:pPr>
        <w:spacing w:after="120" w:line="290"/>
      </w:pPr>
      <w:r>
        <w:rPr>
          <w:rFonts w:ascii="Aptos" w:cs="Aptos" w:eastAsia="Aptos" w:hAnsi="Aptos"/>
          <w:color w:val="1F2937"/>
          <w:sz w:val="21"/>
          <w:szCs w:val="21"/>
        </w:rPr>
        <w:t xml:space="preserve">The target HTTP 422 ACTIVATION_GATE_VIOLATION response is an improvement, but existing clients may expect HTTP 400, ACTIVATION_REQUIREMENTS_INCOMPLETE and a missing string array. Retain missing during a compatibility period while web and mobile clients migrate to the structured checklist.</w:t>
      </w:r>
    </w:p>
    <w:p>
      <w:pPr>
        <w:pStyle w:val="Heading3"/>
        <w:spacing w:after="90" w:before="220"/>
      </w:pPr>
      <w:r>
        <w:rPr>
          <w:rFonts w:ascii="Aptos Display" w:cs="Aptos Display" w:eastAsia="Aptos Display" w:hAnsi="Aptos Display"/>
          <w:b/>
          <w:bCs/>
          <w:color w:val="17365D"/>
        </w:rPr>
        <w:t xml:space="preserve">2.7 Make activation and baseline creation atomic</w:t>
      </w:r>
    </w:p>
    <w:p>
      <w:pPr>
        <w:pStyle w:val="ListParagraph"/>
        <w:numPr>
          <w:ilvl w:val="0"/>
          <w:numId w:val="1"/>
        </w:numPr>
        <w:spacing w:after="55" w:line="270"/>
      </w:pPr>
      <w:r>
        <w:t xml:space="preserve">Evaluate readiness.</w:t>
      </w:r>
    </w:p>
    <w:p>
      <w:pPr>
        <w:pStyle w:val="ListParagraph"/>
        <w:numPr>
          <w:ilvl w:val="0"/>
          <w:numId w:val="1"/>
        </w:numPr>
        <w:spacing w:after="55" w:line="270"/>
      </w:pPr>
      <w:r>
        <w:t xml:space="preserve">Conditionally update Project status.</w:t>
      </w:r>
    </w:p>
    <w:p>
      <w:pPr>
        <w:pStyle w:val="ListParagraph"/>
        <w:numPr>
          <w:ilvl w:val="0"/>
          <w:numId w:val="1"/>
        </w:numPr>
        <w:spacing w:after="55" w:line="270"/>
      </w:pPr>
      <w:r>
        <w:t xml:space="preserve">Create and select the current ProjectBaseline.</w:t>
      </w:r>
    </w:p>
    <w:p>
      <w:pPr>
        <w:pStyle w:val="ListParagraph"/>
        <w:numPr>
          <w:ilvl w:val="0"/>
          <w:numId w:val="1"/>
        </w:numPr>
        <w:spacing w:after="55" w:line="270"/>
      </w:pPr>
      <w:r>
        <w:t xml:space="preserve">Write the audit event.</w:t>
      </w:r>
    </w:p>
    <w:p>
      <w:pPr>
        <w:spacing w:after="120" w:line="290"/>
      </w:pPr>
      <w:r>
        <w:rPr>
          <w:rFonts w:ascii="Aptos" w:cs="Aptos" w:eastAsia="Aptos" w:hAnsi="Aptos"/>
          <w:color w:val="1F2937"/>
          <w:sz w:val="21"/>
          <w:szCs w:val="21"/>
        </w:rPr>
        <w:t xml:space="preserve">All four operations must succeed or roll back together.</w:t>
      </w:r>
    </w:p>
    <w:p>
      <w:pPr>
        <w:pStyle w:val="Heading1"/>
        <w:spacing w:after="90" w:before="220"/>
      </w:pPr>
      <w:r>
        <w:rPr>
          <w:rFonts w:ascii="Aptos Display" w:cs="Aptos Display" w:eastAsia="Aptos Display" w:hAnsi="Aptos Display"/>
          <w:b/>
          <w:bCs/>
          <w:color w:val="17365D"/>
        </w:rPr>
        <w:t xml:space="preserve">3.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7365D" w:val="clear"/>
            <w:tcMar>
              <w:top w:type="dxa" w:w="75"/>
              <w:left w:type="dxa" w:w="90"/>
              <w:bottom w:type="dxa" w:w="75"/>
              <w:right w:type="dxa" w:w="90"/>
            </w:tcMar>
          </w:tcPr>
          <w:p>
            <w:r>
              <w:rPr>
                <w:rFonts w:ascii="Aptos" w:cs="Aptos" w:eastAsia="Aptos" w:hAnsi="Aptos"/>
                <w:b/>
                <w:bCs/>
                <w:color w:val="FFFFFF"/>
                <w:sz w:val="17"/>
                <w:szCs w:val="17"/>
              </w:rPr>
              <w:t xml:space="preserve">Additional FSD</w:t>
            </w:r>
          </w:p>
        </w:tc>
        <w:tc>
          <w:tcPr>
            <w:shd w:fill="17365D" w:val="clear"/>
            <w:tcMar>
              <w:top w:type="dxa" w:w="75"/>
              <w:left w:type="dxa" w:w="90"/>
              <w:bottom w:type="dxa" w:w="75"/>
              <w:right w:type="dxa" w:w="90"/>
            </w:tcMar>
          </w:tcPr>
          <w:p>
            <w:r>
              <w:rPr>
                <w:rFonts w:ascii="Aptos" w:cs="Aptos" w:eastAsia="Aptos" w:hAnsi="Aptos"/>
                <w:b/>
                <w:bCs/>
                <w:color w:val="FFFFFF"/>
                <w:sz w:val="17"/>
                <w:szCs w:val="17"/>
              </w:rPr>
              <w:t xml:space="preserve">Depends On</w:t>
            </w:r>
          </w:p>
        </w:tc>
      </w:tr>
      <w:tr>
        <w:tc>
          <w:tcPr>
            <w:tcMar>
              <w:top w:type="dxa" w:w="75"/>
              <w:left w:type="dxa" w:w="90"/>
              <w:bottom w:type="dxa" w:w="75"/>
              <w:right w:type="dxa" w:w="90"/>
            </w:tcMar>
          </w:tcPr>
          <w:p>
            <w:r>
              <w:rPr>
                <w:rFonts w:ascii="Aptos" w:cs="Aptos" w:eastAsia="Aptos" w:hAnsi="Aptos"/>
                <w:b w:val="false"/>
                <w:bCs w:val="false"/>
                <w:color w:val="1F2937"/>
                <w:sz w:val="17"/>
                <w:szCs w:val="17"/>
              </w:rPr>
              <w:t xml:space="preserve">DEMO-13</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DEMO-02 offering classification; DEMO-10 approved commercial budget; DEMO-11 baseline; Billing Milestones; Document/BAST; Xero</w:t>
            </w:r>
          </w:p>
        </w:tc>
      </w:tr>
      <w:tr>
        <w:tc>
          <w:tcPr>
            <w:tcMar>
              <w:top w:type="dxa" w:w="75"/>
              <w:left w:type="dxa" w:w="90"/>
              <w:bottom w:type="dxa" w:w="75"/>
              <w:right w:type="dxa" w:w="90"/>
            </w:tcMar>
          </w:tcPr>
          <w:p>
            <w:r>
              <w:rPr>
                <w:rFonts w:ascii="Aptos" w:cs="Aptos" w:eastAsia="Aptos" w:hAnsi="Aptos"/>
                <w:b w:val="false"/>
                <w:bCs w:val="false"/>
                <w:color w:val="1F2937"/>
                <w:sz w:val="17"/>
                <w:szCs w:val="17"/>
              </w:rPr>
              <w:t xml:space="preserve">DEMO-14</w:t>
            </w:r>
          </w:p>
        </w:tc>
        <w:tc>
          <w:tcPr>
            <w:tcMar>
              <w:top w:type="dxa" w:w="75"/>
              <w:left w:type="dxa" w:w="90"/>
              <w:bottom w:type="dxa" w:w="75"/>
              <w:right w:type="dxa" w:w="90"/>
            </w:tcMar>
          </w:tcPr>
          <w:p>
            <w:r>
              <w:rPr>
                <w:rFonts w:ascii="Aptos" w:cs="Aptos" w:eastAsia="Aptos" w:hAnsi="Aptos"/>
                <w:b w:val="false"/>
                <w:bCs w:val="false"/>
                <w:color w:val="1F2937"/>
                <w:sz w:val="17"/>
                <w:szCs w:val="17"/>
              </w:rPr>
              <w:t xml:space="preserve">DEMO-02 contract lines; DEMO-03 Client; DEMO-04 BU; DEMO-10 margin approval; DEMO-11 baseline; DEMO-12 client lock</w:t>
            </w:r>
          </w:p>
        </w:tc>
      </w:tr>
    </w:tbl>
    <w:p>
      <w:pPr>
        <w:spacing w:after="120" w:line="290"/>
      </w:pPr>
      <w:r>
        <w:rPr>
          <w:rFonts w:ascii="Aptos" w:cs="Aptos" w:eastAsia="Aptos" w:hAnsi="Aptos"/>
          <w:color w:val="1F2937"/>
          <w:sz w:val="21"/>
          <w:szCs w:val="21"/>
        </w:rPr>
        <w:t xml:space="preserve">Because of these dependencies, neither DEMO-13 nor DEMO-14 belongs in Phase 1.</w:t>
      </w:r>
    </w:p>
    <w:p>
      <w:pPr>
        <w:pStyle w:val="Heading1"/>
        <w:spacing w:after="90" w:before="220"/>
      </w:pPr>
      <w:r>
        <w:rPr>
          <w:rFonts w:ascii="Aptos Display" w:cs="Aptos Display" w:eastAsia="Aptos Display" w:hAnsi="Aptos Display"/>
          <w:b/>
          <w:bCs/>
          <w:color w:val="17365D"/>
        </w:rPr>
        <w:t xml:space="preserve">4. Updated Three-Phase Strategy</w:t>
      </w:r>
    </w:p>
    <w:p>
      <w:pPr>
        <w:pStyle w:val="Heading2"/>
        <w:spacing w:after="90" w:before="220"/>
      </w:pPr>
      <w:r>
        <w:rPr>
          <w:rFonts w:ascii="Aptos Display" w:cs="Aptos Display" w:eastAsia="Aptos Display" w:hAnsi="Aptos Display"/>
          <w:b/>
          <w:bCs/>
          <w:color w:val="17365D"/>
        </w:rPr>
        <w:t xml:space="preserve">Phase 1 — Data Foundation &amp; Lead Integrity</w:t>
      </w:r>
    </w:p>
    <w:p>
      <w:pPr>
        <w:pStyle w:val="ListParagraph"/>
        <w:numPr>
          <w:ilvl w:val="0"/>
          <w:numId w:val="1"/>
        </w:numPr>
        <w:spacing w:after="55" w:line="270"/>
      </w:pPr>
      <w:r>
        <w:t xml:space="preserve">DEMO-01, DEMO-03, DEMO-04, DEMO-05 and DEMO-06.</w:t>
      </w:r>
    </w:p>
    <w:p>
      <w:pPr>
        <w:pStyle w:val="ListParagraph"/>
        <w:numPr>
          <w:ilvl w:val="0"/>
          <w:numId w:val="1"/>
        </w:numPr>
        <w:spacing w:after="55" w:line="270"/>
      </w:pPr>
      <w:r>
        <w:t xml:space="preserve">DEMO-12 Phase 1 regression coverage.</w:t>
      </w:r>
    </w:p>
    <w:p>
      <w:pPr>
        <w:pStyle w:val="Heading2"/>
        <w:spacing w:after="90" w:before="220"/>
      </w:pPr>
      <w:r>
        <w:rPr>
          <w:rFonts w:ascii="Aptos Display" w:cs="Aptos Display" w:eastAsia="Aptos Display" w:hAnsi="Aptos Display"/>
          <w:b/>
          <w:bCs/>
          <w:color w:val="17365D"/>
        </w:rPr>
        <w:t xml:space="preserve">Phase 2 — Commercial, Presales &amp; CRM</w:t>
      </w:r>
    </w:p>
    <w:p>
      <w:pPr>
        <w:pStyle w:val="ListParagraph"/>
        <w:numPr>
          <w:ilvl w:val="0"/>
          <w:numId w:val="1"/>
        </w:numPr>
        <w:spacing w:after="55" w:line="270"/>
      </w:pPr>
      <w:r>
        <w:t xml:space="preserve">DEMO-02, DEMO-07, DEMO-08, DEMO-09 and DEMO-10.</w:t>
      </w:r>
    </w:p>
    <w:p>
      <w:pPr>
        <w:pStyle w:val="ListParagraph"/>
        <w:numPr>
          <w:ilvl w:val="0"/>
          <w:numId w:val="1"/>
        </w:numPr>
        <w:spacing w:after="55" w:line="270"/>
      </w:pPr>
      <w:r>
        <w:t xml:space="preserve">Prepare immutable commercial lines, classification, approved commercial revisions and Finance margin states required by DEMO-13/14.</w:t>
      </w:r>
    </w:p>
    <w:p>
      <w:pPr>
        <w:pStyle w:val="Heading2"/>
        <w:spacing w:after="90" w:before="220"/>
      </w:pPr>
      <w:r>
        <w:rPr>
          <w:rFonts w:ascii="Aptos Display" w:cs="Aptos Display" w:eastAsia="Aptos Display" w:hAnsi="Aptos Display"/>
          <w:b/>
          <w:bCs/>
          <w:color w:val="17365D"/>
        </w:rPr>
        <w:t xml:space="preserve">Phase 3 — Delivery, Finance &amp; Activation Control</w:t>
      </w:r>
    </w:p>
    <w:p>
      <w:pPr>
        <w:pStyle w:val="ListParagraph"/>
        <w:numPr>
          <w:ilvl w:val="0"/>
          <w:numId w:val="1"/>
        </w:numPr>
        <w:spacing w:after="55" w:line="270"/>
      </w:pPr>
      <w:r>
        <w:t xml:space="preserve">DEMO-11 — Project Baseline Auto-Sync.</w:t>
      </w:r>
    </w:p>
    <w:p>
      <w:pPr>
        <w:pStyle w:val="ListParagraph"/>
        <w:numPr>
          <w:ilvl w:val="0"/>
          <w:numId w:val="1"/>
        </w:numPr>
        <w:spacing w:after="55" w:line="270"/>
      </w:pPr>
      <w:r>
        <w:t xml:space="preserve">DEMO-12 Phase 2 — Controlled Client Attribution Correction.</w:t>
      </w:r>
    </w:p>
    <w:p>
      <w:pPr>
        <w:pStyle w:val="ListParagraph"/>
        <w:numPr>
          <w:ilvl w:val="0"/>
          <w:numId w:val="1"/>
        </w:numPr>
        <w:spacing w:after="55" w:line="270"/>
      </w:pPr>
      <w:r>
        <w:t xml:space="preserve">DEMO-13 — Revenue Recognition Dual-Timeline.</w:t>
      </w:r>
    </w:p>
    <w:p>
      <w:pPr>
        <w:pStyle w:val="ListParagraph"/>
        <w:numPr>
          <w:ilvl w:val="0"/>
          <w:numId w:val="1"/>
        </w:numPr>
        <w:spacing w:after="55" w:line="270"/>
      </w:pPr>
      <w:r>
        <w:t xml:space="preserve">DEMO-14 — Project Activation Integrity Gate.</w:t>
      </w:r>
    </w:p>
    <w:p>
      <w:pPr>
        <w:pStyle w:val="ListParagraph"/>
        <w:numPr>
          <w:ilvl w:val="0"/>
          <w:numId w:val="1"/>
        </w:numPr>
        <w:spacing w:after="55" w:line="270"/>
      </w:pPr>
      <w:r>
        <w:t xml:space="preserve">End-to-end migration, reconciliation and regression testing for all 14 FSDs.</w:t>
      </w:r>
    </w:p>
    <w:p>
      <w:pPr>
        <w:pStyle w:val="Heading1"/>
        <w:spacing w:after="90" w:before="220"/>
      </w:pPr>
      <w:r>
        <w:rPr>
          <w:rFonts w:ascii="Aptos Display" w:cs="Aptos Display" w:eastAsia="Aptos Display" w:hAnsi="Aptos Display"/>
          <w:b/>
          <w:bCs/>
          <w:color w:val="17365D"/>
        </w:rPr>
        <w:t xml:space="preserve">5. Document Governance Cleanup</w:t>
      </w:r>
    </w:p>
    <w:p>
      <w:pPr>
        <w:spacing w:after="120" w:line="290"/>
      </w:pPr>
      <w:r>
        <w:rPr>
          <w:rFonts w:ascii="Aptos" w:cs="Aptos" w:eastAsia="Aptos" w:hAnsi="Aptos"/>
          <w:color w:val="1F2937"/>
          <w:sz w:val="21"/>
          <w:szCs w:val="21"/>
        </w:rPr>
        <w:t xml:space="preserve">The two new drafts contain Stakeholder Grounding and Sign-off and Approvals sections. To remain consistent with the requested documentation approach, remove those sections and use explicit technical lifecycle statuses instead:</w:t>
      </w:r>
    </w:p>
    <w:p>
      <w:pPr>
        <w:pStyle w:val="ListParagraph"/>
        <w:numPr>
          <w:ilvl w:val="0"/>
          <w:numId w:val="1"/>
        </w:numPr>
        <w:spacing w:after="55" w:line="270"/>
      </w:pPr>
      <w:r>
        <w:t xml:space="preserve">Technical Review Status: Draft.</w:t>
      </w:r>
    </w:p>
    <w:p>
      <w:pPr>
        <w:pStyle w:val="ListParagraph"/>
        <w:numPr>
          <w:ilvl w:val="0"/>
          <w:numId w:val="1"/>
        </w:numPr>
        <w:spacing w:after="55" w:line="270"/>
      </w:pPr>
      <w:r>
        <w:t xml:space="preserve">Decision Status: Pending Technical Validation.</w:t>
      </w:r>
    </w:p>
    <w:p>
      <w:pPr>
        <w:pStyle w:val="ListParagraph"/>
        <w:numPr>
          <w:ilvl w:val="0"/>
          <w:numId w:val="1"/>
        </w:numPr>
        <w:spacing w:after="55" w:line="270"/>
      </w:pPr>
      <w:r>
        <w:t xml:space="preserve">Implementation Status: Not Implemented.</w:t>
      </w:r>
    </w:p>
    <w:p>
      <w:pPr>
        <w:pStyle w:val="ListParagraph"/>
        <w:numPr>
          <w:ilvl w:val="0"/>
          <w:numId w:val="1"/>
        </w:numPr>
        <w:spacing w:after="55" w:line="270"/>
      </w:pPr>
      <w:r>
        <w:t xml:space="preserve">Test Status: Not Tested.</w:t>
      </w:r>
    </w:p>
    <w:p>
      <w:pPr>
        <w:pStyle w:val="Heading1"/>
        <w:spacing w:after="90" w:before="220"/>
      </w:pPr>
      <w:r>
        <w:rPr>
          <w:rFonts w:ascii="Aptos Display" w:cs="Aptos Display" w:eastAsia="Aptos Display" w:hAnsi="Aptos Display"/>
          <w:b/>
          <w:bCs/>
          <w:color w:val="17365D"/>
        </w:rPr>
        <w:t xml:space="preserve">Final Recommendation</w:t>
      </w:r>
    </w:p>
    <w:p>
      <w:pPr>
        <w:spacing w:after="120" w:line="290"/>
      </w:pPr>
      <w:r>
        <w:rPr>
          <w:rFonts w:ascii="Aptos" w:cs="Aptos" w:eastAsia="Aptos" w:hAnsi="Aptos"/>
          <w:b/>
          <w:bCs/>
          <w:color w:val="17365D"/>
          <w:sz w:val="21"/>
          <w:szCs w:val="21"/>
        </w:rPr>
        <w:t xml:space="preserve">Expand the master recommendation and traceability matrix from 12 FSDs to 14 FSDs. Accept DEMO-13 and DEMO-14 as valid business scope, but do not implement their current v0.01 designs unchanged.</w:t>
      </w:r>
    </w:p>
    <w:p>
      <w:pPr>
        <w:spacing w:after="120" w:line="290"/>
      </w:pPr>
      <w:r>
        <w:rPr>
          <w:rFonts w:ascii="Aptos" w:cs="Aptos" w:eastAsia="Aptos" w:hAnsi="Aptos"/>
          <w:b/>
          <w:bCs/>
          <w:color w:val="1F2937"/>
          <w:sz w:val="21"/>
          <w:szCs w:val="21"/>
        </w:rPr>
        <w:t xml:space="preserve">DEMO-13 requires accounting-rule correction, role alignment, immutable reversal-based journals and a migration strategy. DEMO-14 must consolidate the activation gate already present in the application and reuse approved commercial and baseline models. Both belong in Phase 3.</w:t>
      </w:r>
    </w:p>
    <w:sectPr>
      <w:headerReference w:type="default" r:id="rId7"/>
      <w:footerReference w:type="default" r:id="rId8"/>
      <w:pgSz w:w="11906" w:h="16838" w:orient="portrait"/>
      <w:pgMar w:top="800" w:right="820" w:bottom="80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5"/>
        <w:szCs w:val="15"/>
      </w:rPr>
      <w:t xml:space="preserve">DEMO-13 &amp; DEMO-14 — Technical Consolidation Recommendation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64748B"/>
        <w:sz w:val="15"/>
        <w:szCs w:val="15"/>
      </w:rPr>
      <w:t xml:space="preserve">SECUREPROFIT HUB — ADDITIONAL FSD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 14 FSD DEMO-13 and DEMO-14 Review</dc:title>
  <dc:subject>Technical review and updated three-phase recommendation</dc:subject>
  <dc:creator>SecureProfit Hub Review</dc:creator>
  <cp:lastModifiedBy>Un-named</cp:lastModifiedBy>
  <cp:revision>1</cp:revision>
  <dcterms:created xsi:type="dcterms:W3CDTF">2026-09-03T02:32:20.351Z</dcterms:created>
  <dcterms:modified xsi:type="dcterms:W3CDTF">2026-09-03T02:32:20.360Z</dcterms:modified>
</cp:coreProperties>
</file>

<file path=docProps/custom.xml><?xml version="1.0" encoding="utf-8"?>
<Properties xmlns="http://schemas.openxmlformats.org/officeDocument/2006/custom-properties" xmlns:vt="http://schemas.openxmlformats.org/officeDocument/2006/docPropsVTypes"/>
</file>