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3"/>
          <w:szCs w:val="33"/>
        </w:rPr>
        <w:t xml:space="preserve">TECHNICAL APPROVAL &amp; GOVERNANCE REVIEW</w:t>
      </w:r>
    </w:p>
    <w:p>
      <w:pPr>
        <w:spacing w:after="260" w:line="300"/>
        <w:jc w:val="center"/>
      </w:pPr>
      <w:r>
        <w:rPr>
          <w:rFonts w:ascii="Aptos" w:cs="Aptos" w:eastAsia="Aptos" w:hAnsi="Aptos"/>
          <w:b/>
          <w:bCs/>
          <w:color w:val="1F2937"/>
          <w:sz w:val="27"/>
          <w:szCs w:val="27"/>
        </w:rPr>
        <w:t xml:space="preserve">SecureProfit Hub — 12 FSD Decision Baseline v1.00</w:t>
      </w:r>
    </w:p>
    <w:p>
      <w:pPr>
        <w:spacing w:after="130" w:line="300"/>
      </w:pPr>
      <w:r>
        <w:rPr>
          <w:rFonts w:ascii="Aptos" w:cs="Aptos" w:eastAsia="Aptos" w:hAnsi="Aptos"/>
          <w:b/>
          <w:bCs/>
          <w:color w:val="17365D"/>
          <w:sz w:val="22"/>
          <w:szCs w:val="22"/>
        </w:rPr>
        <w:t xml:space="preserve">Subject: Validation of Baseline Promotion and Stakeholder Ratification</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b/>
          <w:bCs/>
          <w:color w:val="166534"/>
          <w:sz w:val="24"/>
          <w:szCs w:val="24"/>
        </w:rPr>
        <w:t xml:space="preserve">TECHNICAL VERDICT: APPROVED</w:t>
      </w:r>
    </w:p>
    <w:p>
      <w:pPr>
        <w:spacing w:after="130" w:line="300"/>
      </w:pPr>
      <w:r>
        <w:rPr>
          <w:rFonts w:ascii="Aptos" w:cs="Aptos" w:eastAsia="Aptos" w:hAnsi="Aptos"/>
          <w:b/>
          <w:bCs/>
          <w:color w:val="92400E"/>
          <w:sz w:val="24"/>
          <w:szCs w:val="24"/>
        </w:rPr>
        <w:t xml:space="preserve">GOVERNANCE VERDICT: v1.00 PROMOTION NOT YET VERIFIED</w:t>
      </w:r>
    </w:p>
    <w:p>
      <w:pPr>
        <w:spacing w:after="130" w:line="300"/>
      </w:pPr>
      <w:r>
        <w:rPr>
          <w:rFonts w:ascii="Aptos" w:cs="Aptos" w:eastAsia="Aptos" w:hAnsi="Aptos"/>
          <w:color w:val="1F2937"/>
          <w:sz w:val="22"/>
          <w:szCs w:val="22"/>
        </w:rPr>
        <w:t xml:space="preserve">Seluruh isi teknis v0.11 tetap konsisten dan ketiga koreksi terakhir telah dipertahankan. Namun, dokumen v1.00 membuat klaim baru mengenai final stakeholder sign-off yang belum didukung oleh bukti governance yang tersedia.</w:t>
      </w:r>
    </w:p>
    <w:p>
      <w:pPr>
        <w:pStyle w:val="Heading1"/>
        <w:spacing w:after="100" w:before="240"/>
      </w:pPr>
      <w:r>
        <w:rPr>
          <w:rFonts w:ascii="Aptos Display" w:cs="Aptos Display" w:eastAsia="Aptos Display" w:hAnsi="Aptos Display"/>
          <w:b/>
          <w:bCs/>
          <w:color w:val="17365D"/>
        </w:rPr>
        <w:t xml:space="preserve">Technical Review Result</w:t>
      </w:r>
    </w:p>
    <w:p>
      <w:pPr>
        <w:spacing w:after="130" w:line="300"/>
      </w:pPr>
      <w:r>
        <w:rPr>
          <w:rFonts w:ascii="Aptos" w:cs="Aptos" w:eastAsia="Aptos" w:hAnsi="Aptos"/>
          <w:color w:val="1F2937"/>
          <w:sz w:val="22"/>
          <w:szCs w:val="22"/>
        </w:rPr>
        <w:t xml:space="preserve">Tidak ditemukan regresi arsitektur terhadap baseline v0.11. Bagian berikut tetap konsisten:</w:t>
      </w:r>
    </w:p>
    <w:p>
      <w:pPr>
        <w:pStyle w:val="ListParagraph"/>
        <w:numPr>
          <w:ilvl w:val="0"/>
          <w:numId w:val="1"/>
        </w:numPr>
        <w:spacing w:after="65" w:line="280"/>
      </w:pPr>
      <w:r>
        <w:t xml:space="preserve">Inactive-sector lifecycle dan diff-based validation.</w:t>
      </w:r>
    </w:p>
    <w:p>
      <w:pPr>
        <w:pStyle w:val="ListParagraph"/>
        <w:numPr>
          <w:ilvl w:val="0"/>
          <w:numId w:val="1"/>
        </w:numPr>
        <w:spacing w:after="65" w:line="280"/>
      </w:pPr>
      <w:r>
        <w:t xml:space="preserve">Exactly-one primary-sector invariant melalui database dan application lifecycle.</w:t>
      </w:r>
    </w:p>
    <w:p>
      <w:pPr>
        <w:pStyle w:val="ListParagraph"/>
        <w:numPr>
          <w:ilvl w:val="0"/>
          <w:numId w:val="1"/>
        </w:numPr>
        <w:spacing w:after="65" w:line="280"/>
      </w:pPr>
      <w:r>
        <w:t xml:space="preserve">Same-transaction Lead numbering dan realistic gap policy.</w:t>
      </w:r>
    </w:p>
    <w:p>
      <w:pPr>
        <w:pStyle w:val="ListParagraph"/>
        <w:numPr>
          <w:ilvl w:val="0"/>
          <w:numId w:val="1"/>
        </w:numPr>
        <w:spacing w:after="65" w:line="280"/>
      </w:pPr>
      <w:r>
        <w:t xml:space="preserve">Current source schema versus proposed target extension.</w:t>
      </w:r>
    </w:p>
    <w:p>
      <w:pPr>
        <w:pStyle w:val="ListParagraph"/>
        <w:numPr>
          <w:ilvl w:val="0"/>
          <w:numId w:val="1"/>
        </w:numPr>
        <w:spacing w:after="65" w:line="280"/>
      </w:pPr>
      <w:r>
        <w:t xml:space="preserve">DEMO-11 advisory locking, discriminated union, dan idempotent retry ordering.</w:t>
      </w:r>
    </w:p>
    <w:p>
      <w:pPr>
        <w:pStyle w:val="ListParagraph"/>
        <w:numPr>
          <w:ilvl w:val="0"/>
          <w:numId w:val="1"/>
        </w:numPr>
        <w:spacing w:after="65" w:line="280"/>
      </w:pPr>
      <w:r>
        <w:t xml:space="preserve">Decimal serialization dan legacy baseline migration criteria.</w:t>
      </w:r>
    </w:p>
    <w:p>
      <w:pPr>
        <w:pStyle w:val="ListParagraph"/>
        <w:numPr>
          <w:ilvl w:val="0"/>
          <w:numId w:val="1"/>
        </w:numPr>
        <w:spacing w:after="65" w:line="280"/>
      </w:pPr>
      <w:r>
        <w:t xml:space="preserve">FSD traceability matrix dan pemisahan implementation/test status.</w:t>
      </w:r>
    </w:p>
    <w:p>
      <w:pPr>
        <w:pStyle w:val="ListParagraph"/>
        <w:numPr>
          <w:ilvl w:val="0"/>
          <w:numId w:val="1"/>
        </w:numPr>
        <w:spacing w:after="65" w:line="280"/>
      </w:pPr>
      <w:r>
        <w:t xml:space="preserve">DEMO-12 Phase 1 implemented/tested versus Phase 2 target design.</w:t>
      </w:r>
    </w:p>
    <w:p>
      <w:pPr>
        <w:pStyle w:val="Heading1"/>
        <w:spacing w:after="100" w:before="240"/>
      </w:pPr>
      <w:r>
        <w:rPr>
          <w:rFonts w:ascii="Aptos Display" w:cs="Aptos Display" w:eastAsia="Aptos Display" w:hAnsi="Aptos Display"/>
          <w:b/>
          <w:bCs/>
          <w:color w:val="17365D"/>
        </w:rPr>
        <w:t xml:space="preserve">Governance Blocker</w:t>
      </w:r>
    </w:p>
    <w:p>
      <w:pPr>
        <w:spacing w:after="130" w:line="300"/>
      </w:pPr>
      <w:r>
        <w:rPr>
          <w:rFonts w:ascii="Aptos" w:cs="Aptos" w:eastAsia="Aptos" w:hAnsi="Aptos"/>
          <w:color w:val="1F2937"/>
          <w:sz w:val="22"/>
          <w:szCs w:val="22"/>
        </w:rPr>
        <w:t xml:space="preserve">Dokumen v1.00 menyatakan “Approved Decision Baseline — Formally Locked for Implementation Gating” dan mengutip “Final Author &amp; Stakeholder Sign-Off”. Namun, dokumen review v0.11 hanya menyatakan bahwa baseline telah disetujui secara teknis dan siap diajukan untuk stakeholder sign-off.</w:t>
      </w:r>
    </w:p>
    <w:p>
      <w:pPr>
        <w:spacing w:after="130" w:line="300"/>
      </w:pPr>
      <w:r>
        <w:rPr>
          <w:rFonts w:ascii="Aptos" w:cs="Aptos" w:eastAsia="Aptos" w:hAnsi="Aptos"/>
          <w:color w:val="1F2937"/>
          <w:sz w:val="22"/>
          <w:szCs w:val="22"/>
        </w:rPr>
        <w:t xml:space="preserve">Persetujuan teknis untuk mengajukan dokumen kepada stakeholder bukan bukti bahwa stakeholder telah memberikan ratifikasi final. Frasa “following unconditional author approval” juga terlalu kuat karena approval sebelumnya tetap mensyaratkan stakeholder confirmation atas keputusan yang masih PENDING APPROVAL.</w:t>
      </w:r>
    </w:p>
    <w:p>
      <w:pPr>
        <w:pStyle w:val="Heading1"/>
        <w:spacing w:after="100" w:before="240"/>
      </w:pPr>
      <w:r>
        <w:rPr>
          <w:rFonts w:ascii="Aptos Display" w:cs="Aptos Display" w:eastAsia="Aptos Display" w:hAnsi="Aptos Display"/>
          <w:b/>
          <w:bCs/>
          <w:color w:val="17365D"/>
        </w:rPr>
        <w:t xml:space="preserve">Permitted Resolution Options</w:t>
      </w:r>
    </w:p>
    <w:p>
      <w:pPr>
        <w:pStyle w:val="Heading2"/>
        <w:spacing w:after="100" w:before="240"/>
      </w:pPr>
      <w:r>
        <w:rPr>
          <w:rFonts w:ascii="Aptos Display" w:cs="Aptos Display" w:eastAsia="Aptos Display" w:hAnsi="Aptos Display"/>
          <w:b/>
          <w:bCs/>
          <w:color w:val="17365D"/>
        </w:rPr>
        <w:t xml:space="preserve">Option A — Stakeholder approval belum terjadi</w:t>
      </w:r>
    </w:p>
    <w:p>
      <w:pPr>
        <w:spacing w:after="130" w:line="300"/>
      </w:pPr>
      <w:r>
        <w:rPr>
          <w:rFonts w:ascii="Aptos" w:cs="Aptos" w:eastAsia="Aptos" w:hAnsi="Aptos"/>
          <w:color w:val="1F2937"/>
          <w:sz w:val="22"/>
          <w:szCs w:val="22"/>
        </w:rPr>
        <w:t xml:space="preserve">Pertahankan dokumen sebagai candidate dengan salah satu status berikut:</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Current Version: v0.11
Status: Final Decision Baseline Candidate — Pending Stakeholder Confirmation</w:t>
      </w:r>
    </w:p>
    <w:p>
      <w:pPr>
        <w:spacing w:after="130" w:line="300"/>
      </w:pPr>
      <w:r>
        <w:rPr>
          <w:rFonts w:ascii="Aptos" w:cs="Aptos" w:eastAsia="Aptos" w:hAnsi="Aptos"/>
          <w:color w:val="1F2937"/>
          <w:sz w:val="22"/>
          <w:szCs w:val="22"/>
        </w:rPr>
        <w:t xml:space="preserve">Atau, jika nomor v1.00 perlu dipertahankan sebagai draft:</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Current Version: v1.00 Draft
Status: Approved Technical Baseline — Pending Stakeholder Ratification</w:t>
      </w:r>
    </w:p>
    <w:p>
      <w:pPr>
        <w:pStyle w:val="Heading2"/>
        <w:spacing w:after="100" w:before="240"/>
      </w:pPr>
      <w:r>
        <w:rPr>
          <w:rFonts w:ascii="Aptos Display" w:cs="Aptos Display" w:eastAsia="Aptos Display" w:hAnsi="Aptos Display"/>
          <w:b/>
          <w:bCs/>
          <w:color w:val="17365D"/>
        </w:rPr>
        <w:t xml:space="preserve">Option B — Stakeholder approval sudah terjadi</w:t>
      </w:r>
    </w:p>
    <w:p>
      <w:pPr>
        <w:spacing w:after="130" w:line="300"/>
      </w:pPr>
      <w:r>
        <w:rPr>
          <w:rFonts w:ascii="Aptos" w:cs="Aptos" w:eastAsia="Aptos" w:hAnsi="Aptos"/>
          <w:color w:val="1F2937"/>
          <w:sz w:val="22"/>
          <w:szCs w:val="22"/>
        </w:rPr>
        <w:t xml:space="preserve">Status v1.00 dapat dipertahankan, tetapi harus memiliki referensi governance yang dapat ditelusuri. Tidak diperlukan penambahan daftar stakeholder sign-off. Cukup tambahkan referensi approval record yang sebenarnya:</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Stakeholder Approval Reference:
Approved through [approval record / meeting record / governance reference],
dated [approval date].</w:t>
      </w:r>
    </w:p>
    <w:p>
      <w:pPr>
        <w:spacing w:after="130" w:line="300"/>
      </w:pPr>
      <w:r>
        <w:rPr>
          <w:rFonts w:ascii="Aptos" w:cs="Aptos" w:eastAsia="Aptos" w:hAnsi="Aptos"/>
          <w:color w:val="1F2937"/>
          <w:sz w:val="22"/>
          <w:szCs w:val="22"/>
        </w:rPr>
        <w:t xml:space="preserve">Setelah referensi tersebut tersedia, status Approved Decision Baseline dapat dianggap tervalidasi.</w:t>
      </w:r>
    </w:p>
    <w:p>
      <w:pPr>
        <w:pStyle w:val="Heading1"/>
        <w:spacing w:after="100" w:before="240"/>
      </w:pPr>
      <w:r>
        <w:rPr>
          <w:rFonts w:ascii="Aptos Display" w:cs="Aptos Display" w:eastAsia="Aptos Display" w:hAnsi="Aptos Display"/>
          <w:b/>
          <w:bCs/>
          <w:color w:val="17365D"/>
        </w:rPr>
        <w:t xml:space="preserve">Minor Reference Correction</w:t>
      </w:r>
    </w:p>
    <w:p>
      <w:pPr>
        <w:spacing w:after="130" w:line="300"/>
      </w:pPr>
      <w:r>
        <w:rPr>
          <w:rFonts w:ascii="Aptos" w:cs="Aptos" w:eastAsia="Aptos" w:hAnsi="Aptos"/>
          <w:color w:val="1F2937"/>
          <w:sz w:val="22"/>
          <w:szCs w:val="22"/>
        </w:rPr>
        <w:t xml:space="preserve">Hapus suffix salinan lokal “(1)” dari nama referensi dokumen. Gunakan nama resmi berikut:</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SPH-12-FSD-v0.11-Final-Approval-for-Stakeholder-Sign-Off-ID.docx</w:t>
      </w:r>
    </w:p>
    <w:p>
      <w:pPr>
        <w:pStyle w:val="Heading1"/>
        <w:spacing w:after="100" w:before="240"/>
      </w:pPr>
      <w:r>
        <w:rPr>
          <w:rFonts w:ascii="Aptos Display" w:cs="Aptos Display" w:eastAsia="Aptos Display" w:hAnsi="Aptos Display"/>
          <w:b/>
          <w:bCs/>
          <w:color w:val="17365D"/>
        </w:rPr>
        <w:t xml:space="preserve">Final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Review Area</w:t>
            </w:r>
          </w:p>
        </w:tc>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Assessment</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Technical architecture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Business-rule consistency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Code reference examples</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FSD traceability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Implementation/test status separation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Author technical approval</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Verified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Stakeholder ratification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Not evidenced in supplied records</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Promotion to v1.00 approved baseline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Pending governance evidence</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Additional architecture review</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Not required</w:t>
            </w:r>
          </w:p>
        </w:tc>
      </w:tr>
    </w:tbl>
    <w:p>
      <w:pPr>
        <w:pStyle w:val="Heading1"/>
        <w:spacing w:after="100" w:before="240"/>
      </w:pPr>
      <w:r>
        <w:rPr>
          <w:rFonts w:ascii="Aptos Display" w:cs="Aptos Display" w:eastAsia="Aptos Display" w:hAnsi="Aptos Display"/>
          <w:b/>
          <w:bCs/>
          <w:color w:val="17365D"/>
        </w:rPr>
        <w:t xml:space="preserve">Final Decision</w:t>
      </w:r>
    </w:p>
    <w:p>
      <w:pPr>
        <w:spacing w:after="130" w:line="300"/>
      </w:pPr>
      <w:r>
        <w:rPr>
          <w:rFonts w:ascii="Aptos" w:cs="Aptos" w:eastAsia="Aptos" w:hAnsi="Aptos"/>
          <w:b/>
          <w:bCs/>
          <w:color w:val="92400E"/>
          <w:sz w:val="24"/>
          <w:szCs w:val="24"/>
        </w:rPr>
        <w:t xml:space="preserve">TECHNICALLY APPROVED — PENDING STAKEHOLDER RATIFICATION</w:t>
      </w:r>
    </w:p>
    <w:p>
      <w:pPr>
        <w:spacing w:after="130" w:line="300"/>
      </w:pPr>
      <w:r>
        <w:rPr>
          <w:rFonts w:ascii="Aptos" w:cs="Aptos" w:eastAsia="Aptos" w:hAnsi="Aptos"/>
          <w:b/>
          <w:bCs/>
          <w:color w:val="17365D"/>
          <w:sz w:val="22"/>
          <w:szCs w:val="22"/>
        </w:rPr>
        <w:t xml:space="preserve">Dokumen hanya dapat dinyatakan sebagai v1.00 Approved Decision Baseline setelah stakeholder approval benar-benar terjadi dan memiliki referensi governance. Tanpa bukti tersebut, gunakan status v0.11 Final Candidate atau v1.00 Draft Pending Stakeholder Ratification. Tidak diperlukan revisi arsitektur tambahan.</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 Technically Approved, Governance Pending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v1.00 GOVERNANCE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v1.00 Technical Approval and Governance Review</dc:title>
  <dc:subject>Governance validation of decision baseline promotion</dc:subject>
  <dc:creator>SecureProfit Hub Review</dc:creator>
  <cp:lastModifiedBy>Un-named</cp:lastModifiedBy>
  <cp:revision>1</cp:revision>
  <dcterms:created xsi:type="dcterms:W3CDTF">2026-09-02T03:43:36.966Z</dcterms:created>
  <dcterms:modified xsi:type="dcterms:W3CDTF">2026-09-02T03:43:36.966Z</dcterms:modified>
</cp:coreProperties>
</file>

<file path=docProps/custom.xml><?xml version="1.0" encoding="utf-8"?>
<Properties xmlns="http://schemas.openxmlformats.org/officeDocument/2006/custom-properties" xmlns:vt="http://schemas.openxmlformats.org/officeDocument/2006/docPropsVTypes"/>
</file>