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E5A"/>
          <w:sz w:val="24"/>
        </w:rPr>
        <w:t>MOBILE AI CONFIGURATION &amp; REQUIRED CHANGES</w:t>
      </w:r>
    </w:p>
    <w:p>
      <w:pPr>
        <w:jc w:val="center"/>
      </w:pPr>
      <w:r>
        <w:rPr>
          <w:b/>
          <w:color w:val="1F2937"/>
          <w:sz w:val="44"/>
        </w:rPr>
        <w:t>SecureProfit Mobile with ActivityHub Backend</w:t>
      </w:r>
    </w:p>
    <w:p>
      <w:pPr>
        <w:jc w:val="center"/>
      </w:pPr>
      <w:r>
        <w:rPr>
          <w:i/>
          <w:color w:val="646464"/>
        </w:rPr>
        <w:t>Technical Configuration Guide — 3 September 2026</w:t>
      </w:r>
    </w:p>
    <w:p/>
    <w:p>
      <w:pPr>
        <w:pStyle w:val="Heading1"/>
      </w:pPr>
      <w:r>
        <w:t>Executive Summary</w:t>
      </w:r>
    </w:p>
    <w:p>
      <w:pPr>
        <w:jc w:val="left"/>
      </w:pPr>
      <w:r>
        <w:t>Untuk versi mobile, OpenAI API key tidak boleh disimpan di aplikasi. Mobile hanya diarahkan ke backend ActivityHub melalui EXPO_PUBLIC_DOMAIN. Backend ActivityHub yang menyimpan provider key, memilih AI model, memanggil OpenAI-compatible endpoint, dan menerapkan authorization.</w:t>
      </w:r>
    </w:p>
    <w:p>
      <w:pPr>
        <w:jc w:val="left"/>
      </w:pPr>
      <w:r>
        <w:t>Source mobile saat ini sudah mempunyai API base URL wiring, Bearer-token authentication, dan mobile client header. Namun, belum ditemukan screen atau komponen mobile yang menggunakan endpoint AI. Karena itu, selain konfigurasi domain dan backend, UI AI mobile masih harus dibangun.</w:t>
      </w:r>
    </w:p>
    <w:p>
      <w:pPr>
        <w:pStyle w:val="Heading1"/>
      </w:pPr>
      <w:r>
        <w:t>Required Architecture</w:t>
      </w:r>
    </w:p>
    <w:p>
      <w:pPr>
        <w:ind w:left="360" w:right="173"/>
        <w:shd w:fill="F3F4F6"/>
      </w:pPr>
      <w:r>
        <w:rPr>
          <w:rFonts w:ascii="Consolas" w:hAnsi="Consolas"/>
          <w:sz w:val="17"/>
        </w:rPr>
        <w:t>SecureProfit Mobile</w:t>
        <w:br/>
        <w:t xml:space="preserve">        │</w:t>
        <w:br/>
        <w:t xml:space="preserve">        │ HTTPS + Bearer token</w:t>
        <w:br/>
        <w:t xml:space="preserve">        ▼</w:t>
        <w:br/>
        <w:t>https://activityhub.itsecasia.dev/api</w:t>
        <w:br/>
        <w:t xml:space="preserve">        │</w:t>
        <w:br/>
        <w:t xml:space="preserve">        │ Protected server-side provider call</w:t>
        <w:br/>
        <w:t xml:space="preserve">        ▼</w:t>
        <w:br/>
        <w:t>OpenAI / OpenAI-compatible provider</w:t>
      </w:r>
    </w:p>
    <w:p>
      <w:pPr>
        <w:jc w:val="left"/>
      </w:pPr>
      <w:r>
        <w:t>Mobile tidak pernah memanggil OpenAI secara langsung. Pola ini melindungi API key, menjaga authorization berbasis user/role, dan memungkinkan rate limiting serta audit dilakukan oleh backend.</w:t>
      </w:r>
    </w:p>
    <w:p>
      <w:pPr>
        <w:pStyle w:val="Heading1"/>
      </w:pPr>
      <w:r>
        <w:t>Configuration That Belongs in Mobile</w:t>
      </w:r>
    </w:p>
    <w:p>
      <w:pPr>
        <w:jc w:val="left"/>
      </w:pPr>
      <w:r>
        <w:t>Nilai build mobile untuk ActivityHub:</w:t>
      </w:r>
    </w:p>
    <w:p>
      <w:pPr>
        <w:ind w:left="360" w:right="173"/>
        <w:shd w:fill="F3F4F6"/>
      </w:pPr>
      <w:r>
        <w:rPr>
          <w:rFonts w:ascii="Consolas" w:hAnsi="Consolas"/>
          <w:sz w:val="17"/>
        </w:rPr>
        <w:t>EXPO_PUBLIC_DOMAIN=activityhub.itsecasia.dev</w:t>
      </w:r>
    </w:p>
    <w:p>
      <w:pPr>
        <w:jc w:val="left"/>
      </w:pPr>
      <w:r>
        <w:t>Jangan sertakan protokol:</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Configuration</w:t>
            </w:r>
          </w:p>
        </w:tc>
        <w:tc>
          <w:tcPr>
            <w:tcW w:type="dxa" w:w="3293"/>
            <w:shd w:fill="143E5A"/>
          </w:tcPr>
          <w:p>
            <w:r/>
            <w:r>
              <w:rPr>
                <w:b/>
                <w:color w:val="FFFFFF"/>
                <w:sz w:val="17"/>
              </w:rPr>
              <w:t>Value</w:t>
            </w:r>
          </w:p>
        </w:tc>
        <w:tc>
          <w:tcPr>
            <w:tcW w:type="dxa" w:w="3293"/>
            <w:shd w:fill="143E5A"/>
          </w:tcPr>
          <w:p>
            <w:r/>
            <w:r>
              <w:rPr>
                <w:b/>
                <w:color w:val="FFFFFF"/>
                <w:sz w:val="17"/>
              </w:rPr>
              <w:t>Result</w:t>
            </w:r>
          </w:p>
        </w:tc>
      </w:tr>
      <w:tr>
        <w:tc>
          <w:tcPr>
            <w:tcW w:type="dxa" w:w="3293"/>
            <w:shd w:fill="FFFFFF"/>
          </w:tcPr>
          <w:p>
            <w:r/>
            <w:r>
              <w:rPr>
                <w:b w:val="0"/>
                <w:sz w:val="17"/>
              </w:rPr>
              <w:t>Benar</w:t>
            </w:r>
          </w:p>
        </w:tc>
        <w:tc>
          <w:tcPr>
            <w:tcW w:type="dxa" w:w="3293"/>
            <w:shd w:fill="FFFFFF"/>
          </w:tcPr>
          <w:p>
            <w:r/>
            <w:r>
              <w:rPr>
                <w:b w:val="0"/>
                <w:sz w:val="17"/>
              </w:rPr>
              <w:t>activityhub.itsecasia.dev</w:t>
            </w:r>
          </w:p>
        </w:tc>
        <w:tc>
          <w:tcPr>
            <w:tcW w:type="dxa" w:w="3293"/>
            <w:shd w:fill="FFFFFF"/>
          </w:tcPr>
          <w:p>
            <w:r/>
            <w:r>
              <w:rPr>
                <w:b w:val="0"/>
                <w:sz w:val="17"/>
              </w:rPr>
              <w:t>https://activityhub.itsecasia.dev</w:t>
            </w:r>
          </w:p>
        </w:tc>
      </w:tr>
      <w:tr>
        <w:tc>
          <w:tcPr>
            <w:tcW w:type="dxa" w:w="3293"/>
            <w:shd w:fill="F3F6F8"/>
          </w:tcPr>
          <w:p>
            <w:r/>
            <w:r>
              <w:rPr>
                <w:b w:val="0"/>
                <w:sz w:val="17"/>
              </w:rPr>
              <w:t>Salah</w:t>
            </w:r>
          </w:p>
        </w:tc>
        <w:tc>
          <w:tcPr>
            <w:tcW w:type="dxa" w:w="3293"/>
            <w:shd w:fill="F3F6F8"/>
          </w:tcPr>
          <w:p>
            <w:r/>
            <w:r>
              <w:rPr>
                <w:b w:val="0"/>
                <w:sz w:val="17"/>
              </w:rPr>
              <w:t>https://activityhub.itsecasia.dev</w:t>
            </w:r>
          </w:p>
        </w:tc>
        <w:tc>
          <w:tcPr>
            <w:tcW w:type="dxa" w:w="3293"/>
            <w:shd w:fill="F3F6F8"/>
          </w:tcPr>
          <w:p>
            <w:r/>
            <w:r>
              <w:rPr>
                <w:b w:val="0"/>
                <w:sz w:val="17"/>
              </w:rPr>
              <w:t>https://https://activityhub.itsecasia.dev</w:t>
            </w:r>
          </w:p>
        </w:tc>
      </w:tr>
    </w:tbl>
    <w:p>
      <w:pPr>
        <w:jc w:val="left"/>
      </w:pPr>
      <w:r>
        <w:t>Source mobile saat ini membentuk base URL dengan:</w:t>
      </w:r>
    </w:p>
    <w:p>
      <w:pPr>
        <w:ind w:left="360" w:right="173"/>
        <w:shd w:fill="F3F4F6"/>
      </w:pPr>
      <w:r>
        <w:rPr>
          <w:rFonts w:ascii="Consolas" w:hAnsi="Consolas"/>
          <w:sz w:val="17"/>
        </w:rPr>
        <w:t>setBaseUrl(`https://${process.env.EXPO_PUBLIC_DOMAIN}`);</w:t>
      </w:r>
    </w:p>
    <w:p>
      <w:pPr>
        <w:jc w:val="left"/>
      </w:pPr>
      <w:r>
        <w:t>EXPO_PUBLIC_DOMAIN tertanam saat build. Mengubah environment server tidak otomatis memperbarui APK atau IPA yang sudah terpasang. Mobile harus dibangun dan didistribusikan ulang setelah domain berubah.</w:t>
      </w:r>
    </w:p>
    <w:p>
      <w:pPr>
        <w:pStyle w:val="Heading1"/>
      </w:pPr>
      <w:r>
        <w:t>Configuration That Must Stay on the Backend</w:t>
      </w:r>
    </w:p>
    <w:p>
      <w:pPr>
        <w:jc w:val="left"/>
      </w:pPr>
      <w:r>
        <w:t>Environment berikut hanya berada pada protected ActivityHub API server:</w:t>
      </w:r>
    </w:p>
    <w:p>
      <w:pPr>
        <w:ind w:left="360" w:right="173"/>
        <w:shd w:fill="F3F4F6"/>
      </w:pPr>
      <w:r>
        <w:rPr>
          <w:rFonts w:ascii="Consolas" w:hAnsi="Consolas"/>
          <w:sz w:val="17"/>
        </w:rPr>
        <w:t>AI_INTEGRATIONS_OPENAI_BASE_URL=https://api.openai.com/v1</w:t>
        <w:br/>
        <w:t>AI_INTEGRATIONS_OPENAI_API_KEY=&lt;protected-server-secret&gt;</w:t>
        <w:br/>
        <w:t>AI_MODEL=&lt;model-available-to-the-local-provider-account&gt;</w:t>
      </w:r>
    </w:p>
    <w:p>
      <w:pPr>
        <w:jc w:val="left"/>
      </w:pPr>
      <w:r>
        <w:t>Jangan pernah membuat variable seperti EXPO_PUBLIC_OPENAI_API_KEY. Semua variable dengan prefix EXPO_PUBLIC dapat masuk ke application bundle dan dapat diekstrak dari APK/IPA.</w:t>
      </w:r>
    </w:p>
    <w:p>
      <w:pPr>
        <w:pStyle w:val="Heading1"/>
      </w:pPr>
      <w:r>
        <w:t>Existing Mobile Authentication Configuration</w:t>
      </w:r>
    </w:p>
    <w:p>
      <w:pPr>
        <w:jc w:val="left"/>
      </w:pPr>
      <w:r>
        <w:t>Mobile sudah mengatur:</w:t>
      </w:r>
    </w:p>
    <w:p>
      <w:pPr>
        <w:ind w:left="360" w:right="173"/>
        <w:shd w:fill="F3F4F6"/>
      </w:pPr>
      <w:r>
        <w:rPr>
          <w:rFonts w:ascii="Consolas" w:hAnsi="Consolas"/>
          <w:sz w:val="17"/>
        </w:rPr>
        <w:t>setAuthTokenGetter(() =&gt; getCurrentToken());</w:t>
        <w:br/>
        <w:t>setClientId("mobile");</w:t>
      </w:r>
    </w:p>
    <w:p>
      <w:pPr>
        <w:jc w:val="left"/>
      </w:pPr>
      <w:r>
        <w:t>Setiap generated API request dapat mengirim:</w:t>
      </w:r>
    </w:p>
    <w:p>
      <w:pPr>
        <w:ind w:left="360" w:right="173"/>
        <w:shd w:fill="F3F4F6"/>
      </w:pPr>
      <w:r>
        <w:rPr>
          <w:rFonts w:ascii="Consolas" w:hAnsi="Consolas"/>
          <w:sz w:val="17"/>
        </w:rPr>
        <w:t>Authorization: Bearer &lt;user-token&gt;</w:t>
        <w:br/>
        <w:t>X-SecureProfit-Client: mobile</w:t>
      </w:r>
    </w:p>
    <w:tbl>
      <w:tblPr>
        <w:tblStyle w:val="TableGrid"/>
        <w:tblW w:type="auto" w:w="0"/>
        <w:jc w:val="center"/>
        <w:tblLook w:firstColumn="1" w:firstRow="1" w:lastColumn="0" w:lastRow="0" w:noHBand="0" w:noVBand="1" w:val="04A0"/>
      </w:tblPr>
      <w:tblGrid>
        <w:gridCol w:w="4939"/>
        <w:gridCol w:w="4939"/>
      </w:tblGrid>
      <w:tr>
        <w:tc>
          <w:tcPr>
            <w:tcW w:type="dxa" w:w="4939"/>
            <w:shd w:fill="143E5A"/>
          </w:tcPr>
          <w:p>
            <w:r/>
            <w:r>
              <w:rPr>
                <w:b/>
                <w:color w:val="FFFFFF"/>
                <w:sz w:val="17"/>
              </w:rPr>
              <w:t>Mechanism</w:t>
            </w:r>
          </w:p>
        </w:tc>
        <w:tc>
          <w:tcPr>
            <w:tcW w:type="dxa" w:w="4939"/>
            <w:shd w:fill="143E5A"/>
          </w:tcPr>
          <w:p>
            <w:r/>
            <w:r>
              <w:rPr>
                <w:b/>
                <w:color w:val="FFFFFF"/>
                <w:sz w:val="17"/>
              </w:rPr>
              <w:t>Purpose</w:t>
            </w:r>
          </w:p>
        </w:tc>
      </w:tr>
      <w:tr>
        <w:tc>
          <w:tcPr>
            <w:tcW w:type="dxa" w:w="4939"/>
            <w:shd w:fill="FFFFFF"/>
          </w:tcPr>
          <w:p>
            <w:r/>
            <w:r>
              <w:rPr>
                <w:b w:val="0"/>
                <w:sz w:val="17"/>
              </w:rPr>
              <w:t>Bearer token</w:t>
            </w:r>
          </w:p>
        </w:tc>
        <w:tc>
          <w:tcPr>
            <w:tcW w:type="dxa" w:w="4939"/>
            <w:shd w:fill="FFFFFF"/>
          </w:tcPr>
          <w:p>
            <w:r/>
            <w:r>
              <w:rPr>
                <w:b w:val="0"/>
                <w:sz w:val="17"/>
              </w:rPr>
              <w:t>Mengautentikasi user dan role terhadap ActivityHub API</w:t>
            </w:r>
          </w:p>
        </w:tc>
      </w:tr>
      <w:tr>
        <w:tc>
          <w:tcPr>
            <w:tcW w:type="dxa" w:w="4939"/>
            <w:shd w:fill="F3F6F8"/>
          </w:tcPr>
          <w:p>
            <w:r/>
            <w:r>
              <w:rPr>
                <w:b w:val="0"/>
                <w:sz w:val="17"/>
              </w:rPr>
              <w:t>X-SecureProfit-Client: mobile</w:t>
            </w:r>
          </w:p>
        </w:tc>
        <w:tc>
          <w:tcPr>
            <w:tcW w:type="dxa" w:w="4939"/>
            <w:shd w:fill="F3F6F8"/>
          </w:tcPr>
          <w:p>
            <w:r/>
            <w:r>
              <w:rPr>
                <w:b w:val="0"/>
                <w:sz w:val="17"/>
              </w:rPr>
              <w:t>Menandai request dari mobile dan melewati web-only front-door site gate</w:t>
            </w:r>
          </w:p>
        </w:tc>
      </w:tr>
      <w:tr>
        <w:tc>
          <w:tcPr>
            <w:tcW w:type="dxa" w:w="4939"/>
            <w:shd w:fill="FFFFFF"/>
          </w:tcPr>
          <w:p>
            <w:r/>
            <w:r>
              <w:rPr>
                <w:b w:val="0"/>
                <w:sz w:val="17"/>
              </w:rPr>
              <w:t>Backend authorization</w:t>
            </w:r>
          </w:p>
        </w:tc>
        <w:tc>
          <w:tcPr>
            <w:tcW w:type="dxa" w:w="4939"/>
            <w:shd w:fill="FFFFFF"/>
          </w:tcPr>
          <w:p>
            <w:r/>
            <w:r>
              <w:rPr>
                <w:b w:val="0"/>
                <w:sz w:val="17"/>
              </w:rPr>
              <w:t>Tetap membatasi data dan AI feature berdasarkan user, role, serta project</w:t>
            </w:r>
          </w:p>
        </w:tc>
      </w:tr>
    </w:tbl>
    <w:p>
      <w:pPr>
        <w:pStyle w:val="Heading1"/>
      </w:pPr>
      <w:r>
        <w:t>Handling HTTP 401 on Mobile</w:t>
      </w:r>
    </w:p>
    <w:p>
      <w:pPr>
        <w:jc w:val="left"/>
      </w:pPr>
      <w:r>
        <w:t>Jika aplikasi mendapatkan HTTP 401 setelah dipindahkan dari cloud ke ActivityHub, penyebab yang paling mungkin adalah token lama masih tersimpan atau APK masih menunjuk ke domain cloud.</w:t>
      </w:r>
    </w:p>
    <w:p>
      <w:pPr>
        <w:pStyle w:val="ListBullet"/>
        <w:spacing w:after="60"/>
      </w:pPr>
      <w:r>
        <w:t>Pastikan build benar-benar menggunakan EXPO_PUBLIC_DOMAIN=activityhub.itsecasia.dev.</w:t>
      </w:r>
    </w:p>
    <w:p>
      <w:pPr>
        <w:pStyle w:val="ListBullet"/>
        <w:spacing w:after="60"/>
      </w:pPr>
      <w:r>
        <w:t>Logout dari aplikasi mobile.</w:t>
      </w:r>
    </w:p>
    <w:p>
      <w:pPr>
        <w:pStyle w:val="ListBullet"/>
        <w:spacing w:after="60"/>
      </w:pPr>
      <w:r>
        <w:t>Clear application storage jika token cloud tidak dapat dihapus melalui logout.</w:t>
      </w:r>
    </w:p>
    <w:p>
      <w:pPr>
        <w:pStyle w:val="ListBullet"/>
        <w:spacing w:after="60"/>
      </w:pPr>
      <w:r>
        <w:t>Login ulang terhadap ActivityHub.</w:t>
      </w:r>
    </w:p>
    <w:p>
      <w:pPr>
        <w:pStyle w:val="ListBullet"/>
        <w:spacing w:after="60"/>
      </w:pPr>
      <w:r>
        <w:t>Pastikan user terkait tersedia pada database ActivityHub.</w:t>
      </w:r>
    </w:p>
    <w:p>
      <w:pPr>
        <w:pStyle w:val="ListBullet"/>
        <w:spacing w:after="60"/>
      </w:pPr>
      <w:r>
        <w:t>Pastikan SESSION_SECRET ActivityHub tidak berubah setelah token dibuat.</w:t>
      </w:r>
    </w:p>
    <w:p>
      <w:pPr>
        <w:pStyle w:val="ListBullet"/>
        <w:spacing w:after="60"/>
      </w:pPr>
      <w:r>
        <w:t>Periksa request URL dan pastikan tidak lagi menuju profit-insight-hub.replit.app.</w:t>
      </w:r>
    </w:p>
    <w:p>
      <w:pPr>
        <w:pStyle w:val="Heading1"/>
      </w:pPr>
      <w:r>
        <w:t>Current AI Feature Availability on Mobile</w:t>
      </w:r>
    </w:p>
    <w:p>
      <w:pPr>
        <w:jc w:val="left"/>
      </w:pPr>
      <w:r>
        <w:t>Generated API client sudah menyediakan endpoint AI, tetapi source mobile belum mempunyai screen atau komponen yang memanggilnya.</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Feature</w:t>
            </w:r>
          </w:p>
        </w:tc>
        <w:tc>
          <w:tcPr>
            <w:tcW w:type="dxa" w:w="3293"/>
            <w:shd w:fill="143E5A"/>
          </w:tcPr>
          <w:p>
            <w:r/>
            <w:r>
              <w:rPr>
                <w:b/>
                <w:color w:val="FFFFFF"/>
                <w:sz w:val="17"/>
              </w:rPr>
              <w:t>API available</w:t>
            </w:r>
          </w:p>
        </w:tc>
        <w:tc>
          <w:tcPr>
            <w:tcW w:type="dxa" w:w="3293"/>
            <w:shd w:fill="143E5A"/>
          </w:tcPr>
          <w:p>
            <w:r/>
            <w:r>
              <w:rPr>
                <w:b/>
                <w:color w:val="FFFFFF"/>
                <w:sz w:val="17"/>
              </w:rPr>
              <w:t>Mobile UI status</w:t>
            </w:r>
          </w:p>
        </w:tc>
      </w:tr>
      <w:tr>
        <w:tc>
          <w:tcPr>
            <w:tcW w:type="dxa" w:w="3293"/>
            <w:shd w:fill="FFFFFF"/>
          </w:tcPr>
          <w:p>
            <w:r/>
            <w:r>
              <w:rPr>
                <w:b w:val="0"/>
                <w:sz w:val="17"/>
              </w:rPr>
              <w:t>AI Assistant</w:t>
            </w:r>
          </w:p>
        </w:tc>
        <w:tc>
          <w:tcPr>
            <w:tcW w:type="dxa" w:w="3293"/>
            <w:shd w:fill="FFFFFF"/>
          </w:tcPr>
          <w:p>
            <w:r/>
            <w:r>
              <w:rPr>
                <w:b w:val="0"/>
                <w:sz w:val="17"/>
              </w:rPr>
              <w:t>POST /api/ai/assistant/chat</w:t>
            </w:r>
          </w:p>
        </w:tc>
        <w:tc>
          <w:tcPr>
            <w:tcW w:type="dxa" w:w="3293"/>
            <w:shd w:fill="FFFFFF"/>
          </w:tcPr>
          <w:p>
            <w:r/>
            <w:r>
              <w:rPr>
                <w:b w:val="0"/>
                <w:sz w:val="17"/>
              </w:rPr>
              <w:t>Belum tersedia</w:t>
            </w:r>
          </w:p>
        </w:tc>
      </w:tr>
      <w:tr>
        <w:tc>
          <w:tcPr>
            <w:tcW w:type="dxa" w:w="3293"/>
            <w:shd w:fill="F3F6F8"/>
          </w:tcPr>
          <w:p>
            <w:r/>
            <w:r>
              <w:rPr>
                <w:b w:val="0"/>
                <w:sz w:val="17"/>
              </w:rPr>
              <w:t>AI Report Draft</w:t>
            </w:r>
          </w:p>
        </w:tc>
        <w:tc>
          <w:tcPr>
            <w:tcW w:type="dxa" w:w="3293"/>
            <w:shd w:fill="F3F6F8"/>
          </w:tcPr>
          <w:p>
            <w:r/>
            <w:r>
              <w:rPr>
                <w:b w:val="0"/>
                <w:sz w:val="17"/>
              </w:rPr>
              <w:t>POST /api/ai/report-draft</w:t>
            </w:r>
          </w:p>
        </w:tc>
        <w:tc>
          <w:tcPr>
            <w:tcW w:type="dxa" w:w="3293"/>
            <w:shd w:fill="F3F6F8"/>
          </w:tcPr>
          <w:p>
            <w:r/>
            <w:r>
              <w:rPr>
                <w:b w:val="0"/>
                <w:sz w:val="17"/>
              </w:rPr>
              <w:t>Belum tersedia</w:t>
            </w:r>
          </w:p>
        </w:tc>
      </w:tr>
      <w:tr>
        <w:tc>
          <w:tcPr>
            <w:tcW w:type="dxa" w:w="3293"/>
            <w:shd w:fill="FFFFFF"/>
          </w:tcPr>
          <w:p>
            <w:r/>
            <w:r>
              <w:rPr>
                <w:b w:val="0"/>
                <w:sz w:val="17"/>
              </w:rPr>
              <w:t>Weekly AI Digest</w:t>
            </w:r>
          </w:p>
        </w:tc>
        <w:tc>
          <w:tcPr>
            <w:tcW w:type="dxa" w:w="3293"/>
            <w:shd w:fill="FFFFFF"/>
          </w:tcPr>
          <w:p>
            <w:r/>
            <w:r>
              <w:rPr>
                <w:b w:val="0"/>
                <w:sz w:val="17"/>
              </w:rPr>
              <w:t>GET/POST /api/ai/weekly-digest</w:t>
            </w:r>
          </w:p>
        </w:tc>
        <w:tc>
          <w:tcPr>
            <w:tcW w:type="dxa" w:w="3293"/>
            <w:shd w:fill="FFFFFF"/>
          </w:tcPr>
          <w:p>
            <w:r/>
            <w:r>
              <w:rPr>
                <w:b w:val="0"/>
                <w:sz w:val="17"/>
              </w:rPr>
              <w:t>Belum tersedia</w:t>
            </w:r>
          </w:p>
        </w:tc>
      </w:tr>
      <w:tr>
        <w:tc>
          <w:tcPr>
            <w:tcW w:type="dxa" w:w="3293"/>
            <w:shd w:fill="F3F6F8"/>
          </w:tcPr>
          <w:p>
            <w:r/>
            <w:r>
              <w:rPr>
                <w:b w:val="0"/>
                <w:sz w:val="17"/>
              </w:rPr>
              <w:t>Executive Copilot</w:t>
            </w:r>
          </w:p>
        </w:tc>
        <w:tc>
          <w:tcPr>
            <w:tcW w:type="dxa" w:w="3293"/>
            <w:shd w:fill="F3F6F8"/>
          </w:tcPr>
          <w:p>
            <w:r/>
            <w:r>
              <w:rPr>
                <w:b w:val="0"/>
                <w:sz w:val="17"/>
              </w:rPr>
              <w:t>GET/POST /api/executive-copilot/briefing</w:t>
            </w:r>
          </w:p>
        </w:tc>
        <w:tc>
          <w:tcPr>
            <w:tcW w:type="dxa" w:w="3293"/>
            <w:shd w:fill="F3F6F8"/>
          </w:tcPr>
          <w:p>
            <w:r/>
            <w:r>
              <w:rPr>
                <w:b w:val="0"/>
                <w:sz w:val="17"/>
              </w:rPr>
              <w:t>Belum tersedia</w:t>
            </w:r>
          </w:p>
        </w:tc>
      </w:tr>
    </w:tbl>
    <w:p>
      <w:pPr>
        <w:jc w:val="left"/>
      </w:pPr>
      <w:r>
        <w:t>Dengan demikian, memperbaiki backend AI tidak otomatis menampilkan fitur AI pada mobile. Screen, navigation entry, loading/error states, dan role-based visibility masih perlu ditambahkan.</w:t>
      </w:r>
    </w:p>
    <w:p>
      <w:pPr>
        <w:pStyle w:val="Heading1"/>
      </w:pPr>
      <w:r>
        <w:t>Required Mobile Feature Changes</w:t>
      </w:r>
    </w:p>
    <w:p>
      <w:pPr>
        <w:pStyle w:val="Heading2"/>
      </w:pPr>
      <w:r>
        <w:t>1. AI Assistant</w:t>
      </w:r>
    </w:p>
    <w:p>
      <w:pPr>
        <w:jc w:val="left"/>
      </w:pPr>
      <w:r>
        <w:t>Tambahkan screen AI Assistant yang menggunakan generated mutation hook useAiAssistantChat(). Jangan membuat fetch client baru dan jangan memanggil provider langsung.</w:t>
      </w:r>
    </w:p>
    <w:p>
      <w:pPr>
        <w:pStyle w:val="ListBullet"/>
        <w:spacing w:after="60"/>
      </w:pPr>
      <w:r>
        <w:t>Conversation list</w:t>
      </w:r>
    </w:p>
    <w:p>
      <w:pPr>
        <w:pStyle w:val="ListBullet"/>
        <w:spacing w:after="60"/>
      </w:pPr>
      <w:r>
        <w:t>Input pertanyaan</w:t>
      </w:r>
    </w:p>
    <w:p>
      <w:pPr>
        <w:pStyle w:val="ListBullet"/>
        <w:spacing w:after="60"/>
      </w:pPr>
      <w:r>
        <w:t>Loading/typing indicator</w:t>
      </w:r>
    </w:p>
    <w:p>
      <w:pPr>
        <w:pStyle w:val="ListBullet"/>
        <w:spacing w:after="60"/>
      </w:pPr>
      <w:r>
        <w:t>Error handling untuk 401, 403, 429, dan 502</w:t>
      </w:r>
    </w:p>
    <w:p>
      <w:pPr>
        <w:pStyle w:val="ListBullet"/>
        <w:spacing w:after="60"/>
      </w:pPr>
      <w:r>
        <w:t>Batas panjang pesan</w:t>
      </w:r>
    </w:p>
    <w:p>
      <w:pPr>
        <w:pStyle w:val="ListBullet"/>
        <w:spacing w:after="60"/>
      </w:pPr>
      <w:r>
        <w:t>Keyboard-safe chat layout</w:t>
      </w:r>
    </w:p>
    <w:p>
      <w:pPr>
        <w:jc w:val="left"/>
      </w:pPr>
      <w:r>
        <w:t>Lokasi paling sederhana:</w:t>
      </w:r>
    </w:p>
    <w:p>
      <w:pPr>
        <w:ind w:left="360" w:right="173"/>
        <w:shd w:fill="F3F4F6"/>
      </w:pPr>
      <w:r>
        <w:rPr>
          <w:rFonts w:ascii="Consolas" w:hAnsi="Consolas"/>
          <w:sz w:val="17"/>
        </w:rPr>
        <w:t>artifacts/mobile/app/(tabs)/assistant.tsx</w:t>
      </w:r>
    </w:p>
    <w:p>
      <w:pPr>
        <w:jc w:val="left"/>
      </w:pPr>
      <w:r>
        <w:t>Jika diletakkan di luar tab, root authentication guard harus diubah agar route assistant tidak dipantulkan kembali ke root.</w:t>
      </w:r>
    </w:p>
    <w:p>
      <w:pPr>
        <w:pStyle w:val="Heading2"/>
      </w:pPr>
      <w:r>
        <w:t>2. AI Report Draft</w:t>
      </w:r>
    </w:p>
    <w:p>
      <w:pPr>
        <w:jc w:val="left"/>
      </w:pPr>
      <w:r>
        <w:t>Tambahkan tombol Generate AI Draft pada project report screen dan gunakan useGenerateAiReportDraft(). Visibility mengikuti backend authorization: project PM, Admin Project, Technical Writer, atau management sesuai rule aktif.</w:t>
      </w:r>
    </w:p>
    <w:p>
      <w:pPr>
        <w:pStyle w:val="Heading2"/>
      </w:pPr>
      <w:r>
        <w:t>3. Weekly AI Digest</w:t>
      </w:r>
    </w:p>
    <w:p>
      <w:pPr>
        <w:jc w:val="left"/>
      </w:pPr>
      <w:r>
        <w:t>Tambahkan digest pada Alerts atau Management screen. Gunakan generated query dan mutation hooks. Generate action hanya ditampilkan untuk MANAGEMENT atau role bypass yang memang diterima backend.</w:t>
      </w:r>
    </w:p>
    <w:p>
      <w:pPr>
        <w:pStyle w:val="Heading2"/>
      </w:pPr>
      <w:r>
        <w:t>4. Executive Copilot</w:t>
      </w:r>
    </w:p>
    <w:p>
      <w:pPr>
        <w:jc w:val="left"/>
      </w:pPr>
      <w:r>
        <w:t>Tambahkan management-only screen untuk membaca dan membuat briefing. Menyembunyikan menu bukan pengamanan utama; backend authorization harus tetap dipertahankan.</w:t>
      </w:r>
    </w:p>
    <w:p>
      <w:pPr>
        <w:pStyle w:val="Heading1"/>
      </w:pPr>
      <w:r>
        <w:t>Navigation Guard Requirement</w:t>
      </w:r>
    </w:p>
    <w:p>
      <w:pPr>
        <w:jc w:val="left"/>
      </w:pPr>
      <w:r>
        <w:t>Root mobile layout saat ini mengizinkan signed-in navigation pada group (tabs) dan route project. Screen AI di luar lokasi tersebut harus ditambahkan ke allowlist. Jika tidak, signed-in user dapat langsung diarahkan kembali ke root.</w:t>
      </w:r>
    </w:p>
    <w:p>
      <w:pPr>
        <w:jc w:val="left"/>
      </w:pPr>
      <w:r>
        <w:t>Pilihan yang disarankan adalah menaruh AI Assistant di dalam (tabs), sedangkan project-specific Report Draft berada di existing project route.</w:t>
      </w:r>
    </w:p>
    <w:p>
      <w:pPr>
        <w:pStyle w:val="Heading1"/>
      </w:pPr>
      <w:r>
        <w:t>Backend Prerequisite</w:t>
      </w:r>
    </w:p>
    <w:p>
      <w:pPr>
        <w:jc w:val="left"/>
      </w:pPr>
      <w:r>
        <w:t>Sebelum menambahkan atau menguji UI mobile, pastikan AI sudah berfungsi pada web ActivityHub. Jika web masih menghasilkan HTTP 502, mobile akan gagal dengan penyebab yang sama.</w:t>
      </w:r>
    </w:p>
    <w:p>
      <w:pPr>
        <w:ind w:left="360" w:right="173"/>
        <w:shd w:fill="F3F4F6"/>
      </w:pPr>
      <w:r>
        <w:rPr>
          <w:rFonts w:ascii="Consolas" w:hAnsi="Consolas"/>
          <w:sz w:val="17"/>
        </w:rPr>
        <w:t>pm2 restart all --update-env</w:t>
        <w:br/>
        <w:t>pm2 logs --lines 100</w:t>
      </w:r>
    </w:p>
    <w:p>
      <w:pPr>
        <w:jc w:val="left"/>
      </w:pPr>
      <w:r>
        <w:t>Backend harus memiliki real provider credential dan AI_MODEL yang tersedia. Hardcoded gpt-5.4 sebaiknya diganti dengan process.env.AI_MODEL agar cloud dan local dapat memakai model yang berbeda.</w:t>
      </w:r>
    </w:p>
    <w:p>
      <w:pPr>
        <w:pStyle w:val="Heading1"/>
      </w:pPr>
      <w:r>
        <w:t>Recommended Implementation Order</w:t>
      </w:r>
    </w:p>
    <w:p>
      <w:pPr>
        <w:pStyle w:val="ListNumber"/>
      </w:pPr>
      <w:r>
        <w:t>Konfigurasikan real AI provider pada backend ActivityHub.</w:t>
      </w:r>
    </w:p>
    <w:p>
      <w:pPr>
        <w:pStyle w:val="ListNumber"/>
      </w:pPr>
      <w:r>
        <w:t>Buat AI_MODEL configurable dan restart API dengan --update-env.</w:t>
      </w:r>
    </w:p>
    <w:p>
      <w:pPr>
        <w:pStyle w:val="ListNumber"/>
      </w:pPr>
      <w:r>
        <w:t>Pastikan seluruh AI feature bekerja melalui web ActivityHub.</w:t>
      </w:r>
    </w:p>
    <w:p>
      <w:pPr>
        <w:pStyle w:val="ListNumber"/>
      </w:pPr>
      <w:r>
        <w:t>Set EXPO_PUBLIC_DOMAIN=activityhub.itsecasia.dev saat mobile build.</w:t>
      </w:r>
    </w:p>
    <w:p>
      <w:pPr>
        <w:pStyle w:val="ListNumber"/>
      </w:pPr>
      <w:r>
        <w:t>Build dan distribusikan ulang APK/IPA.</w:t>
      </w:r>
    </w:p>
    <w:p>
      <w:pPr>
        <w:pStyle w:val="ListNumber"/>
      </w:pPr>
      <w:r>
        <w:t>Clear token cloud lama dan login ulang ke ActivityHub.</w:t>
      </w:r>
    </w:p>
    <w:p>
      <w:pPr>
        <w:pStyle w:val="ListNumber"/>
      </w:pPr>
      <w:r>
        <w:t>Implementasikan AI Assistant mobile menggunakan generated hook.</w:t>
      </w:r>
    </w:p>
    <w:p>
      <w:pPr>
        <w:pStyle w:val="ListNumber"/>
      </w:pPr>
      <w:r>
        <w:t>Implementasikan project AI Report Draft.</w:t>
      </w:r>
    </w:p>
    <w:p>
      <w:pPr>
        <w:pStyle w:val="ListNumber"/>
      </w:pPr>
      <w:r>
        <w:t>Tambahkan Weekly Digest dan Executive Copilot sesuai role.</w:t>
      </w:r>
    </w:p>
    <w:p>
      <w:pPr>
        <w:pStyle w:val="ListNumber"/>
      </w:pPr>
      <w:r>
        <w:t>Uji authentication, authorization, rate limit, error state, dan provider failure.</w:t>
      </w:r>
    </w:p>
    <w:p>
      <w:pPr>
        <w:pStyle w:val="Heading1"/>
      </w:pPr>
      <w:r>
        <w:t>Validation Checklist</w:t>
      </w:r>
    </w:p>
    <w:p>
      <w:pPr>
        <w:pStyle w:val="ListBullet"/>
        <w:spacing w:after="60"/>
      </w:pPr>
      <w:r>
        <w:t>APK/IPA tidak mengandung OpenAI API key.</w:t>
      </w:r>
    </w:p>
    <w:p>
      <w:pPr>
        <w:pStyle w:val="ListBullet"/>
        <w:spacing w:after="60"/>
      </w:pPr>
      <w:r>
        <w:t>EXPO_PUBLIC_DOMAIN berisi activityhub.itsecasia.dev tanpa protocol.</w:t>
      </w:r>
    </w:p>
    <w:p>
      <w:pPr>
        <w:pStyle w:val="ListBullet"/>
        <w:spacing w:after="60"/>
      </w:pPr>
      <w:r>
        <w:t>Mobile API request menuju https://activityhub.itsecasia.dev/api.</w:t>
      </w:r>
    </w:p>
    <w:p>
      <w:pPr>
        <w:pStyle w:val="ListBullet"/>
        <w:spacing w:after="60"/>
      </w:pPr>
      <w:r>
        <w:t>Bearer token berasal dari login ActivityHub, bukan cloud deployment.</w:t>
      </w:r>
    </w:p>
    <w:p>
      <w:pPr>
        <w:pStyle w:val="ListBullet"/>
        <w:spacing w:after="60"/>
      </w:pPr>
      <w:r>
        <w:t>X-SecureProfit-Client: mobile terkirim pada API requests.</w:t>
      </w:r>
    </w:p>
    <w:p>
      <w:pPr>
        <w:pStyle w:val="ListBullet"/>
        <w:spacing w:after="60"/>
      </w:pPr>
      <w:r>
        <w:t>AI Assistant berhasil mengembalikan reply dan model.</w:t>
      </w:r>
    </w:p>
    <w:p>
      <w:pPr>
        <w:pStyle w:val="ListBullet"/>
        <w:spacing w:after="60"/>
      </w:pPr>
      <w:r>
        <w:t>Report Draft hanya tersedia bagi project role yang benar.</w:t>
      </w:r>
    </w:p>
    <w:p>
      <w:pPr>
        <w:pStyle w:val="ListBullet"/>
        <w:spacing w:after="60"/>
      </w:pPr>
      <w:r>
        <w:t>Weekly Digest dan Executive Copilot mengikuti management authorization.</w:t>
      </w:r>
    </w:p>
    <w:p>
      <w:pPr>
        <w:pStyle w:val="ListBullet"/>
        <w:spacing w:after="60"/>
      </w:pPr>
      <w:r>
        <w:t>HTTP 401 meminta login ulang; HTTP 429 menampilkan rate-limit notice; HTTP 502 menampilkan provider-unavailable notice.</w:t>
      </w:r>
    </w:p>
    <w:p>
      <w:pPr>
        <w:pStyle w:val="ListBullet"/>
        <w:spacing w:after="60"/>
      </w:pPr>
      <w:r>
        <w:t>Tidak ada secret atau commercial request/response payload di client logs.</w:t>
      </w:r>
    </w:p>
    <w:p>
      <w:pPr>
        <w:pStyle w:val="Heading1"/>
      </w:pPr>
      <w:r>
        <w:t>Final Conclusion</w:t>
      </w:r>
    </w:p>
    <w:p>
      <w:pPr>
        <w:jc w:val="left"/>
      </w:pPr>
      <w:r>
        <w:t>Perubahan konfigurasi utama untuk mobile adalah EXPO_PUBLIC_DOMAIN=activityhub.itsecasia.dev dan build ulang aplikasi. OpenAI key, base URL, serta AI model tetap hanya berada pada ActivityHub backend.</w:t>
      </w:r>
    </w:p>
    <w:p>
      <w:pPr>
        <w:jc w:val="left"/>
      </w:pPr>
      <w:r>
        <w:t>Source mobile sudah siap dari sisi shared API client dan Bearer-token authentication, tetapi fitur AI belum mempunyai mobile UI. Untuk menghadirkan AI pada aplikasi, tambahkan screen menggunakan generated API hooks, perbarui navigation guard bila diperlukan, dan uji setelah backend AI ActivityHub terbukti bekerja.</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SecureProfit Mobile AI Configuration and Required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E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