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60"/>
      </w:pPr>
      <w:r>
        <w:rPr>
          <w:b/>
          <w:color w:val="102C57"/>
          <w:sz w:val="40"/>
        </w:rPr>
        <w:t>Master Recommendation Clarification &amp; Go/No-Go Coverage Record</w:t>
      </w:r>
    </w:p>
    <w:p>
      <w:pPr>
        <w:spacing w:after="100" w:before="40"/>
      </w:pPr>
      <w:r>
        <w:rPr>
          <w:b/>
          <w:sz w:val="21"/>
        </w:rPr>
        <w:t>Document Title</w:t>
      </w:r>
      <w:r>
        <w:rPr>
          <w:sz w:val="21"/>
        </w:rPr>
        <w:t xml:space="preserve">: SecureProfit Hub (SPH) — 12 FSD Master Recommendation Clarification &amp; Go/No-Go Verification  </w:t>
      </w:r>
    </w:p>
    <w:p>
      <w:pPr>
        <w:spacing w:after="100" w:before="40"/>
      </w:pPr>
      <w:r>
        <w:rPr>
          <w:b/>
          <w:sz w:val="21"/>
        </w:rPr>
        <w:t>Artifact ID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SPH-REC-CLARIF-01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b/>
          <w:sz w:val="21"/>
        </w:rPr>
        <w:t>Current Version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v0.11</w:t>
      </w:r>
      <w:r>
        <w:rPr>
          <w:sz w:val="21"/>
        </w:rPr>
        <w:t xml:space="preserve"> (Final Decision Baseline Candidate — Sign-Off Review Draft)  </w:t>
      </w:r>
    </w:p>
    <w:p>
      <w:pPr>
        <w:spacing w:after="100" w:before="40"/>
      </w:pPr>
      <w:r>
        <w:rPr>
          <w:b/>
          <w:sz w:val="21"/>
        </w:rPr>
        <w:t>Status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Decision Baseline Candidate — Pending Final Author &amp; Stakeholder Confirmation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b/>
          <w:sz w:val="21"/>
        </w:rPr>
        <w:t>Source Baseline Reference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Knowledge repository (read-only)/SecureProfitHub/Source code - 20 Aug 2026</w:t>
      </w:r>
      <w:r>
        <w:rPr>
          <w:sz w:val="21"/>
        </w:rPr>
        <w:t xml:space="preserve"> (Commit </w:t>
      </w:r>
      <w:r>
        <w:rPr>
          <w:rFonts w:ascii="Consolas" w:hAnsi="Consolas"/>
          <w:color w:val="B42828"/>
          <w:sz w:val="21"/>
        </w:rPr>
        <w:t>c7080af</w:t>
      </w:r>
      <w:r>
        <w:rPr>
          <w:sz w:val="21"/>
        </w:rPr>
        <w:t xml:space="preserve">)  </w:t>
      </w:r>
    </w:p>
    <w:p>
      <w:pPr>
        <w:spacing w:after="100" w:before="40"/>
      </w:pPr>
      <w:r>
        <w:rPr>
          <w:b/>
          <w:sz w:val="21"/>
        </w:rPr>
        <w:t>Primary Master Audit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SecureProfit-Hub-Master-Recommendation-All-12-FSD-ID-2026-08.docx</w:t>
      </w:r>
      <w:r>
        <w:rPr>
          <w:sz w:val="21"/>
        </w:rPr>
        <w:t xml:space="preserve"> (Version 2.0, 30 August 2026)  </w:t>
      </w:r>
    </w:p>
    <w:p>
      <w:pPr>
        <w:spacing w:after="100" w:before="40"/>
      </w:pPr>
      <w:r>
        <w:rPr>
          <w:b/>
          <w:sz w:val="21"/>
        </w:rPr>
        <w:t>Author Review 1 Feedback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SPH-12-FSD-Required-Revisions-Response-ID.docx</w:t>
      </w:r>
      <w:r>
        <w:rPr>
          <w:sz w:val="21"/>
        </w:rPr>
        <w:t xml:space="preserve"> (Dated 31 August 2026)  </w:t>
      </w:r>
    </w:p>
    <w:p>
      <w:pPr>
        <w:spacing w:after="100" w:before="40"/>
      </w:pPr>
      <w:r>
        <w:rPr>
          <w:b/>
          <w:sz w:val="21"/>
        </w:rPr>
        <w:t>Author Review 2 Feedback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SPH-12-FSD-v0.06-Review-and-Remaining-Revisions-ID -2.docx</w:t>
      </w:r>
      <w:r>
        <w:rPr>
          <w:sz w:val="21"/>
        </w:rPr>
        <w:t xml:space="preserve"> (Dated 1 September 2026)  </w:t>
      </w:r>
    </w:p>
    <w:p>
      <w:pPr>
        <w:spacing w:after="100" w:before="40"/>
      </w:pPr>
      <w:r>
        <w:rPr>
          <w:b/>
          <w:sz w:val="21"/>
        </w:rPr>
        <w:t>Author Review 3 Feedback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SPH-12-FSD-v0.07-Final-Pre-Signoff-Review-ID.docx</w:t>
      </w:r>
      <w:r>
        <w:rPr>
          <w:sz w:val="21"/>
        </w:rPr>
        <w:t xml:space="preserve"> (Dated 1 September 2026)  </w:t>
      </w:r>
    </w:p>
    <w:p>
      <w:pPr>
        <w:spacing w:after="100" w:before="40"/>
      </w:pPr>
      <w:r>
        <w:rPr>
          <w:b/>
          <w:sz w:val="21"/>
        </w:rPr>
        <w:t>Author Review 4 Feedback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SPH-12-FSD-v0.08-Review-and-Required-Revisions-ID.docx</w:t>
      </w:r>
      <w:r>
        <w:rPr>
          <w:sz w:val="21"/>
        </w:rPr>
        <w:t xml:space="preserve"> (Dated 2 September 2026)  </w:t>
      </w:r>
    </w:p>
    <w:p>
      <w:pPr>
        <w:spacing w:after="100" w:before="40"/>
      </w:pPr>
      <w:r>
        <w:rPr>
          <w:b/>
          <w:sz w:val="21"/>
        </w:rPr>
        <w:t>Author Review 5 Feedback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SPH-12-FSD-v0.09-Final-Review-and-Minor-Revisions-ID.docx</w:t>
      </w:r>
      <w:r>
        <w:rPr>
          <w:sz w:val="21"/>
        </w:rPr>
        <w:t xml:space="preserve"> (Dated 2 September 2026)  </w:t>
      </w:r>
    </w:p>
    <w:p>
      <w:pPr>
        <w:spacing w:after="100" w:before="40"/>
      </w:pPr>
      <w:r>
        <w:rPr>
          <w:b/>
          <w:sz w:val="21"/>
        </w:rPr>
        <w:t>Author Review 6 Feedback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SPH-12-FSD-v0.10-Final-Acceptance-and-Minor-Edits-ID.docx</w:t>
      </w:r>
      <w:r>
        <w:rPr>
          <w:sz w:val="21"/>
        </w:rPr>
        <w:t xml:space="preserve"> (Dated 2 September 2026)  </w:t>
      </w:r>
    </w:p>
    <w:p>
      <w:pPr>
        <w:spacing w:after="100" w:before="40"/>
      </w:pPr>
      <w:r>
        <w:rPr>
          <w:b/>
          <w:sz w:val="21"/>
        </w:rPr>
        <w:t>Target Working Artifacts Location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SAP Activate artifacts/Activate - SPH/10_Working Artifacts/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b/>
          <w:sz w:val="21"/>
        </w:rPr>
        <w:t>Date</w:t>
      </w:r>
      <w:r>
        <w:rPr>
          <w:sz w:val="21"/>
        </w:rPr>
        <w:t xml:space="preserve">: 2 September 2026  </w:t>
      </w: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📜 Document Control &amp; 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EAECF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Version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Release Date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Author / Role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Summary of Changes / Evolution &amp; Source Reference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Status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`v0.01`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31 Aug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Initial synthesis of all 21 Open Clarification Questions from Section 16 of the Master Rec document with Bahasa Indonesia source, English translations, simplest-term summaries, best-practice resolutions, and Go/No-Go coverage matrix. </w:t>
            </w:r>
            <w:r>
              <w:rPr>
                <w:i/>
                <w:sz w:val="19"/>
              </w:rPr>
              <w:t>(Source: Master Rec Document v2.0)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`v0.02`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31 Aug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Deep architectural expansion adding Prisma DDL models, Express API contracts, HTTP error codes, KaTeX mathematical formulas (PPN 11%, Gross Margin %, NRR, EVM), and Separation of Duties (SoD) rules. </w:t>
            </w:r>
            <w:r>
              <w:rPr>
                <w:i/>
                <w:sz w:val="19"/>
              </w:rPr>
              <w:t>(Source: Codebase c7080af Audit)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`v0.03`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31 Aug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Introduced dedicated, prominent </w:t>
            </w:r>
            <w:r>
              <w:rPr>
                <w:b/>
                <w:sz w:val="19"/>
              </w:rPr>
              <w:t>"Proposed Decision &amp; Business Rationale"</w:t>
            </w:r>
            <w:r>
              <w:rPr>
                <w:sz w:val="19"/>
              </w:rPr>
              <w:t xml:space="preserve"> blocks (Decisions 1.1 to 9.1) with narrative plain-English descriptions preceding all technical specifications. </w:t>
            </w:r>
            <w:r>
              <w:rPr>
                <w:i/>
                <w:sz w:val="19"/>
              </w:rPr>
              <w:t>(Source: Stakeholder Design Directives)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`v0.04`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31 Aug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Explicitly designated all technical sections as </w:t>
            </w:r>
            <w:r>
              <w:rPr>
                <w:b/>
                <w:sz w:val="19"/>
              </w:rPr>
              <w:t>`(Optional / Reference Example)`</w:t>
            </w:r>
            <w:r>
              <w:rPr>
                <w:sz w:val="19"/>
              </w:rPr>
              <w:t xml:space="preserve">, clarifying that code snippets and schemas are illustrative reference patterns for the author/implementer. </w:t>
            </w:r>
            <w:r>
              <w:rPr>
                <w:i/>
                <w:sz w:val="19"/>
              </w:rPr>
              <w:t>(Source: Stakeholder Alignment)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`v0.05`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31 Aug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Integrated dedicated </w:t>
            </w:r>
            <w:r>
              <w:rPr>
                <w:b/>
                <w:sz w:val="19"/>
              </w:rPr>
              <w:t>`Operational Ambiguity &amp; Resolved Edge Case`</w:t>
            </w:r>
            <w:r>
              <w:rPr>
                <w:sz w:val="19"/>
              </w:rPr>
              <w:t xml:space="preserve"> blocks across all 21 items. </w:t>
            </w:r>
            <w:r>
              <w:rPr>
                <w:i/>
                <w:sz w:val="19"/>
              </w:rPr>
              <w:t>(Source: Operational Risk Audit)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`v0.06`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1 Sep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Decision Baseline Candidate incorporating 14 major revisions: status split, DEMO-12 Phase 1 vs Phase 2 split, dual PMO/Finance approvals, invoice financial states, actual roles, primary sector, join otherDetail, normalized secondary BU, Pipedrive mapping, configurable VAT snapshot. </w:t>
            </w:r>
            <w:r>
              <w:rPr>
                <w:i/>
                <w:sz w:val="19"/>
              </w:rPr>
              <w:t>(Source: Author Review 1)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`v0.07`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1 Sep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Pre-Signoff Candidate: status harmonization (</w:t>
            </w:r>
            <w:r>
              <w:rPr>
                <w:rFonts w:ascii="Consolas" w:hAnsi="Consolas"/>
                <w:sz w:val="19"/>
              </w:rPr>
              <w:t>PROPOSED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PENDING APPROVAL</w:t>
            </w:r>
            <w:r>
              <w:rPr>
                <w:sz w:val="19"/>
              </w:rPr>
              <w:t xml:space="preserve">), FSD Traceability Matrix (DEMO-01 to 12), dedicated DEMO-11 section, partial unique index for primary sector, dual-status state machine, connectionKey for Pipedrive, portable relative paths. </w:t>
            </w:r>
            <w:r>
              <w:rPr>
                <w:i/>
                <w:sz w:val="19"/>
              </w:rPr>
              <w:t>(Source: Author Review 2)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`v0.08`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1 Sep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Applied 4 mandatory corrections: same-tx lead creation, aligned inactive sector logic, baseline partial index, and granular DEMO-07/11 traceability. </w:t>
            </w:r>
            <w:r>
              <w:rPr>
                <w:i/>
                <w:sz w:val="19"/>
              </w:rPr>
              <w:t>(Source: Author Review 3)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`v0.09`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2 Sep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Applied 7 corrections: inactive sector diff logic on replacement PUT, non-destructive target extension, exactly-one invariant architecture, realistic lead numbering wording, v1.00 governance definition. </w:t>
            </w:r>
            <w:r>
              <w:rPr>
                <w:i/>
                <w:sz w:val="19"/>
              </w:rPr>
              <w:t>(Source: Author Review 4)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`v0.10`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2 Sep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Applied final technical adjustments: discriminated union for DEMO-11, verbatim TypeScript template syntax, relabeled c7080af source baseline model heading, corrected matrix references, decimal serialization policy. </w:t>
            </w:r>
            <w:r>
              <w:rPr>
                <w:i/>
                <w:sz w:val="19"/>
              </w:rPr>
              <w:t>(Source: Author Review 5)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`v0.11`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2 Sep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🔄 </w:t>
            </w:r>
            <w:r>
              <w:rPr>
                <w:b/>
                <w:sz w:val="19"/>
              </w:rPr>
              <w:t>[SOURCE: AUTHOR REVIEW 6 - FINAL ACCEPTANCE]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Final Decision Baseline Candidate (Sign-Off Review Draft)</w:t>
            </w:r>
            <w:r>
              <w:rPr>
                <w:sz w:val="19"/>
              </w:rPr>
              <w:t xml:space="preserve">: (1) Reordered </w:t>
            </w:r>
            <w:r>
              <w:rPr>
                <w:rFonts w:ascii="Consolas" w:hAnsi="Consolas"/>
                <w:sz w:val="19"/>
              </w:rPr>
              <w:t>syncProjectBaselineFromCommercial</w:t>
            </w:r>
            <w:r>
              <w:rPr>
                <w:sz w:val="19"/>
              </w:rPr>
              <w:t xml:space="preserve"> to verify existing baseline before checking </w:t>
            </w:r>
            <w:r>
              <w:rPr>
                <w:rFonts w:ascii="Consolas" w:hAnsi="Consolas"/>
                <w:sz w:val="19"/>
              </w:rPr>
              <w:t>APPROVED</w:t>
            </w:r>
            <w:r>
              <w:rPr>
                <w:sz w:val="19"/>
              </w:rPr>
              <w:t xml:space="preserve"> status, preserving idempotent retries after Change Requests become </w:t>
            </w:r>
            <w:r>
              <w:rPr>
                <w:rFonts w:ascii="Consolas" w:hAnsi="Consolas"/>
                <w:sz w:val="19"/>
              </w:rPr>
              <w:t>APPLIED</w:t>
            </w:r>
            <w:r>
              <w:rPr>
                <w:sz w:val="19"/>
              </w:rPr>
              <w:t xml:space="preserve">; (2) Cleaned code comment to strictly cite </w:t>
            </w:r>
            <w:r>
              <w:rPr>
                <w:i/>
                <w:sz w:val="19"/>
              </w:rPr>
              <w:t>Source baseline model from referenced codebase at commit c7080af</w:t>
            </w:r>
            <w:r>
              <w:rPr>
                <w:sz w:val="19"/>
              </w:rPr>
              <w:t xml:space="preserve">; (3) Updated </w:t>
            </w:r>
            <w:r>
              <w:rPr>
                <w:rFonts w:ascii="Consolas" w:hAnsi="Consolas"/>
                <w:sz w:val="19"/>
              </w:rPr>
              <w:t>DEMO-01</w:t>
            </w:r>
            <w:r>
              <w:rPr>
                <w:sz w:val="19"/>
              </w:rPr>
              <w:t xml:space="preserve"> primary acceptance criteria in Traceability Matrix to explicitly reflect partial unique index (at most one) + transactional application lifecycle (at least one) = exactly one.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Current Final Candidate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`v1.00`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Upcoming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Project Lead / Stakeholders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Formal baseline promotion upon final stakeholder sign-off confirmation.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Pending Confirmation</w:t>
            </w:r>
          </w:p>
        </w:tc>
      </w:tr>
    </w:tbl>
    <w:p>
      <w:pPr>
        <w:spacing w:after="120" w:before="0"/>
      </w:pP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1. Executive Summary &amp; Context</w:t>
      </w:r>
    </w:p>
    <w:p>
      <w:pPr>
        <w:spacing w:after="100" w:before="40"/>
      </w:pPr>
      <w:r>
        <w:rPr>
          <w:sz w:val="21"/>
        </w:rPr>
        <w:t xml:space="preserve">This artifact establishes the formal technical baseline, </w:t>
      </w:r>
      <w:r>
        <w:rPr>
          <w:b/>
          <w:sz w:val="21"/>
        </w:rPr>
        <w:t>proposed business decisions</w:t>
      </w:r>
      <w:r>
        <w:rPr>
          <w:sz w:val="21"/>
        </w:rPr>
        <w:t xml:space="preserve">, </w:t>
      </w:r>
      <w:r>
        <w:rPr>
          <w:b/>
          <w:sz w:val="21"/>
        </w:rPr>
        <w:t>resolved operational ambiguities</w:t>
      </w:r>
      <w:r>
        <w:rPr>
          <w:sz w:val="21"/>
        </w:rPr>
        <w:t xml:space="preserve">, </w:t>
      </w:r>
      <w:r>
        <w:rPr>
          <w:b/>
          <w:sz w:val="21"/>
        </w:rPr>
        <w:t>reference implementation specifications</w:t>
      </w:r>
      <w:r>
        <w:rPr>
          <w:sz w:val="21"/>
        </w:rPr>
        <w:t xml:space="preserve">, and a </w:t>
      </w:r>
      <w:r>
        <w:rPr>
          <w:b/>
          <w:sz w:val="21"/>
        </w:rPr>
        <w:t>comprehensive FSD traceability matrix</w:t>
      </w:r>
      <w:r>
        <w:rPr>
          <w:sz w:val="21"/>
        </w:rPr>
        <w:t xml:space="preserve"> for all </w:t>
      </w:r>
      <w:r>
        <w:rPr>
          <w:b/>
          <w:sz w:val="21"/>
        </w:rPr>
        <w:t>21 Open Business &amp; Architectural Decisions</w:t>
      </w:r>
      <w:r>
        <w:rPr>
          <w:sz w:val="21"/>
        </w:rPr>
        <w:t xml:space="preserve"> identified in Section 16 of the </w:t>
      </w:r>
      <w:r>
        <w:rPr>
          <w:i/>
          <w:sz w:val="21"/>
        </w:rPr>
        <w:t>Master Recommendation Document (v2.0, 30 August 2026)</w:t>
      </w:r>
      <w:r>
        <w:rPr>
          <w:sz w:val="21"/>
        </w:rPr>
        <w:t xml:space="preserve"> for the 12 WRICEF Functional Specification Documents (</w:t>
      </w:r>
      <w:r>
        <w:rPr>
          <w:rFonts w:ascii="Consolas" w:hAnsi="Consolas"/>
          <w:color w:val="B42828"/>
          <w:sz w:val="21"/>
        </w:rPr>
        <w:t>DEMO-01</w:t>
      </w:r>
      <w:r>
        <w:rPr>
          <w:sz w:val="21"/>
        </w:rPr>
        <w:t xml:space="preserve"> through </w:t>
      </w:r>
      <w:r>
        <w:rPr>
          <w:rFonts w:ascii="Consolas" w:hAnsi="Consolas"/>
          <w:color w:val="B42828"/>
          <w:sz w:val="21"/>
        </w:rPr>
        <w:t>DEMO-12</w:t>
      </w:r>
      <w:r>
        <w:rPr>
          <w:sz w:val="21"/>
        </w:rPr>
        <w:t>).</w:t>
      </w:r>
    </w:p>
    <w:p>
      <w:pPr>
        <w:spacing w:after="100" w:before="40"/>
      </w:pPr>
      <w:r>
        <w:rPr>
          <w:sz w:val="21"/>
        </w:rPr>
        <w:t xml:space="preserve">It strictly fulfills all requirements from </w:t>
      </w:r>
      <w:r>
        <w:rPr>
          <w:b/>
          <w:sz w:val="21"/>
        </w:rPr>
        <w:t>Author Review 6</w:t>
      </w:r>
      <w:r>
        <w:rPr>
          <w:sz w:val="21"/>
        </w:rPr>
        <w:t xml:space="preserve"> (</w:t>
      </w:r>
      <w:r>
        <w:rPr>
          <w:rFonts w:ascii="Consolas" w:hAnsi="Consolas"/>
          <w:color w:val="B42828"/>
          <w:sz w:val="21"/>
        </w:rPr>
        <w:t>SPH-12-FSD-v0.10-Final-Acceptance-and-Minor-Edits-ID.docx</w:t>
      </w:r>
      <w:r>
        <w:rPr>
          <w:sz w:val="21"/>
        </w:rPr>
        <w:t xml:space="preserve">), establishing a crystal-clear distinction between the </w:t>
      </w:r>
      <w:r>
        <w:rPr>
          <w:b/>
          <w:sz w:val="21"/>
        </w:rPr>
        <w:t>source baseline in the referenced codebase (`c7080af`)</w:t>
      </w:r>
      <w:r>
        <w:rPr>
          <w:sz w:val="21"/>
        </w:rPr>
        <w:t xml:space="preserve"> and the </w:t>
      </w:r>
      <w:r>
        <w:rPr>
          <w:b/>
          <w:sz w:val="21"/>
        </w:rPr>
        <w:t>proposed target design architecture pending stakeholder approval</w:t>
      </w:r>
      <w:r>
        <w:rPr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>flowchart LR</w:t>
              <w:br/>
              <w:t xml:space="preserve">    subgraph Intake ["1. Commercial Intake &amp; Lineage"]</w:t>
              <w:br/>
              <w:t xml:space="preserve">        direction TB</w:t>
              <w:br/>
              <w:t xml:space="preserve">        D01["DEMO-01: Industry Sector (Normalized + Partial Index)"]</w:t>
              <w:br/>
              <w:t xml:space="preserve">        D03["DEMO-03: Client Contacts (Point-in-Time Snapshot)"]</w:t>
              <w:br/>
              <w:t xml:space="preserve">        D04["DEMO-04: BU &amp; Principal Mapping (MANAGEMENT Authority)"]</w:t>
              <w:br/>
              <w:t xml:space="preserve">        D05["DEMO-05: Deal Lineage &amp; NRR (Project-Only Anchor)"]</w:t>
              <w:br/>
              <w:t xml:space="preserve">        D06["DEMO-06: Atomic Lead ID (Same-Tx with Lead.create)"]</w:t>
              <w:br/>
              <w:t xml:space="preserve">    end</w:t>
              <w:br/>
              <w:br/>
              <w:t xml:space="preserve">    subgraph Governance ["2. Presales &amp; Margin Governance"]</w:t>
              <w:br/>
              <w:t xml:space="preserve">        direction TB</w:t>
              <w:br/>
              <w:t xml:space="preserve">        D09["DEMO-09: Opt-In Presales CAC (Isolated from Delivery EVM)"]</w:t>
              <w:br/>
              <w:t xml:space="preserve">        D08["DEMO-08: Stage Probability Policy (Audited Overrides)"]</w:t>
              <w:br/>
              <w:t xml:space="preserve">        D02["DEMO-02: Offering Catalog Snapshots (Immutable Lines)"]</w:t>
              <w:br/>
              <w:t xml:space="preserve">        D07["DEMO-07: Inbound CRM Sync (PipedriveProductMapping)"]</w:t>
              <w:br/>
              <w:t xml:space="preserve">        D10["DEMO-10: Versioned Finance Gate (Decimal VAT Snapshot)"]</w:t>
              <w:br/>
              <w:t xml:space="preserve">    end</w:t>
              <w:br/>
              <w:br/>
              <w:t xml:space="preserve">    subgraph Delivery ["3. Delivery &amp; Baseline Control"]</w:t>
              <w:br/>
              <w:t xml:space="preserve">        direction TB</w:t>
              <w:br/>
              <w:t xml:space="preserve">        D11["DEMO-11: Baseline Auto-Sync (ACTIVATION vs CR + Partial Index)"]</w:t>
              <w:br/>
              <w:t xml:space="preserve">        D12P1["DEMO-12 Phase 1: Hard Lock (BUILT in c7080af)"]</w:t>
              <w:br/>
              <w:t xml:space="preserve">        D12P2["DEMO-12 Phase 2: Dual Approval Workflow (TARGET DESIGN)"]</w:t>
              <w:br/>
              <w:t xml:space="preserve">    end</w:t>
              <w:br/>
              <w:br/>
              <w:t xml:space="preserve">    Intake --&gt; Governance --&gt; Delivery</w:t>
            </w:r>
          </w:p>
        </w:tc>
      </w:tr>
    </w:tbl>
    <w:p>
      <w:pPr>
        <w:spacing w:after="80" w:before="0"/>
      </w:pP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2. Proposed Decisions, Resolved Ambiguities &amp; Technical Specifications (Questions 1 to 21)</w:t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🏷️ Category 1: Industry Sector Classification (`DEMO-01`)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1: Catalog Governance &amp; Hierarchy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"Siapa pemilik catalog sektor dan apakah hierarchy/sub-sector diperlukan?"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"Who owns the sector catalog, and is a hierarchy/sub-sector structure required?"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Only Admins can manage the master list of sectors. We start with a clean flat list of sectors, but design the database table with an optional parent ID so sub-sectors can be added later without schema migrations.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1.1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Centralize catalog administration exclusively under </w:t>
            </w:r>
            <w:r>
              <w:rPr>
                <w:rFonts w:ascii="Consolas" w:hAnsi="Consolas"/>
                <w:sz w:val="21"/>
              </w:rPr>
              <w:t>SITE_ADMIN</w:t>
            </w:r>
            <w:r>
              <w:rPr>
                <w:sz w:val="21"/>
              </w:rPr>
              <w:t xml:space="preserve"> and </w:t>
            </w:r>
            <w:r>
              <w:rPr>
                <w:rFonts w:ascii="Consolas" w:hAnsi="Consolas"/>
                <w:sz w:val="21"/>
              </w:rPr>
              <w:t>MANAGEMENT</w:t>
            </w:r>
            <w:r>
              <w:rPr>
                <w:sz w:val="21"/>
              </w:rPr>
              <w:t xml:space="preserve"> roles. Implement a flat operational list of sectors for initial go-live while incorporating a self-referencing </w:t>
            </w:r>
            <w:r>
              <w:rPr>
                <w:rFonts w:ascii="Consolas" w:hAnsi="Consolas"/>
                <w:sz w:val="21"/>
              </w:rPr>
              <w:t>parentSectorId</w:t>
            </w:r>
            <w:r>
              <w:rPr>
                <w:sz w:val="21"/>
              </w:rPr>
              <w:t xml:space="preserve"> column in the database model. </w:t>
            </w:r>
            <w:r>
              <w:rPr>
                <w:i/>
                <w:sz w:val="21"/>
              </w:rPr>
              <w:t>(Source: Master Rec Doc Section 16 &amp; Author Review 1)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Rationale</w:t>
            </w:r>
            <w:r>
              <w:rPr>
                <w:sz w:val="21"/>
              </w:rPr>
              <w:t>: Ungoverned sector creation leads to messy duplicates (e.g., "Fintech" vs "Financial Technology"). Building the parent-child relationship into the data model now allows future sub-sector rollouts without disruptive database migrations.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Edge Case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Ambiguity</w:t>
      </w:r>
      <w:r>
        <w:rPr>
          <w:sz w:val="21"/>
        </w:rPr>
        <w:t xml:space="preserve">: If an admin creates sub-sectors in the future (e.g. </w:t>
      </w:r>
      <w:r>
        <w:rPr>
          <w:rFonts w:ascii="Consolas" w:hAnsi="Consolas"/>
          <w:sz w:val="21"/>
        </w:rPr>
        <w:t>Financial Services</w:t>
      </w:r>
      <w:r>
        <w:rPr>
          <w:sz w:val="21"/>
        </w:rPr>
        <w:t xml:space="preserve"> $\rightarrow$ </w:t>
      </w:r>
      <w:r>
        <w:rPr>
          <w:rFonts w:ascii="Consolas" w:hAnsi="Consolas"/>
          <w:sz w:val="21"/>
        </w:rPr>
        <w:t>Digital Banking</w:t>
      </w:r>
      <w:r>
        <w:rPr>
          <w:sz w:val="21"/>
        </w:rPr>
        <w:t>), can users select both a parent and child sector on the same lead?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Resolved Policy</w:t>
      </w:r>
      <w:r>
        <w:rPr>
          <w:sz w:val="21"/>
        </w:rPr>
        <w:t>: If a sub-sector exists, selecting the child automatically tags the deal with the parent for roll-up reporting. Users cannot create redundant double entries for both parent and child.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Prisma Schema DDL (Example)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model IndustrySector {</w:t>
              <w:br/>
              <w:t xml:space="preserve">      id             String           @id @default(cuid())</w:t>
              <w:br/>
              <w:t xml:space="preserve">      code           String           @unique // e.g. "FIN_BANKING", "GOV_PUBLIC"</w:t>
              <w:br/>
              <w:t xml:space="preserve">      name           String           // e.g. "Banking &amp; Financial Services"</w:t>
              <w:br/>
              <w:t xml:space="preserve">      description    String?</w:t>
              <w:br/>
              <w:t xml:space="preserve">      isActive       Boolean          @default(true)</w:t>
              <w:br/>
              <w:t xml:space="preserve">      sortOrder      Int              @default(0)</w:t>
              <w:br/>
              <w:t xml:space="preserve">      parentSectorId String?</w:t>
              <w:br/>
              <w:t xml:space="preserve">      parentSector   IndustrySector?  @relation("SectorHierarchy", fields: [parentSectorId], references: [id])</w:t>
              <w:br/>
              <w:t xml:space="preserve">      subSectors     IndustrySector[] @relation("SectorHierarchy")</w:t>
              <w:br/>
              <w:t xml:space="preserve">      createdAt      DateTime         @default(now())</w:t>
              <w:br/>
              <w:t xml:space="preserve">      updatedAt      DateTime         @updatedAt</w:t>
              <w:br/>
              <w:br/>
              <w:t xml:space="preserve">      leadSectors    LeadSector[]</w:t>
              <w:br/>
              <w:t xml:space="preserve">      clientSectors  ClientSector[]</w:t>
              <w:br/>
              <w:br/>
              <w:t xml:space="preserve">      @@index([isActive, sortOrder])</w:t>
              <w:br/>
              <w:t xml:space="preserve">    }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2: Mandatory Stage Enforcement &amp; Replacement Diff Validation Logic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"Pada stage apa 1–5 sektor menjadi mandatory?"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"At what stage does selecting 1–5 sectors become mandatory?"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Don't make sectors mandatory when quickly creating a draft lead. Make it mandatory (1–5 sectors) when advancing to qualified or proposal. On replacement updates, keeping existing inactive sectors is permitted, but newly added sectors must be active.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1.2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</w:t>
            </w:r>
            <w:r>
              <w:rPr>
                <w:b/>
                <w:color w:val="102C57"/>
                <w:sz w:val="21"/>
              </w:rPr>
              <w:t>Aligned Inactive-Sector Validation Invariant</w:t>
            </w:r>
            <w:r>
              <w:rPr>
                <w:sz w:val="21"/>
              </w:rPr>
              <w:t xml:space="preserve">: </w:t>
            </w:r>
            <w:r>
              <w:rPr>
                <w:i/>
                <w:sz w:val="21"/>
              </w:rPr>
              <w:t>"A Lead must have between 1 and 5 sector assignments before advancing to `QUALIFIED` or `PROPOSAL` stage. Newly added assignments must reference active sectors (`isActive = true`), while existing inactive assignments remain valid for historical classification until a defined business reclassification trigger occurs."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Diff-Based Validation Rule</w:t>
            </w:r>
            <w:r>
              <w:rPr>
                <w:sz w:val="21"/>
              </w:rPr>
              <w:t>: On full replacement (</w:t>
            </w:r>
            <w:r>
              <w:rPr>
                <w:rFonts w:ascii="Consolas" w:hAnsi="Consolas"/>
                <w:sz w:val="21"/>
              </w:rPr>
              <w:t>PUT /api/leads/:id/sectors</w:t>
            </w:r>
            <w:r>
              <w:rPr>
                <w:sz w:val="21"/>
              </w:rPr>
              <w:t>), the system calculates the set difference (</w:t>
            </w:r>
            <w:r>
              <w:rPr>
                <w:rFonts w:ascii="Consolas" w:hAnsi="Consolas"/>
                <w:sz w:val="21"/>
              </w:rPr>
              <w:t>requestedIds \ existingIds</w:t>
            </w:r>
            <w:r>
              <w:rPr>
                <w:sz w:val="21"/>
              </w:rPr>
              <w:t xml:space="preserve">). Only newly added sector IDs must have </w:t>
            </w:r>
            <w:r>
              <w:rPr>
                <w:rFonts w:ascii="Consolas" w:hAnsi="Consolas"/>
                <w:sz w:val="21"/>
              </w:rPr>
              <w:t>isActive = true</w:t>
            </w:r>
            <w:r>
              <w:rPr>
                <w:sz w:val="21"/>
              </w:rPr>
              <w:t xml:space="preserve">. </w:t>
            </w:r>
            <w:r>
              <w:rPr>
                <w:i/>
                <w:sz w:val="21"/>
              </w:rPr>
              <w:t>(Source: Author Review 4 - Item #1)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Rationale</w:t>
            </w:r>
            <w:r>
              <w:rPr>
                <w:sz w:val="21"/>
              </w:rPr>
              <w:t>: Prevents unexpected validation errors when updating a lead whose historical sector was subsequently retired in master data.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Diff-Based Validation Logic (Example)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// Inside PUT /api/leads/:id/sectors or PATCH /api/leads/:id/stage</w:t>
              <w:br/>
              <w:t xml:space="preserve">    async function validateLeadSectorAssignments(</w:t>
              <w:br/>
              <w:t xml:space="preserve">      leadId: string, </w:t>
              <w:br/>
              <w:t xml:space="preserve">      requestedSectorIds: string[]</w:t>
              <w:br/>
              <w:t xml:space="preserve">    ) {</w:t>
              <w:br/>
              <w:t xml:space="preserve">      // 1. Normalize and deduplicate requested IDs</w:t>
              <w:br/>
              <w:t xml:space="preserve">      const normalizedRequestedIds = Array.from(new Set(requestedSectorIds));</w:t>
              <w:br/>
              <w:br/>
              <w:t xml:space="preserve">      // 2. Enforce 1..5 total sector assignment bounds</w:t>
              <w:br/>
              <w:t xml:space="preserve">      if (normalizedRequestedIds.length &lt; 1 || normalizedRequestedIds.length &gt; 5) {</w:t>
              <w:br/>
              <w:t xml:space="preserve">        throw new Error("SECTOR_VALIDATION_FAILED: Lead must have between 1 and 5 industry sectors assigned.");</w:t>
              <w:br/>
              <w:t xml:space="preserve">      }</w:t>
              <w:br/>
              <w:br/>
              <w:t xml:space="preserve">      // 3. Verify all requested IDs exist in database</w:t>
              <w:br/>
              <w:t xml:space="preserve">      const existingDbSectors = await prisma.industrySector.findMany({</w:t>
              <w:br/>
              <w:t xml:space="preserve">        where: { id: { in: normalizedRequestedIds } },</w:t>
              <w:br/>
              <w:t xml:space="preserve">        select: { id: true, isActive: true }</w:t>
              <w:br/>
              <w:t xml:space="preserve">      });</w:t>
              <w:br/>
              <w:t xml:space="preserve">      if (existingDbSectors.length !== normalizedRequestedIds.length) {</w:t>
              <w:br/>
              <w:t xml:space="preserve">        throw new Error("SECTOR_NOT_FOUND: One or more specified industry sector IDs do not exist.");</w:t>
              <w:br/>
              <w:t xml:space="preserve">      }</w:t>
              <w:br/>
              <w:br/>
              <w:t xml:space="preserve">      // 4. Fetch current assignments to compute newly added IDs</w:t>
              <w:br/>
              <w:t xml:space="preserve">      const currentAssignments = await prisma.leadSector.findMany({</w:t>
              <w:br/>
              <w:t xml:space="preserve">        where: { leadId },</w:t>
              <w:br/>
              <w:t xml:space="preserve">        select: { sectorId: true }</w:t>
              <w:br/>
              <w:t xml:space="preserve">      });</w:t>
              <w:br/>
              <w:t xml:space="preserve">      const existingIds = new Set(currentAssignments.map(item =&gt; item.sectorId));</w:t>
              <w:br/>
              <w:t xml:space="preserve">      const newlyAddedIds = normalizedRequestedIds.filter(sectorId =&gt; !existingIds.has(sectorId));</w:t>
              <w:br/>
              <w:br/>
              <w:t xml:space="preserve">      // 5. Only newly added sectors are required to be active</w:t>
              <w:br/>
              <w:t xml:space="preserve">      if (newlyAddedIds.length &gt; 0) {</w:t>
              <w:br/>
              <w:t xml:space="preserve">        const inactiveNewSectors = existingDbSectors.filter(</w:t>
              <w:br/>
              <w:t xml:space="preserve">          s =&gt; newlyAddedIds.includes(s.id) &amp;&amp; !s.isActive</w:t>
              <w:br/>
              <w:t xml:space="preserve">        );</w:t>
              <w:br/>
              <w:t xml:space="preserve">        if (inactiveNewSectors.length &gt; 0) {</w:t>
              <w:br/>
              <w:t xml:space="preserve">          throw new Error("CANNOT_ASSIGN_DEACTIVATED_SECTOR: Newly added sectors must be active.");</w:t>
              <w:br/>
              <w:t xml:space="preserve">        }</w:t>
              <w:br/>
              <w:t xml:space="preserve">      }</w:t>
              <w:br/>
              <w:br/>
              <w:t xml:space="preserve">      // 6. Existing historical inactive assignments pass without error</w:t>
              <w:br/>
              <w:t xml:space="preserve">    }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3: Client Sectors Snapshot &amp; `otherDetail` Placement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"Apakah Client sectors menjadi default snapshot atau live inheritance pada Lead?"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"Should Client sectors be a default point-in-time snapshot or live inheritance on the Lead?"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It is a snapshot. When creating a lead, the system auto-fills the client's sectors as a starting suggestion, but sales can adjust them for that specific deal without altering the client's master record.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1.3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Implement a </w:t>
            </w:r>
            <w:r>
              <w:rPr>
                <w:b/>
                <w:color w:val="102C57"/>
                <w:sz w:val="21"/>
              </w:rPr>
              <w:t>Point-in-Time Snapshot</w:t>
            </w:r>
            <w:r>
              <w:rPr>
                <w:sz w:val="21"/>
              </w:rPr>
              <w:t xml:space="preserve"> mechanism. When a Lead is created with a selected Client, the client's current sectors are copied into </w:t>
            </w:r>
            <w:r>
              <w:rPr>
                <w:rFonts w:ascii="Consolas" w:hAnsi="Consolas"/>
                <w:sz w:val="21"/>
              </w:rPr>
              <w:t>LeadSector</w:t>
            </w:r>
            <w:r>
              <w:rPr>
                <w:sz w:val="21"/>
              </w:rPr>
              <w:t xml:space="preserve"> join records. Sales can customize sectors for the opportunity without mutating the master Client record. </w:t>
            </w:r>
            <w:r>
              <w:rPr>
                <w:b/>
                <w:color w:val="102C57"/>
                <w:sz w:val="21"/>
              </w:rPr>
              <w:t>Decision 1.3b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Place </w:t>
            </w:r>
            <w:r>
              <w:rPr>
                <w:rFonts w:ascii="Consolas" w:hAnsi="Consolas"/>
                <w:sz w:val="21"/>
              </w:rPr>
              <w:t>otherDetail: String?</w:t>
            </w:r>
            <w:r>
              <w:rPr>
                <w:sz w:val="21"/>
              </w:rPr>
              <w:t xml:space="preserve"> directly on the join tables (</w:t>
            </w:r>
            <w:r>
              <w:rPr>
                <w:rFonts w:ascii="Consolas" w:hAnsi="Consolas"/>
                <w:sz w:val="21"/>
              </w:rPr>
              <w:t>LeadSector</w:t>
            </w:r>
            <w:r>
              <w:rPr>
                <w:sz w:val="21"/>
              </w:rPr>
              <w:t xml:space="preserve"> and </w:t>
            </w:r>
            <w:r>
              <w:rPr>
                <w:rFonts w:ascii="Consolas" w:hAnsi="Consolas"/>
                <w:sz w:val="21"/>
              </w:rPr>
              <w:t>ClientSector</w:t>
            </w:r>
            <w:r>
              <w:rPr>
                <w:sz w:val="21"/>
              </w:rPr>
              <w:t xml:space="preserve">) rather than on the root </w:t>
            </w:r>
            <w:r>
              <w:rPr>
                <w:rFonts w:ascii="Consolas" w:hAnsi="Consolas"/>
                <w:sz w:val="21"/>
              </w:rPr>
              <w:t>Lead</w:t>
            </w:r>
            <w:r>
              <w:rPr>
                <w:sz w:val="21"/>
              </w:rPr>
              <w:t xml:space="preserve"> table. </w:t>
            </w:r>
            <w:r>
              <w:rPr>
                <w:i/>
                <w:sz w:val="21"/>
              </w:rPr>
              <w:t>(Source: Author Review 1 - Revision #8)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Rationale</w:t>
            </w:r>
            <w:r>
              <w:rPr>
                <w:sz w:val="21"/>
              </w:rPr>
              <w:t xml:space="preserve">: A client company may operate in Banking, but a specific lead may be purely for their Healthcare insurance subsidiary. Placing </w:t>
            </w:r>
            <w:r>
              <w:rPr>
                <w:rFonts w:ascii="Consolas" w:hAnsi="Consolas"/>
                <w:sz w:val="21"/>
              </w:rPr>
              <w:t>otherDetail</w:t>
            </w:r>
            <w:r>
              <w:rPr>
                <w:sz w:val="21"/>
              </w:rPr>
              <w:t xml:space="preserve"> on the join record ensures clean multi-tenant and multi-sector precision without root table ambiguity.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Join Models with otherDetail (Example)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model ClientSector {</w:t>
              <w:br/>
              <w:t xml:space="preserve">      id          String         @id @default(cuid())</w:t>
              <w:br/>
              <w:t xml:space="preserve">      clientId    String</w:t>
              <w:br/>
              <w:t xml:space="preserve">      client      Client         @relation(fields: [clientId], references: [id], onDelete: Cascade)</w:t>
              <w:br/>
              <w:t xml:space="preserve">      sectorId    String</w:t>
              <w:br/>
              <w:t xml:space="preserve">      sector      IndustrySector @relation(fields: [sectorId], references: [id])</w:t>
              <w:br/>
              <w:t xml:space="preserve">      isPrimary   Boolean        @default(false)</w:t>
              <w:br/>
              <w:t xml:space="preserve">      otherDetail String?        // Specific text when sector code == "OTHER"</w:t>
              <w:br/>
              <w:t xml:space="preserve">      createdAt   DateTime       @default(now())</w:t>
              <w:br/>
              <w:br/>
              <w:t xml:space="preserve">      @@unique([clientId, sectorId])</w:t>
              <w:br/>
              <w:t xml:space="preserve">    }</w:t>
              <w:br/>
              <w:br/>
              <w:t xml:space="preserve">    model LeadSector {</w:t>
              <w:br/>
              <w:t xml:space="preserve">      id          String         @id @default(cuid())</w:t>
              <w:br/>
              <w:t xml:space="preserve">      leadId      String</w:t>
              <w:br/>
              <w:t xml:space="preserve">      lead        Lead           @relation(fields: [leadId], references: [id], onDelete: Cascade)</w:t>
              <w:br/>
              <w:t xml:space="preserve">      sectorId    String</w:t>
              <w:br/>
              <w:t xml:space="preserve">      sector      IndustrySector @relation(fields: [sectorId], references: [id])</w:t>
              <w:br/>
              <w:t xml:space="preserve">      isPrimary   Boolean        @default(false)</w:t>
              <w:br/>
              <w:t xml:space="preserve">      otherDetail String?        // Specific text when sector code == "OTHER"</w:t>
              <w:br/>
              <w:t xml:space="preserve">      source      String         @default("CLIENT_SNAPSHOT") // CLIENT_SNAPSHOT | MANUAL_OVERRIDE</w:t>
              <w:br/>
              <w:t xml:space="preserve">      createdAt   DateTime       @default(now())</w:t>
              <w:br/>
              <w:br/>
              <w:t xml:space="preserve">      @@unique([leadId, sectorId])</w:t>
              <w:br/>
              <w:t xml:space="preserve">    }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4: Multi-Sector Pipeline Attribution &amp; PostgreSQL Partial Unique Index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"Bagaimana multi-sector value attribution mencegah double counting?"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"How does multi-sector value attribution prevent double counting in pipeline analytics?"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In executive summary dashboards, each lead is counted once for total company revenue. In sector breakdown charts, deals are categorized by their primary sector.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1.4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Implement a </w:t>
            </w:r>
            <w:r>
              <w:rPr>
                <w:b/>
                <w:color w:val="102C57"/>
                <w:sz w:val="21"/>
              </w:rPr>
              <w:t>Two-Tier Attribution Architecture</w:t>
            </w:r>
            <w:r>
              <w:rPr>
                <w:sz w:val="21"/>
              </w:rPr>
              <w:t xml:space="preserve">: (1) Executive total pipeline metrics use strict distinct-lead aggregation. (2) Sector breakdown reports categorize revenue by the </w:t>
            </w:r>
            <w:r>
              <w:rPr>
                <w:rFonts w:ascii="Consolas" w:hAnsi="Consolas"/>
                <w:sz w:val="21"/>
              </w:rPr>
              <w:t>isPrimary = true</w:t>
            </w:r>
            <w:r>
              <w:rPr>
                <w:sz w:val="21"/>
              </w:rPr>
              <w:t xml:space="preserve"> sector for 100% additive slices. </w:t>
            </w:r>
            <w:r>
              <w:rPr>
                <w:b/>
                <w:color w:val="102C57"/>
                <w:sz w:val="21"/>
              </w:rPr>
              <w:t>Decision 1.4b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</w:t>
            </w:r>
            <w:r>
              <w:rPr>
                <w:b/>
                <w:color w:val="102C57"/>
                <w:sz w:val="21"/>
              </w:rPr>
              <w:t>Exactly-One-Primary Invariant Architecture</w:t>
            </w:r>
            <w:r>
              <w:rPr>
                <w:sz w:val="21"/>
              </w:rPr>
              <w:t xml:space="preserve">: - </w:t>
            </w:r>
            <w:r>
              <w:rPr>
                <w:b/>
                <w:color w:val="102C57"/>
                <w:sz w:val="21"/>
              </w:rPr>
              <w:t>Database Layer (At Most One)</w:t>
            </w:r>
            <w:r>
              <w:rPr>
                <w:sz w:val="21"/>
              </w:rPr>
              <w:t>: A PostgreSQL Partial Unique Index (</w:t>
            </w:r>
            <w:r>
              <w:rPr>
                <w:rFonts w:ascii="Consolas" w:hAnsi="Consolas"/>
                <w:sz w:val="21"/>
              </w:rPr>
              <w:t>CREATE UNIQUE INDEX one_primary_sector_per_lead ON "LeadSector" ("leadId") WHERE "isPrimary" = true;</w:t>
            </w:r>
            <w:r>
              <w:rPr>
                <w:sz w:val="21"/>
              </w:rPr>
              <w:t xml:space="preserve">) guarantees that no more than one sector can ever be primary. - </w:t>
            </w:r>
            <w:r>
              <w:rPr>
                <w:b/>
                <w:color w:val="102C57"/>
                <w:sz w:val="21"/>
              </w:rPr>
              <w:t>Application Lifecycle Layer (At Least One)</w:t>
            </w:r>
            <w:r>
              <w:rPr>
                <w:sz w:val="21"/>
              </w:rPr>
              <w:t xml:space="preserve">: Application validation and transaction lifecycle ensure that every lead with $\ge 1$ sector assignment has at least one sector marked </w:t>
            </w:r>
            <w:r>
              <w:rPr>
                <w:rFonts w:ascii="Consolas" w:hAnsi="Consolas"/>
                <w:sz w:val="21"/>
              </w:rPr>
              <w:t>isPrimary = true</w:t>
            </w:r>
            <w:r>
              <w:rPr>
                <w:sz w:val="21"/>
              </w:rPr>
              <w:t xml:space="preserve">. - </w:t>
            </w:r>
            <w:r>
              <w:rPr>
                <w:b/>
                <w:color w:val="102C57"/>
                <w:sz w:val="21"/>
              </w:rPr>
              <w:t>Combined Result</w:t>
            </w:r>
            <w:r>
              <w:rPr>
                <w:sz w:val="21"/>
              </w:rPr>
              <w:t xml:space="preserve">: Guarantees </w:t>
            </w:r>
            <w:r>
              <w:rPr>
                <w:b/>
                <w:color w:val="102C57"/>
                <w:sz w:val="21"/>
              </w:rPr>
              <w:t>exactly one primary sector per lead</w:t>
            </w:r>
            <w:r>
              <w:rPr>
                <w:sz w:val="21"/>
              </w:rPr>
              <w:t xml:space="preserve">. </w:t>
            </w:r>
            <w:r>
              <w:rPr>
                <w:i/>
                <w:sz w:val="21"/>
              </w:rPr>
              <w:t>(Source: Author Review 4 - Item #5)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PostgreSQL Partial Unique Index Migration (Example)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-- Enforce that at most one LeadSector per lead can be marked isPrimary = true</w:t>
              <w:br/>
              <w:t xml:space="preserve">    CREATE UNIQUE INDEX one_primary_sector_per_lead </w:t>
              <w:br/>
              <w:t xml:space="preserve">    ON "LeadSector" ("leadId") </w:t>
              <w:br/>
              <w:t xml:space="preserve">    WHERE "isPrimary" = true;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720"/>
      </w:pPr>
      <w:r>
        <w:rPr>
          <w:b/>
          <w:sz w:val="21"/>
        </w:rPr>
        <w:t>Atomic Primary Switch Transaction with Tagged Advisory Lock (Example)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await prisma.$transaction(async (tx) =&gt; {</w:t>
              <w:br/>
              <w:t xml:space="preserve">      // 1. Acquire per-lead transaction advisory lock using tagged template literal</w:t>
              <w:br/>
              <w:t xml:space="preserve">      await tx.$executeRaw`SELECT pg_advisory_xact_lock(hashtext(${leadId}))`;</w:t>
              <w:br/>
              <w:br/>
              <w:t xml:space="preserve">      // 2. Reset existing primary flags for the lead</w:t>
              <w:br/>
              <w:t xml:space="preserve">      await tx.leadSector.updateMany({</w:t>
              <w:br/>
              <w:t xml:space="preserve">        where: { leadId },</w:t>
              <w:br/>
              <w:t xml:space="preserve">        data: { isPrimary: false }</w:t>
              <w:br/>
              <w:t xml:space="preserve">      });</w:t>
              <w:br/>
              <w:br/>
              <w:t xml:space="preserve">      // 3. Set the new designated primary sector</w:t>
              <w:br/>
              <w:t xml:space="preserve">      await tx.leadSector.update({</w:t>
              <w:br/>
              <w:t xml:space="preserve">        where: { leadId_sectorId: { leadId, sectorId: newPrimarySectorId } },</w:t>
              <w:br/>
              <w:t xml:space="preserve">        data: { isPrimary: true }</w:t>
              <w:br/>
              <w:t xml:space="preserve">      });</w:t>
              <w:br/>
              <w:t xml:space="preserve">    });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5: Handling "OTHER", Inactive Sector Lifecycle, &amp; CRM Ingestion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"Bagaimana OTHER, sector deactivation, dan Pipedrive unknown mapping ditangani?"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"How are 'OTHER', sector deactivation, and unmapped Pipedrive sectors handled?"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If someone picks "OTHER", they must write a description. Deactivated sectors stay valid on old leads for history, but can't be chosen for new ones. Unknown sectors from CRM go to a review queue instead of making junk data.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1.5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Enforce mandatory text details when selecting the </w:t>
            </w:r>
            <w:r>
              <w:rPr>
                <w:rFonts w:ascii="Consolas" w:hAnsi="Consolas"/>
                <w:sz w:val="21"/>
              </w:rPr>
              <w:t>"OTHER"</w:t>
            </w:r>
            <w:r>
              <w:rPr>
                <w:sz w:val="21"/>
              </w:rPr>
              <w:t xml:space="preserve"> sector code; apply soft-deletion (</w:t>
            </w:r>
            <w:r>
              <w:rPr>
                <w:rFonts w:ascii="Consolas" w:hAnsi="Consolas"/>
                <w:sz w:val="21"/>
              </w:rPr>
              <w:t>isActive = false</w:t>
            </w:r>
            <w:r>
              <w:rPr>
                <w:sz w:val="21"/>
              </w:rPr>
              <w:t xml:space="preserve">) to preserve historical joins; and route unrecognized CRM sectors into a dedicated </w:t>
            </w:r>
            <w:r>
              <w:rPr>
                <w:rFonts w:ascii="Consolas" w:hAnsi="Consolas"/>
                <w:sz w:val="21"/>
              </w:rPr>
              <w:t>UNCLASSIFIED</w:t>
            </w:r>
            <w:r>
              <w:rPr>
                <w:sz w:val="21"/>
              </w:rPr>
              <w:t xml:space="preserve"> quarantine queue for admin review. </w:t>
            </w:r>
            <w:r>
              <w:rPr>
                <w:b/>
                <w:color w:val="102C57"/>
                <w:sz w:val="21"/>
              </w:rPr>
              <w:t>Decision 1.5b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Deactivated sectors remain valid for historical classification and reporting; existing historical leads retain their classification without error; deactivated sectors are blocked from new assignments; and the system prompts </w:t>
            </w:r>
            <w:r>
              <w:rPr>
                <w:rFonts w:ascii="Consolas" w:hAnsi="Consolas"/>
                <w:sz w:val="21"/>
              </w:rPr>
              <w:t>SECTOR_RECLASSIFICATION_REQUIRED</w:t>
            </w:r>
            <w:r>
              <w:rPr>
                <w:sz w:val="21"/>
              </w:rPr>
              <w:t xml:space="preserve"> only upon major deal renegotiations or scope revisions. </w:t>
            </w:r>
            <w:r>
              <w:rPr>
                <w:i/>
                <w:sz w:val="21"/>
              </w:rPr>
              <w:t>(Source: Author Review 2 - Item #5)</w:t>
            </w:r>
          </w:p>
        </w:tc>
      </w:tr>
    </w:tbl>
    <w:p>
      <w:pPr>
        <w:spacing w:after="8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🏢 Category 2: Organization Structure &amp; Principal Routing (`DEMO-03` &amp; `DEMO-04`)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6: Business Unit (BU) Cardinality &amp; Normalized Secondary BUs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"Satu atau banyak BU per Lead?"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"Single or multiple Business Units per Lead?"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Exactly one Primary BU owns the deal for commercial accountability. If other departments help, they join through project workstreams upon project creation.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2.1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Exactly </w:t>
            </w:r>
            <w:r>
              <w:rPr>
                <w:b/>
                <w:color w:val="102C57"/>
                <w:sz w:val="21"/>
              </w:rPr>
              <w:t>one Primary Business Unit</w:t>
            </w:r>
            <w:r>
              <w:rPr>
                <w:sz w:val="21"/>
              </w:rPr>
              <w:t xml:space="preserve"> (</w:t>
            </w:r>
            <w:r>
              <w:rPr>
                <w:rFonts w:ascii="Consolas" w:hAnsi="Consolas"/>
                <w:sz w:val="21"/>
              </w:rPr>
              <w:t>primaryBusinessUnitId</w:t>
            </w:r>
            <w:r>
              <w:rPr>
                <w:sz w:val="21"/>
              </w:rPr>
              <w:t xml:space="preserve">) per </w:t>
            </w:r>
            <w:r>
              <w:rPr>
                <w:rFonts w:ascii="Consolas" w:hAnsi="Consolas"/>
                <w:sz w:val="21"/>
              </w:rPr>
              <w:t>Lead</w:t>
            </w:r>
            <w:r>
              <w:rPr>
                <w:sz w:val="21"/>
              </w:rPr>
              <w:t xml:space="preserve">. </w:t>
            </w:r>
            <w:r>
              <w:rPr>
                <w:b/>
                <w:color w:val="102C57"/>
                <w:sz w:val="21"/>
              </w:rPr>
              <w:t>Decision 2.1b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Replace scalar string arrays with a </w:t>
            </w:r>
            <w:r>
              <w:rPr>
                <w:b/>
                <w:color w:val="102C57"/>
                <w:sz w:val="21"/>
              </w:rPr>
              <w:t>Normalized Junction Table (`LeadSupportingBusinessUnit`)</w:t>
            </w:r>
            <w:r>
              <w:rPr>
                <w:sz w:val="21"/>
              </w:rPr>
              <w:t xml:space="preserve"> to record secondary/participating BUs with full referential integrity and role attribution during proposal/presales. Multi-BU delivery participation is formally realized via </w:t>
            </w:r>
            <w:r>
              <w:rPr>
                <w:rFonts w:ascii="Consolas" w:hAnsi="Consolas"/>
                <w:sz w:val="21"/>
              </w:rPr>
              <w:t>ProjectWorkstream</w:t>
            </w:r>
            <w:r>
              <w:rPr>
                <w:sz w:val="21"/>
              </w:rPr>
              <w:t xml:space="preserve"> records upon project conversion. </w:t>
            </w:r>
            <w:r>
              <w:rPr>
                <w:i/>
                <w:sz w:val="21"/>
              </w:rPr>
              <w:t>(Source: Author Review 1 - Revision #9)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Rationale</w:t>
            </w:r>
            <w:r>
              <w:rPr>
                <w:sz w:val="21"/>
              </w:rPr>
              <w:t>: Single Primary BU ownership ensures unambiguous sales quota attribution and deterministic approval routing, while a normalized supporting BU table enables cross-practice collaboration without corrupting referential integrity.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Prisma Schema (Example)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model BusinessUnit {</w:t>
              <w:br/>
              <w:t xml:space="preserve">      id          String   @id @default(cuid())</w:t>
              <w:br/>
              <w:t xml:space="preserve">      code        String   @unique // e.g. "BU-SEC", "BU-CLOUD", "BU-GOV"</w:t>
              <w:br/>
              <w:t xml:space="preserve">      name        String   @unique</w:t>
              <w:br/>
              <w:t xml:space="preserve">      description String?</w:t>
              <w:br/>
              <w:t xml:space="preserve">      isActive    Boolean  @default(true)</w:t>
              <w:br/>
              <w:t xml:space="preserve">      createdAt   DateTime @default(now())</w:t>
              <w:br/>
              <w:t xml:space="preserve">      updatedAt   DateTime @updatedAt</w:t>
              <w:br/>
              <w:br/>
              <w:t xml:space="preserve">      leadsPrimary        Lead[]</w:t>
              <w:br/>
              <w:t xml:space="preserve">      leadsSupporting     LeadSupportingBusinessUnit[]</w:t>
              <w:br/>
              <w:t xml:space="preserve">      principals          BusinessUnitPrincipal[]</w:t>
              <w:br/>
              <w:t xml:space="preserve">      users               User[]</w:t>
              <w:br/>
              <w:t xml:space="preserve">    }</w:t>
              <w:br/>
              <w:br/>
              <w:t xml:space="preserve">    model LeadSupportingBusinessUnit {</w:t>
              <w:br/>
              <w:t xml:space="preserve">      id                  String       @id @default(cuid())</w:t>
              <w:br/>
              <w:t xml:space="preserve">      leadId              String</w:t>
              <w:br/>
              <w:t xml:space="preserve">      lead                Lead         @relation(fields: [leadId], references: [id], onDelete: Cascade)</w:t>
              <w:br/>
              <w:t xml:space="preserve">      businessUnitId      String</w:t>
              <w:br/>
              <w:t xml:space="preserve">      businessUnit        BusinessUnit @relation(fields: [businessUnitId], references: [id])</w:t>
              <w:br/>
              <w:t xml:space="preserve">      assignedPrincipalId String?</w:t>
              <w:br/>
              <w:t xml:space="preserve">      assignedPrincipal   User?        @relation(fields: [assignedPrincipalId], references: [id])</w:t>
              <w:br/>
              <w:t xml:space="preserve">      role                String?      // e.g. "Cloud Architecture Support", "Security Audit"</w:t>
              <w:br/>
              <w:t xml:space="preserve">      createdAt           DateTime     @default(now())</w:t>
              <w:br/>
              <w:br/>
              <w:t xml:space="preserve">      @@unique([leadId, businessUnitId])</w:t>
              <w:br/>
              <w:t xml:space="preserve">    }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7: Principal Assignment &amp; Leave-Aware Fallback Routing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"Satu atau banyak Principal per BU dan fallback?"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"Single or multiple Principals per BU, and what is the fallback routing?"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A BU can have multiple Principals. One is designated as the Primary Approver, with an automated fallback to a Backup Principal if the primary is on leave.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2.2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Introduce a </w:t>
            </w:r>
            <w:r>
              <w:rPr>
                <w:rFonts w:ascii="Consolas" w:hAnsi="Consolas"/>
                <w:sz w:val="21"/>
              </w:rPr>
              <w:t>BusinessUnitPrincipal</w:t>
            </w:r>
            <w:r>
              <w:rPr>
                <w:sz w:val="21"/>
              </w:rPr>
              <w:t xml:space="preserve"> junction table supporting multiple Principals per BU with explicit </w:t>
            </w:r>
            <w:r>
              <w:rPr>
                <w:rFonts w:ascii="Consolas" w:hAnsi="Consolas"/>
                <w:sz w:val="21"/>
              </w:rPr>
              <w:t>isPrimary: Boolean</w:t>
            </w:r>
            <w:r>
              <w:rPr>
                <w:sz w:val="21"/>
              </w:rPr>
              <w:t xml:space="preserve"> flags and an automated leave-aware fallback routing engine. </w:t>
            </w:r>
            <w:r>
              <w:rPr>
                <w:b/>
                <w:color w:val="102C57"/>
                <w:sz w:val="21"/>
              </w:rPr>
              <w:t>Decision 2.2b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>: Use actual system roles (</w:t>
            </w:r>
            <w:r>
              <w:rPr>
                <w:rFonts w:ascii="Consolas" w:hAnsi="Consolas"/>
                <w:sz w:val="21"/>
              </w:rPr>
              <w:t>PRINCIPAL_KONSULTAN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PRINCIPAL_TECHNICAL_WRITER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PRINCIPAL_ADMIN_PROJECT</w:t>
            </w:r>
            <w:r>
              <w:rPr>
                <w:sz w:val="21"/>
              </w:rPr>
              <w:t xml:space="preserve">) and explicitly map PMO approval authority to </w:t>
            </w:r>
            <w:r>
              <w:rPr>
                <w:rFonts w:ascii="Consolas" w:hAnsi="Consolas"/>
                <w:sz w:val="21"/>
              </w:rPr>
              <w:t>MANAGEMENT</w:t>
            </w:r>
            <w:r>
              <w:rPr>
                <w:sz w:val="21"/>
              </w:rPr>
              <w:t xml:space="preserve">. </w:t>
            </w:r>
            <w:r>
              <w:rPr>
                <w:i/>
                <w:sz w:val="21"/>
              </w:rPr>
              <w:t>(Source: Author Review 1 - Revision #5)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Rationale</w:t>
            </w:r>
            <w:r>
              <w:rPr>
                <w:sz w:val="21"/>
              </w:rPr>
              <w:t>: Without a structured mapping table and leave integration, approval workflows stall indefinitely whenever a single key Principal is out of office.</w:t>
            </w:r>
          </w:p>
        </w:tc>
      </w:tr>
    </w:tbl>
    <w:p>
      <w:pPr>
        <w:spacing w:after="8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🌲 Category 3: Lead Identity, Types, &amp; Lineage (`DEMO-05` &amp; `DEMO-06`)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8: Deal Types &amp; Net Revenue Retention (NRR) Formula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"Rules NEW/RENEWAL/UP_SELL/CROSS_SELL serta NRR formula?"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"What are the rules for NEW/RENEWAL/UP_SELL/CROSS_SELL deal types and the NRR formula?"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 xml:space="preserve">: </w:t>
      </w:r>
      <w:r>
        <w:rPr>
          <w:rFonts w:ascii="Consolas" w:hAnsi="Consolas"/>
          <w:sz w:val="21"/>
        </w:rPr>
        <w:t>NEW</w:t>
      </w:r>
      <w:r>
        <w:rPr>
          <w:sz w:val="21"/>
        </w:rPr>
        <w:t xml:space="preserve"> is a new customer or product. </w:t>
      </w:r>
      <w:r>
        <w:rPr>
          <w:rFonts w:ascii="Consolas" w:hAnsi="Consolas"/>
          <w:sz w:val="21"/>
        </w:rPr>
        <w:t>RENEWAL</w:t>
      </w:r>
      <w:r>
        <w:rPr>
          <w:sz w:val="21"/>
        </w:rPr>
        <w:t xml:space="preserve"> and </w:t>
      </w:r>
      <w:r>
        <w:rPr>
          <w:rFonts w:ascii="Consolas" w:hAnsi="Consolas"/>
          <w:sz w:val="21"/>
        </w:rPr>
        <w:t>UP_SELL</w:t>
      </w:r>
      <w:r>
        <w:rPr>
          <w:sz w:val="21"/>
        </w:rPr>
        <w:t xml:space="preserve"> must link to an existing active project with the same client. NRR measures how much revenue we retain and grow from existing clients.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3.1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Establish 4 strict </w:t>
            </w:r>
            <w:r>
              <w:rPr>
                <w:rFonts w:ascii="Consolas" w:hAnsi="Consolas"/>
                <w:sz w:val="21"/>
              </w:rPr>
              <w:t>LeadType</w:t>
            </w:r>
            <w:r>
              <w:rPr>
                <w:sz w:val="21"/>
              </w:rPr>
              <w:t xml:space="preserve"> enum values (</w:t>
            </w:r>
            <w:r>
              <w:rPr>
                <w:rFonts w:ascii="Consolas" w:hAnsi="Consolas"/>
                <w:sz w:val="21"/>
              </w:rPr>
              <w:t>NEW_OPPORTUNITY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RENEWAL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UP_SELL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CROSS_SELL</w:t>
            </w:r>
            <w:r>
              <w:rPr>
                <w:sz w:val="21"/>
              </w:rPr>
              <w:t xml:space="preserve">). Mandate </w:t>
            </w:r>
            <w:r>
              <w:rPr>
                <w:rFonts w:ascii="Consolas" w:hAnsi="Consolas"/>
                <w:sz w:val="21"/>
              </w:rPr>
              <w:t>parentProjectId</w:t>
            </w:r>
            <w:r>
              <w:rPr>
                <w:sz w:val="21"/>
              </w:rPr>
              <w:t xml:space="preserve"> for </w:t>
            </w:r>
            <w:r>
              <w:rPr>
                <w:rFonts w:ascii="Consolas" w:hAnsi="Consolas"/>
                <w:sz w:val="21"/>
              </w:rPr>
              <w:t>RENEWAL</w:t>
            </w:r>
            <w:r>
              <w:rPr>
                <w:sz w:val="21"/>
              </w:rPr>
              <w:t xml:space="preserve"> and </w:t>
            </w:r>
            <w:r>
              <w:rPr>
                <w:rFonts w:ascii="Consolas" w:hAnsi="Consolas"/>
                <w:sz w:val="21"/>
              </w:rPr>
              <w:t>UP_SELL</w:t>
            </w:r>
            <w:r>
              <w:rPr>
                <w:sz w:val="21"/>
              </w:rPr>
              <w:t xml:space="preserve">. Standardize NRR calculation based on cohort ARR expansion, contraction, and churn. </w:t>
            </w:r>
            <w:r>
              <w:rPr>
                <w:i/>
                <w:sz w:val="21"/>
              </w:rPr>
              <w:t>(Source: Master Rec Doc Section 16)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Rationale</w:t>
            </w:r>
            <w:r>
              <w:rPr>
                <w:sz w:val="21"/>
              </w:rPr>
              <w:t>: Creating renewals without an existing contract link makes it impossible to calculate customer retention or identify recurring revenue expansion.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NRR Mathematical Formula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$$\text{NRR}_{\text{Cohort}} = \frac{\sum \text{Starting ARR} + \sum \text{Expansion ARR} - \sum \text{Contraction ARR} - \sum \text{Churn ARR}}{\sum \text{Starting ARR}} \times 100\%$$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9: Permitted Lineage Anchor (Parent Project vs. Parent Lead)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"Apakah parent Lead diizinkan atau hanya parent Project?"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"Is a parent Lead allowed, or strictly a parent Project?"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Deals can only link to an existing completed or active Project. Linking lead-to-lead is forbidden to prevent infinite loops and confusing history.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3.2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Restrict deal lineage strictly to parent </w:t>
            </w:r>
            <w:r>
              <w:rPr>
                <w:rFonts w:ascii="Consolas" w:hAnsi="Consolas"/>
                <w:sz w:val="21"/>
              </w:rPr>
              <w:t>Project</w:t>
            </w:r>
            <w:r>
              <w:rPr>
                <w:sz w:val="21"/>
              </w:rPr>
              <w:t xml:space="preserve"> records (</w:t>
            </w:r>
            <w:r>
              <w:rPr>
                <w:rFonts w:ascii="Consolas" w:hAnsi="Consolas"/>
                <w:sz w:val="21"/>
              </w:rPr>
              <w:t>parentProjectId</w:t>
            </w:r>
            <w:r>
              <w:rPr>
                <w:sz w:val="21"/>
              </w:rPr>
              <w:t xml:space="preserve">). Disallow lead-to-lead parentage. </w:t>
            </w:r>
            <w:r>
              <w:rPr>
                <w:i/>
                <w:sz w:val="21"/>
              </w:rPr>
              <w:t>(Source: Master Rec Doc Section 16)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Rationale</w:t>
            </w:r>
            <w:r>
              <w:rPr>
                <w:sz w:val="21"/>
              </w:rPr>
              <w:t xml:space="preserve">: Anchoring to executed </w:t>
            </w:r>
            <w:r>
              <w:rPr>
                <w:rFonts w:ascii="Consolas" w:hAnsi="Consolas"/>
                <w:sz w:val="21"/>
              </w:rPr>
              <w:t>Project</w:t>
            </w:r>
            <w:r>
              <w:rPr>
                <w:sz w:val="21"/>
              </w:rPr>
              <w:t xml:space="preserve"> records guarantees solid contractual lineage.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10: Sequential Lead Numbering &amp; Same-Transaction Atomic Creation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"Lead numbering format/timezone?"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"What is the Lead numbering format and timezone rule?"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 xml:space="preserve">: Lead numbers (e.g., </w:t>
      </w:r>
      <w:r>
        <w:rPr>
          <w:rFonts w:ascii="Consolas" w:hAnsi="Consolas"/>
          <w:sz w:val="21"/>
        </w:rPr>
        <w:t>LEAD-2026-0001</w:t>
      </w:r>
      <w:r>
        <w:rPr>
          <w:sz w:val="21"/>
        </w:rPr>
        <w:t>) are allocated atomically inside the exact same database transaction that creates the Lead. Ordinary application rollbacks do not waste numbers.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3.3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Adopt the sequential format </w:t>
            </w:r>
            <w:r>
              <w:rPr>
                <w:rFonts w:ascii="Consolas" w:hAnsi="Consolas"/>
                <w:sz w:val="21"/>
              </w:rPr>
              <w:t>LEAD-{YYYY}-{0000}</w:t>
            </w:r>
            <w:r>
              <w:rPr>
                <w:sz w:val="21"/>
              </w:rPr>
              <w:t xml:space="preserve"> resetting annually on January 1 at 00:00 </w:t>
            </w:r>
            <w:r>
              <w:rPr>
                <w:rFonts w:ascii="Consolas" w:hAnsi="Consolas"/>
                <w:sz w:val="21"/>
              </w:rPr>
              <w:t>Asia/Jakarta</w:t>
            </w:r>
            <w:r>
              <w:rPr>
                <w:sz w:val="21"/>
              </w:rPr>
              <w:t xml:space="preserve"> (WIB/UTC+7). </w:t>
            </w:r>
            <w:r>
              <w:rPr>
                <w:b/>
                <w:color w:val="102C57"/>
                <w:sz w:val="21"/>
              </w:rPr>
              <w:t>Decision 3.3b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</w:t>
            </w:r>
            <w:r>
              <w:rPr>
                <w:b/>
                <w:color w:val="102C57"/>
                <w:sz w:val="21"/>
              </w:rPr>
              <w:t>Same-Transaction Allocation &amp; Gap Reconciliation Policy</w:t>
            </w:r>
            <w:r>
              <w:rPr>
                <w:sz w:val="21"/>
              </w:rPr>
              <w:t xml:space="preserve">: </w:t>
            </w:r>
            <w:r>
              <w:rPr>
                <w:i/>
                <w:sz w:val="21"/>
              </w:rPr>
              <w:t>"Same-transaction allocation prevents ordinary sequence gaps caused by application validation failures or transaction rollback. The identifier remains uniqueness-first and is not intended as a statutory gapless sequence. Out-of-transaction reconciliation is reserved for ambiguous commit outcomes or infrastructure failures where the client cannot determine whether the transaction committed. Audit logging under total database failure is best-effort."</w:t>
            </w:r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(Source: Author Review 4 - Item #6)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Rationale</w:t>
            </w:r>
            <w:r>
              <w:rPr>
                <w:sz w:val="21"/>
              </w:rPr>
              <w:t>: Running counter increment in the same transaction as lead creation prevents ordinary gaps, while recognizing that network timeouts during commit require automated reconciliation.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Atomic Allocator inside Same Transaction (Example)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async function allocateNextLeadNumber(tx: Prisma.TransactionClient, jakartaYear: number): Promise&lt;string&gt; {</w:t>
              <w:br/>
              <w:t xml:space="preserve">      const counter = await tx.leadNumberCounter.upsert({</w:t>
              <w:br/>
              <w:t xml:space="preserve">        where: { year: jakartaYear },</w:t>
              <w:br/>
              <w:t xml:space="preserve">        update: { currentSequence: { increment: 1 } },</w:t>
              <w:br/>
              <w:t xml:space="preserve">        create: { year: jakartaYear, currentSequence: 1 },</w:t>
              <w:br/>
              <w:t xml:space="preserve">      });</w:t>
              <w:br/>
              <w:br/>
              <w:t xml:space="preserve">      return `LEAD-${jakartaYear}-${String(counter.currentSequence).padStart(4, "0")}`;</w:t>
              <w:br/>
              <w:t xml:space="preserve">    }</w:t>
              <w:br/>
              <w:br/>
              <w:t xml:space="preserve">    // Atomic Execution Flow:</w:t>
              <w:br/>
              <w:t xml:space="preserve">    async function createLeadAtomically(input: CreateLeadInput) {</w:t>
              <w:br/>
              <w:t xml:space="preserve">      const now = new Date();</w:t>
              <w:br/>
              <w:t xml:space="preserve">      const jakartaYear = parseInt(</w:t>
              <w:br/>
              <w:t xml:space="preserve">        new Intl.DateTimeFormat("en-US", { timeZone: "Asia/Jakarta", year: "numeric" }).format(now),</w:t>
              <w:br/>
              <w:t xml:space="preserve">        10</w:t>
              <w:br/>
              <w:t xml:space="preserve">      );</w:t>
              <w:br/>
              <w:br/>
              <w:t xml:space="preserve">      return await prisma.$transaction(async (tx) =&gt; {</w:t>
              <w:br/>
              <w:t xml:space="preserve">        // 1. Allocate sequence inside the transaction using template literal</w:t>
              <w:br/>
              <w:t xml:space="preserve">        const leadNumber = await allocateNextLeadNumber(tx, jakartaYear);</w:t>
              <w:br/>
              <w:br/>
              <w:t xml:space="preserve">        // 2. Create the Lead record with the allocated sequence</w:t>
              <w:br/>
              <w:t xml:space="preserve">        const newLead = await tx.lead.create({</w:t>
              <w:br/>
              <w:t xml:space="preserve">          data: {</w:t>
              <w:br/>
              <w:t xml:space="preserve">            ...input,</w:t>
              <w:br/>
              <w:t xml:space="preserve">            leadNumber,</w:t>
              <w:br/>
              <w:t xml:space="preserve">          }</w:t>
              <w:br/>
              <w:t xml:space="preserve">        });</w:t>
              <w:br/>
              <w:br/>
              <w:t xml:space="preserve">        return newLead;</w:t>
              <w:br/>
              <w:t xml:space="preserve">      });</w:t>
              <w:br/>
              <w:t xml:space="preserve">    }</w:t>
            </w:r>
          </w:p>
        </w:tc>
      </w:tr>
    </w:tbl>
    <w:p>
      <w:pPr>
        <w:spacing w:after="8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🛡️ Category 4: Presales Workspace &amp; Cost Capture (`DEMO-09`)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11: Presales Workspace Creation Timing &amp; Authority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"Kapan PRESALES workspace dibuat dan siapa yang boleh memulai?"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"When is a PRESALES workspace created, and who is authorized to initiate it?"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Never auto-create projects for every lead. Sales or Principals can click "Start Presales Workspace" only when a lead is qualified and needs technical effort.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4.1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</w:t>
            </w:r>
            <w:r>
              <w:rPr>
                <w:b/>
                <w:color w:val="102C57"/>
                <w:sz w:val="21"/>
              </w:rPr>
              <w:t>Strictly Opt-In Presales Workspace</w:t>
            </w:r>
            <w:r>
              <w:rPr>
                <w:sz w:val="21"/>
              </w:rPr>
              <w:t>. A workspace is never auto-spawned on lead creation. It can only be initiated via explicit user action (</w:t>
            </w:r>
            <w:r>
              <w:rPr>
                <w:rFonts w:ascii="Consolas" w:hAnsi="Consolas"/>
                <w:sz w:val="21"/>
              </w:rPr>
              <w:t>POST /api/leads/:id/presales-workspace</w:t>
            </w:r>
            <w:r>
              <w:rPr>
                <w:sz w:val="21"/>
              </w:rPr>
              <w:t xml:space="preserve">) by the assigned </w:t>
            </w:r>
            <w:r>
              <w:rPr>
                <w:rFonts w:ascii="Consolas" w:hAnsi="Consolas"/>
                <w:sz w:val="21"/>
              </w:rPr>
              <w:t>SALES</w:t>
            </w:r>
            <w:r>
              <w:rPr>
                <w:sz w:val="21"/>
              </w:rPr>
              <w:t xml:space="preserve"> owner or BU </w:t>
            </w:r>
            <w:r>
              <w:rPr>
                <w:rFonts w:ascii="Consolas" w:hAnsi="Consolas"/>
                <w:sz w:val="21"/>
              </w:rPr>
              <w:t>PRINCIPAL_KONSULTAN</w:t>
            </w:r>
            <w:r>
              <w:rPr>
                <w:sz w:val="21"/>
              </w:rPr>
              <w:t xml:space="preserve"> once the lead reaches </w:t>
            </w:r>
            <w:r>
              <w:rPr>
                <w:rFonts w:ascii="Consolas" w:hAnsi="Consolas"/>
                <w:sz w:val="21"/>
              </w:rPr>
              <w:t>QUALIFIED</w:t>
            </w:r>
            <w:r>
              <w:rPr>
                <w:sz w:val="21"/>
              </w:rPr>
              <w:t xml:space="preserve"> stage. </w:t>
            </w:r>
            <w:r>
              <w:rPr>
                <w:i/>
                <w:sz w:val="21"/>
              </w:rPr>
              <w:t>(Source: Master Rec Doc Section 16 &amp; Author Review 1)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Rationale</w:t>
            </w:r>
            <w:r>
              <w:rPr>
                <w:sz w:val="21"/>
              </w:rPr>
              <w:t>: Prevents project dashboard explosion and keeps presales proposal tasks isolated from delivery projects.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12: Won Deal Conversion (Promotion vs. Dedicated Delivery Project)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"Saat WON: promote PRESALES workspace atau create delivery Project terpisah?"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"When a deal is WON: promote the PRESALES workspace or create a separate delivery Project?"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Create a fresh, official delivery Project with its own project code, link it to the Lead, and close the presales workspace.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4.2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Implement a </w:t>
            </w:r>
            <w:r>
              <w:rPr>
                <w:b/>
                <w:color w:val="102C57"/>
                <w:sz w:val="21"/>
              </w:rPr>
              <w:t>Deterministic Conversion Flow</w:t>
            </w:r>
            <w:r>
              <w:rPr>
                <w:sz w:val="21"/>
              </w:rPr>
              <w:t xml:space="preserve">. When a lead is marked </w:t>
            </w:r>
            <w:r>
              <w:rPr>
                <w:rFonts w:ascii="Consolas" w:hAnsi="Consolas"/>
                <w:sz w:val="21"/>
              </w:rPr>
              <w:t>WON</w:t>
            </w:r>
            <w:r>
              <w:rPr>
                <w:sz w:val="21"/>
              </w:rPr>
              <w:t xml:space="preserve">, create a dedicated delivery </w:t>
            </w:r>
            <w:r>
              <w:rPr>
                <w:rFonts w:ascii="Consolas" w:hAnsi="Consolas"/>
                <w:sz w:val="21"/>
              </w:rPr>
              <w:t>Project</w:t>
            </w:r>
            <w:r>
              <w:rPr>
                <w:sz w:val="21"/>
              </w:rPr>
              <w:t xml:space="preserve"> (</w:t>
            </w:r>
            <w:r>
              <w:rPr>
                <w:rFonts w:ascii="Consolas" w:hAnsi="Consolas"/>
                <w:sz w:val="21"/>
              </w:rPr>
              <w:t>ProjectKind.CLIENT</w:t>
            </w:r>
            <w:r>
              <w:rPr>
                <w:sz w:val="21"/>
              </w:rPr>
              <w:t>) with an official project code (</w:t>
            </w:r>
            <w:r>
              <w:rPr>
                <w:rFonts w:ascii="Consolas" w:hAnsi="Consolas"/>
                <w:sz w:val="21"/>
              </w:rPr>
              <w:t>PRJ-YYYY-NNNN</w:t>
            </w:r>
            <w:r>
              <w:rPr>
                <w:sz w:val="21"/>
              </w:rPr>
              <w:t xml:space="preserve">), transfer the approved commercial scope/budget, link </w:t>
            </w:r>
            <w:r>
              <w:rPr>
                <w:rFonts w:ascii="Consolas" w:hAnsi="Consolas"/>
                <w:sz w:val="21"/>
              </w:rPr>
              <w:t>Lead.convertedProjectId = project.id</w:t>
            </w:r>
            <w:r>
              <w:rPr>
                <w:sz w:val="21"/>
              </w:rPr>
              <w:t xml:space="preserve">, and transition the linked presales workspace to </w:t>
            </w:r>
            <w:r>
              <w:rPr>
                <w:rFonts w:ascii="Consolas" w:hAnsi="Consolas"/>
                <w:sz w:val="21"/>
              </w:rPr>
              <w:t>ProjectStatus.CLOSED</w:t>
            </w:r>
            <w:r>
              <w:rPr>
                <w:sz w:val="21"/>
              </w:rPr>
              <w:t xml:space="preserve">. </w:t>
            </w:r>
            <w:r>
              <w:rPr>
                <w:i/>
                <w:sz w:val="21"/>
              </w:rPr>
              <w:t>(Source: Master Rec Doc Section 16)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13: Presales Cost Accounting (CAC vs. Delivery EVM)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"Apakah presales cost menjadi bagian project total cost atau separate CAC ledger/report?"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"Is presales cost part of the total project delivery cost or a separate CAC ledger/report?"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Keep presales costs in a separate CAC (Customer Acquisition Cost) report. Do not add it to the delivery project so project delivery profit and EVM stay 100% accurate.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4.3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</w:t>
            </w:r>
            <w:r>
              <w:rPr>
                <w:b/>
                <w:color w:val="102C57"/>
                <w:sz w:val="21"/>
              </w:rPr>
              <w:t>Hard Isolation of Presales Costs into Commercial CAC</w:t>
            </w:r>
            <w:r>
              <w:rPr>
                <w:sz w:val="21"/>
              </w:rPr>
              <w:t xml:space="preserve">. Presales timesheets and expenses are booked to </w:t>
            </w:r>
            <w:r>
              <w:rPr>
                <w:rFonts w:ascii="Consolas" w:hAnsi="Consolas"/>
                <w:sz w:val="21"/>
              </w:rPr>
              <w:t>ProjectKind.PRESALES</w:t>
            </w:r>
            <w:r>
              <w:rPr>
                <w:sz w:val="21"/>
              </w:rPr>
              <w:t xml:space="preserve"> and reported under Customer Acquisition Cost (CAC). They are strictly excluded from the delivery project's Planned Value (PV), Budget at Completion (BAC), and client billing milestones. </w:t>
            </w:r>
            <w:r>
              <w:rPr>
                <w:i/>
                <w:sz w:val="21"/>
              </w:rPr>
              <w:t>(Source: Master Rec Doc Section 16)</w:t>
            </w:r>
          </w:p>
        </w:tc>
      </w:tr>
    </w:tbl>
    <w:p>
      <w:pPr>
        <w:spacing w:after="8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📊 Category 5: Sales Stages &amp; Probability Forecasting (`DEMO-08`)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14: Sales Stage Taxonomy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"Apakah CONTACTED/CONTRACTING menjadi stage resmi?"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"Are CONTACTED/CONTRACTING official stages in the system?"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No. Keep the current 6 clean stages (NEW, QUALIFIED, PROPOSAL, NEGOTIATION, WON, LOST) to avoid breaking existing funnels and integrations.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5.1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Retain the existing 6 canonical </w:t>
            </w:r>
            <w:r>
              <w:rPr>
                <w:rFonts w:ascii="Consolas" w:hAnsi="Consolas"/>
                <w:sz w:val="21"/>
              </w:rPr>
              <w:t>LeadStage</w:t>
            </w:r>
            <w:r>
              <w:rPr>
                <w:sz w:val="21"/>
              </w:rPr>
              <w:t xml:space="preserve"> Prisma enum values (</w:t>
            </w:r>
            <w:r>
              <w:rPr>
                <w:rFonts w:ascii="Consolas" w:hAnsi="Consolas"/>
                <w:sz w:val="21"/>
              </w:rPr>
              <w:t>NEW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QUALIFIED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PROPOSAL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NEGOTIATION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WON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LOST</w:t>
            </w:r>
            <w:r>
              <w:rPr>
                <w:sz w:val="21"/>
              </w:rPr>
              <w:t xml:space="preserve">). Map external CRM sub-stages into these 6 stages. </w:t>
            </w:r>
            <w:r>
              <w:rPr>
                <w:i/>
                <w:sz w:val="21"/>
              </w:rPr>
              <w:t>(Source: Codebase c7080af Audit &amp; Master Rec Doc)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15: Default Win Probability &amp; Manual Override Governance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"Default probability dan override policy?"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"What are the default stage probabilities and the manual override policy?"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The system automatically sets win probability based on stage (e.g., NEW=20%, PROPOSAL=60%, WON=100%, LOST=0%). Sales can override it, but they must enter a reason that gets saved in an audit log.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5.2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>: Automate default win probability on stage changes (</w:t>
            </w:r>
            <w:r>
              <w:rPr>
                <w:rFonts w:ascii="Consolas" w:hAnsi="Consolas"/>
                <w:sz w:val="21"/>
              </w:rPr>
              <w:t>NEW</w:t>
            </w:r>
            <w:r>
              <w:rPr>
                <w:sz w:val="21"/>
              </w:rPr>
              <w:t xml:space="preserve"> 20%, </w:t>
            </w:r>
            <w:r>
              <w:rPr>
                <w:rFonts w:ascii="Consolas" w:hAnsi="Consolas"/>
                <w:sz w:val="21"/>
              </w:rPr>
              <w:t>QUALIFIED</w:t>
            </w:r>
            <w:r>
              <w:rPr>
                <w:sz w:val="21"/>
              </w:rPr>
              <w:t xml:space="preserve"> 40%, </w:t>
            </w:r>
            <w:r>
              <w:rPr>
                <w:rFonts w:ascii="Consolas" w:hAnsi="Consolas"/>
                <w:sz w:val="21"/>
              </w:rPr>
              <w:t>PROPOSAL</w:t>
            </w:r>
            <w:r>
              <w:rPr>
                <w:sz w:val="21"/>
              </w:rPr>
              <w:t xml:space="preserve"> 60%, </w:t>
            </w:r>
            <w:r>
              <w:rPr>
                <w:rFonts w:ascii="Consolas" w:hAnsi="Consolas"/>
                <w:sz w:val="21"/>
              </w:rPr>
              <w:t>NEGOTIATION</w:t>
            </w:r>
            <w:r>
              <w:rPr>
                <w:sz w:val="21"/>
              </w:rPr>
              <w:t xml:space="preserve"> 80%, </w:t>
            </w:r>
            <w:r>
              <w:rPr>
                <w:rFonts w:ascii="Consolas" w:hAnsi="Consolas"/>
                <w:sz w:val="21"/>
              </w:rPr>
              <w:t>WON</w:t>
            </w:r>
            <w:r>
              <w:rPr>
                <w:sz w:val="21"/>
              </w:rPr>
              <w:t xml:space="preserve"> 100%, </w:t>
            </w:r>
            <w:r>
              <w:rPr>
                <w:rFonts w:ascii="Consolas" w:hAnsi="Consolas"/>
                <w:sz w:val="21"/>
              </w:rPr>
              <w:t>LOST</w:t>
            </w:r>
            <w:r>
              <w:rPr>
                <w:sz w:val="21"/>
              </w:rPr>
              <w:t xml:space="preserve"> 0%). Allow manual overrides only when accompanied by a mandatory written justification reason, capturing the actor ID and timestamp. </w:t>
            </w:r>
            <w:r>
              <w:rPr>
                <w:i/>
                <w:sz w:val="21"/>
              </w:rPr>
              <w:t>(Source: Master Rec Doc Section 16)</w:t>
            </w:r>
          </w:p>
        </w:tc>
      </w:tr>
    </w:tbl>
    <w:p>
      <w:pPr>
        <w:spacing w:after="8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💰 Category 6: Commercial Offerings, Margin Evaluation, &amp; Finance Approval (`DEMO-02`, `DEMO-07`, `DEMO-10`)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16: Offering Scope-to-Project Delivery Mapping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"Offering-to-project scope/workstream/task/billing mappings?"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"How do commercial offerings map to project scope, workstreams, tasks, and billing upon conversion?"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The products/services chosen during sales automatically generate the project workstreams, initial scope descriptions, and standard task templates when the deal is won.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6.1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Introduce a BU-owned </w:t>
            </w:r>
            <w:r>
              <w:rPr>
                <w:rFonts w:ascii="Consolas" w:hAnsi="Consolas"/>
                <w:sz w:val="21"/>
              </w:rPr>
              <w:t>OfferingCatalog</w:t>
            </w:r>
            <w:r>
              <w:rPr>
                <w:sz w:val="21"/>
              </w:rPr>
              <w:t xml:space="preserve"> and point-in-time </w:t>
            </w:r>
            <w:r>
              <w:rPr>
                <w:rFonts w:ascii="Consolas" w:hAnsi="Consolas"/>
                <w:sz w:val="21"/>
              </w:rPr>
              <w:t>LeadOffering</w:t>
            </w:r>
            <w:r>
              <w:rPr>
                <w:sz w:val="21"/>
              </w:rPr>
              <w:t xml:space="preserve"> line snapshots. On project conversion, each selected offering automatically instantiates a corresponding </w:t>
            </w:r>
            <w:r>
              <w:rPr>
                <w:rFonts w:ascii="Consolas" w:hAnsi="Consolas"/>
                <w:sz w:val="21"/>
              </w:rPr>
              <w:t>ProjectWorkstream</w:t>
            </w:r>
            <w:r>
              <w:rPr>
                <w:sz w:val="21"/>
              </w:rPr>
              <w:t xml:space="preserve"> and attaches standard BU </w:t>
            </w:r>
            <w:r>
              <w:rPr>
                <w:rFonts w:ascii="Consolas" w:hAnsi="Consolas"/>
                <w:sz w:val="21"/>
              </w:rPr>
              <w:t>TaskTemplate</w:t>
            </w:r>
            <w:r>
              <w:rPr>
                <w:sz w:val="21"/>
              </w:rPr>
              <w:t xml:space="preserve"> items. </w:t>
            </w:r>
            <w:r>
              <w:rPr>
                <w:i/>
                <w:sz w:val="21"/>
              </w:rPr>
              <w:t>(Source: Master Rec Doc Section 16)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17: Margin Evaluation Formulas, Configurable VAT, &amp; Pass-Through Costs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"Margin thresholds, VAT, currency, discount/pass-through formula?"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"What are the margin thresholds, VAT handling, currency conversions, and calculation formulas?"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Target margin: $\ge 30\%$ is Green (Healthy), $20–29\%$ is Yellow (Moderate), $&lt; 20\%$ is Red (Critical). VAT is calculated dynamically from system settings so profit calculations reflect real net revenue.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6.2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Calculate margins on net revenue (DPP) using exact Decimal arithmetic. Establish 3 commercial health tiers: 🟢 </w:t>
            </w:r>
            <w:r>
              <w:rPr>
                <w:b/>
                <w:color w:val="102C57"/>
                <w:sz w:val="21"/>
              </w:rPr>
              <w:t>Healthy</w:t>
            </w:r>
            <w:r>
              <w:rPr>
                <w:sz w:val="21"/>
              </w:rPr>
              <w:t xml:space="preserve"> ($\ge 30.0\%$), 🟡 </w:t>
            </w:r>
            <w:r>
              <w:rPr>
                <w:b/>
                <w:color w:val="102C57"/>
                <w:sz w:val="21"/>
              </w:rPr>
              <w:t>Moderate</w:t>
            </w:r>
            <w:r>
              <w:rPr>
                <w:sz w:val="21"/>
              </w:rPr>
              <w:t xml:space="preserve"> ($20.0\% \le M &lt; 30.0\%$), and 🔴 </w:t>
            </w:r>
            <w:r>
              <w:rPr>
                <w:b/>
                <w:color w:val="102C57"/>
                <w:sz w:val="21"/>
              </w:rPr>
              <w:t>Critical</w:t>
            </w:r>
            <w:r>
              <w:rPr>
                <w:sz w:val="21"/>
              </w:rPr>
              <w:t xml:space="preserve"> ($&lt; 20.0\%$). </w:t>
            </w:r>
            <w:r>
              <w:rPr>
                <w:b/>
                <w:color w:val="102C57"/>
                <w:sz w:val="21"/>
              </w:rPr>
              <w:t>Decision 6.2b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</w:t>
            </w:r>
            <w:r>
              <w:rPr>
                <w:b/>
                <w:color w:val="102C57"/>
                <w:sz w:val="21"/>
              </w:rPr>
              <w:t>Make VAT Configurable &amp; Versioned</w:t>
            </w:r>
            <w:r>
              <w:rPr>
                <w:sz w:val="21"/>
              </w:rPr>
              <w:t>. VAT rate is retrieved from global system settings (</w:t>
            </w:r>
            <w:r>
              <w:rPr>
                <w:rFonts w:ascii="Consolas" w:hAnsi="Consolas"/>
                <w:sz w:val="21"/>
              </w:rPr>
              <w:t>AppSetting</w:t>
            </w:r>
            <w:r>
              <w:rPr>
                <w:sz w:val="21"/>
              </w:rPr>
              <w:t xml:space="preserve">) or tax policy, confirmed by Finance, and stored as an immutable point-in-time snapshot on </w:t>
            </w:r>
            <w:r>
              <w:rPr>
                <w:rFonts w:ascii="Consolas" w:hAnsi="Consolas"/>
                <w:sz w:val="21"/>
              </w:rPr>
              <w:t>CommercialBudgetRevision.vatPercent</w:t>
            </w:r>
            <w:r>
              <w:rPr>
                <w:sz w:val="21"/>
              </w:rPr>
              <w:t xml:space="preserve"> using exact </w:t>
            </w:r>
            <w:r>
              <w:rPr>
                <w:rFonts w:ascii="Consolas" w:hAnsi="Consolas"/>
                <w:sz w:val="21"/>
              </w:rPr>
              <w:t>Decimal(5, 2)</w:t>
            </w:r>
            <w:r>
              <w:rPr>
                <w:sz w:val="21"/>
              </w:rPr>
              <w:t xml:space="preserve">. </w:t>
            </w:r>
            <w:r>
              <w:rPr>
                <w:i/>
                <w:sz w:val="21"/>
              </w:rPr>
              <w:t>(Source: Author Review 1 - Revision #13)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18: Approver Roles, Escalation, &amp; Non-Financial Edits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"Approver/escalation dan separation of duties?"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"Who are the approvers, how does escalation work, and how is Separation of Duties enforced?"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Finance approves standard budgets ($\ge 20\%$). If margin is Critical ($&lt; 20\%$), Management must also approve. The salesperson who owns the deal can never approve their own budget.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6.3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Implement versioned, immutable </w:t>
            </w:r>
            <w:r>
              <w:rPr>
                <w:rFonts w:ascii="Consolas" w:hAnsi="Consolas"/>
                <w:sz w:val="21"/>
              </w:rPr>
              <w:t>CommercialBudgetRevision</w:t>
            </w:r>
            <w:r>
              <w:rPr>
                <w:sz w:val="21"/>
              </w:rPr>
              <w:t xml:space="preserve"> records. Enforce </w:t>
            </w:r>
            <w:r>
              <w:rPr>
                <w:b/>
                <w:color w:val="102C57"/>
                <w:sz w:val="21"/>
              </w:rPr>
              <w:t>Separation of Duties (SoD)</w:t>
            </w:r>
            <w:r>
              <w:rPr>
                <w:sz w:val="21"/>
              </w:rPr>
              <w:t xml:space="preserve"> so a deal owner cannot approve their own budget. Require </w:t>
            </w:r>
            <w:r>
              <w:rPr>
                <w:rFonts w:ascii="Consolas" w:hAnsi="Consolas"/>
                <w:sz w:val="21"/>
              </w:rPr>
              <w:t>FINANCE</w:t>
            </w:r>
            <w:r>
              <w:rPr>
                <w:sz w:val="21"/>
              </w:rPr>
              <w:t xml:space="preserve"> approval for standard margins ($\ge 20\%$) and joint </w:t>
            </w:r>
            <w:r>
              <w:rPr>
                <w:rFonts w:ascii="Consolas" w:hAnsi="Consolas"/>
                <w:sz w:val="21"/>
              </w:rPr>
              <w:t>FINANCE</w:t>
            </w:r>
            <w:r>
              <w:rPr>
                <w:sz w:val="21"/>
              </w:rPr>
              <w:t xml:space="preserve"> + </w:t>
            </w:r>
            <w:r>
              <w:rPr>
                <w:rFonts w:ascii="Consolas" w:hAnsi="Consolas"/>
                <w:sz w:val="21"/>
              </w:rPr>
              <w:t>MANAGEMENT</w:t>
            </w:r>
            <w:r>
              <w:rPr>
                <w:sz w:val="21"/>
              </w:rPr>
              <w:t xml:space="preserve"> escalation for Critical margins ($&lt; 20\%$). </w:t>
            </w:r>
            <w:r>
              <w:rPr>
                <w:i/>
                <w:sz w:val="21"/>
              </w:rPr>
              <w:t>(Source: Author Review 1 - Revision #5)</w:t>
            </w:r>
          </w:p>
        </w:tc>
      </w:tr>
    </w:tbl>
    <w:p>
      <w:pPr>
        <w:spacing w:after="8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📈 Category 7: Project Baseline Auto-Sync (`DEMO-11`)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Dedicated Decision Section for DEMO-11: Project Baseline Synchronization, c7080af Source Schema, Target Extension, Discriminated Union Guards &amp; Concurrency Control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When a deal is won, the system takes the approved budget and creates Baseline #1. Any later scope changes require an approved Change Request to create Baseline #2. The database guarantees that at most one baseline is active, while application lifecycle guarantees that at least one baseline is active, resulting in exactly one active baseline.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7.0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Implement an </w:t>
            </w:r>
            <w:r>
              <w:rPr>
                <w:b/>
                <w:color w:val="102C57"/>
                <w:sz w:val="21"/>
              </w:rPr>
              <w:t>Automated Baseline Synchronization Engine</w:t>
            </w:r>
            <w:r>
              <w:rPr>
                <w:sz w:val="21"/>
              </w:rPr>
              <w:t xml:space="preserve"> extending the existing </w:t>
            </w:r>
            <w:r>
              <w:rPr>
                <w:rFonts w:ascii="Consolas" w:hAnsi="Consolas"/>
                <w:sz w:val="21"/>
              </w:rPr>
              <w:t>ProjectBaseline</w:t>
            </w:r>
            <w:r>
              <w:rPr>
                <w:sz w:val="21"/>
              </w:rPr>
              <w:t xml:space="preserve"> architecture. 1. </w:t>
            </w:r>
            <w:r>
              <w:rPr>
                <w:b/>
                <w:color w:val="102C57"/>
                <w:sz w:val="21"/>
              </w:rPr>
              <w:t>Initial Baseline Trigger (`source: "ACTIVATION"`)</w:t>
            </w:r>
            <w:r>
              <w:rPr>
                <w:sz w:val="21"/>
              </w:rPr>
              <w:t xml:space="preserve">: When a lead converts to a delivery project upon </w:t>
            </w:r>
            <w:r>
              <w:rPr>
                <w:rFonts w:ascii="Consolas" w:hAnsi="Consolas"/>
                <w:sz w:val="21"/>
              </w:rPr>
              <w:t>WON</w:t>
            </w:r>
            <w:r>
              <w:rPr>
                <w:sz w:val="21"/>
              </w:rPr>
              <w:t xml:space="preserve"> stage, the active </w:t>
            </w:r>
            <w:r>
              <w:rPr>
                <w:rFonts w:ascii="Consolas" w:hAnsi="Consolas"/>
                <w:sz w:val="21"/>
              </w:rPr>
              <w:t>CommercialBudgetRevision</w:t>
            </w:r>
            <w:r>
              <w:rPr>
                <w:sz w:val="21"/>
              </w:rPr>
              <w:t xml:space="preserve"> automatically generates the initial </w:t>
            </w:r>
            <w:r>
              <w:rPr>
                <w:rFonts w:ascii="Consolas" w:hAnsi="Consolas"/>
                <w:sz w:val="21"/>
              </w:rPr>
              <w:t>ProjectBaseline</w:t>
            </w:r>
            <w:r>
              <w:rPr>
                <w:sz w:val="21"/>
              </w:rPr>
              <w:t xml:space="preserve"> (Version 1, </w:t>
            </w:r>
            <w:r>
              <w:rPr>
                <w:rFonts w:ascii="Consolas" w:hAnsi="Consolas"/>
                <w:sz w:val="21"/>
              </w:rPr>
              <w:t>isCurrent = true</w:t>
            </w:r>
            <w:r>
              <w:rPr>
                <w:sz w:val="21"/>
              </w:rPr>
              <w:t xml:space="preserve">). 2. </w:t>
            </w:r>
            <w:r>
              <w:rPr>
                <w:b/>
                <w:color w:val="102C57"/>
                <w:sz w:val="21"/>
              </w:rPr>
              <w:t>Change Request Baselines (`source: "CHANGE_REQUEST"`)</w:t>
            </w:r>
            <w:r>
              <w:rPr>
                <w:sz w:val="21"/>
              </w:rPr>
              <w:t>: Any post-activation scope or budget adjustment requires a formal approved Change Request, generating Baseline Version $N+1$ and archiving Version $N$ (</w:t>
            </w:r>
            <w:r>
              <w:rPr>
                <w:rFonts w:ascii="Consolas" w:hAnsi="Consolas"/>
                <w:sz w:val="21"/>
              </w:rPr>
              <w:t>isCurrent = false</w:t>
            </w:r>
            <w:r>
              <w:rPr>
                <w:sz w:val="21"/>
              </w:rPr>
              <w:t xml:space="preserve">). 3. </w:t>
            </w:r>
            <w:r>
              <w:rPr>
                <w:b/>
                <w:color w:val="102C57"/>
                <w:sz w:val="21"/>
              </w:rPr>
              <w:t>Exactly-One-Current Baseline Invariant Architecture</w:t>
            </w:r>
            <w:r>
              <w:rPr>
                <w:sz w:val="21"/>
              </w:rPr>
              <w:t xml:space="preserve">:    - </w:t>
            </w:r>
            <w:r>
              <w:rPr>
                <w:b/>
                <w:color w:val="102C57"/>
                <w:sz w:val="21"/>
              </w:rPr>
              <w:t>Database Partial Unique Index (At Most One)</w:t>
            </w:r>
            <w:r>
              <w:rPr>
                <w:sz w:val="21"/>
              </w:rPr>
              <w:t xml:space="preserve">: </w:t>
            </w:r>
            <w:r>
              <w:rPr>
                <w:rFonts w:ascii="Consolas" w:hAnsi="Consolas"/>
                <w:sz w:val="21"/>
              </w:rPr>
              <w:t>CREATE UNIQUE INDEX one_current_baseline_per_project ON "ProjectBaseline" ("projectId") WHERE "isCurrent" = true;</w:t>
            </w:r>
            <w:r>
              <w:rPr>
                <w:sz w:val="21"/>
              </w:rPr>
              <w:t xml:space="preserve"> guarantees that no more than one baseline per project can be marked current simultaneously.    - </w:t>
            </w:r>
            <w:r>
              <w:rPr>
                <w:b/>
                <w:color w:val="102C57"/>
                <w:sz w:val="21"/>
              </w:rPr>
              <w:t>Application Lifecycle Invariant (At Least One)</w:t>
            </w:r>
            <w:r>
              <w:rPr>
                <w:sz w:val="21"/>
              </w:rPr>
              <w:t>: Project creation and change request transactions guarantee that active delivery projects always maintain an active baseline (</w:t>
            </w:r>
            <w:r>
              <w:rPr>
                <w:rFonts w:ascii="Consolas" w:hAnsi="Consolas"/>
                <w:sz w:val="21"/>
              </w:rPr>
              <w:t>isCurrent = true</w:t>
            </w:r>
            <w:r>
              <w:rPr>
                <w:sz w:val="21"/>
              </w:rPr>
              <w:t xml:space="preserve">).    - </w:t>
            </w:r>
            <w:r>
              <w:rPr>
                <w:b/>
                <w:color w:val="102C57"/>
                <w:sz w:val="21"/>
              </w:rPr>
              <w:t>Combined Enforcement</w:t>
            </w:r>
            <w:r>
              <w:rPr>
                <w:sz w:val="21"/>
              </w:rPr>
              <w:t xml:space="preserve">: Delivers an </w:t>
            </w:r>
            <w:r>
              <w:rPr>
                <w:b/>
                <w:color w:val="102C57"/>
                <w:sz w:val="21"/>
              </w:rPr>
              <w:t>exactly-one-current baseline guarantee</w:t>
            </w:r>
            <w:r>
              <w:rPr>
                <w:sz w:val="21"/>
              </w:rPr>
              <w:t xml:space="preserve">. 4. </w:t>
            </w:r>
            <w:r>
              <w:rPr>
                <w:b/>
                <w:color w:val="102C57"/>
                <w:sz w:val="21"/>
              </w:rPr>
              <w:t>Discriminated Union &amp; Idempotent Retry Ordering Invariant</w:t>
            </w:r>
            <w:r>
              <w:rPr>
                <w:sz w:val="21"/>
              </w:rPr>
              <w:t xml:space="preserve">: </w:t>
            </w:r>
            <w:r>
              <w:rPr>
                <w:rFonts w:ascii="Consolas" w:hAnsi="Consolas"/>
                <w:sz w:val="21"/>
              </w:rPr>
              <w:t>ACTIVATION</w:t>
            </w:r>
            <w:r>
              <w:rPr>
                <w:sz w:val="21"/>
              </w:rPr>
              <w:t xml:space="preserve"> does not generate a duplicate baseline if one already exists; </w:t>
            </w:r>
            <w:r>
              <w:rPr>
                <w:rFonts w:ascii="Consolas" w:hAnsi="Consolas"/>
                <w:sz w:val="21"/>
              </w:rPr>
              <w:t>CHANGE_REQUEST</w:t>
            </w:r>
            <w:r>
              <w:rPr>
                <w:sz w:val="21"/>
              </w:rPr>
              <w:t xml:space="preserve"> baseline creation strictly searches for an existing baseline by </w:t>
            </w:r>
            <w:r>
              <w:rPr>
                <w:rFonts w:ascii="Consolas" w:hAnsi="Consolas"/>
                <w:sz w:val="21"/>
              </w:rPr>
              <w:t>changeRequestId</w:t>
            </w:r>
            <w:r>
              <w:rPr>
                <w:sz w:val="21"/>
              </w:rPr>
              <w:t xml:space="preserve"> first to guarantee idempotent retry safety before validating </w:t>
            </w:r>
            <w:r>
              <w:rPr>
                <w:rFonts w:ascii="Consolas" w:hAnsi="Consolas"/>
                <w:sz w:val="21"/>
              </w:rPr>
              <w:t>status: "APPROVED"</w:t>
            </w:r>
            <w:r>
              <w:rPr>
                <w:sz w:val="21"/>
              </w:rPr>
              <w:t>.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[SOURCE: AUTHOR REVIEW 6 - ITEM #2]</w:t>
      </w:r>
      <w:r>
        <w:rPr>
          <w:sz w:val="21"/>
        </w:rPr>
        <w:t xml:space="preserve"> </w:t>
      </w:r>
      <w:r>
        <w:rPr>
          <w:b/>
          <w:sz w:val="21"/>
        </w:rPr>
        <w:t>Source Baseline Model in Referenced Codebase (Commit c7080af)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// Exact source baseline model from the referenced codebase:</w:t>
              <w:br/>
              <w:t xml:space="preserve">    // lib/db/prisma/schema.prisma at commit c7080af (Lines 310-330)</w:t>
              <w:br/>
              <w:t xml:space="preserve">    enum ProjectBaselineSource {</w:t>
              <w:br/>
              <w:t xml:space="preserve">      ACTIVATION</w:t>
              <w:br/>
              <w:t xml:space="preserve">      CHANGE_REQUEST</w:t>
              <w:br/>
              <w:t xml:space="preserve">      MANUAL</w:t>
              <w:br/>
              <w:t xml:space="preserve">    }</w:t>
              <w:br/>
              <w:br/>
              <w:t xml:space="preserve">    model ProjectBaseline {</w:t>
              <w:br/>
              <w:t xml:space="preserve">      id              String                @id @default(cuid())</w:t>
              <w:br/>
              <w:t xml:space="preserve">      projectId       String</w:t>
              <w:br/>
              <w:t xml:space="preserve">      project         Project               @relation(fields: [projectId], references: [id], onDelete: Cascade)</w:t>
              <w:br/>
              <w:t xml:space="preserve">      version         Int</w:t>
              <w:br/>
              <w:t xml:space="preserve">      isCurrent       Boolean               @default(true)</w:t>
              <w:br/>
              <w:t xml:space="preserve">      source          ProjectBaselineSource @default(ACTIVATION)</w:t>
              <w:br/>
              <w:t xml:space="preserve">      changeRequestId String?</w:t>
              <w:br/>
              <w:t xml:space="preserve">      changeRequest   ChangeRequest?        @relation("BaselineChangeRequest", fields: [changeRequestId], references: [id])</w:t>
              <w:br/>
              <w:t xml:space="preserve">      startDate       DateTime?</w:t>
              <w:br/>
              <w:t xml:space="preserve">      endDate         DateTime?</w:t>
              <w:br/>
              <w:t xml:space="preserve">      plannedMandays  Float                 @default(0)</w:t>
              <w:br/>
              <w:t xml:space="preserve">      estimatedCost   Float                 @default(0)</w:t>
              <w:br/>
              <w:t xml:space="preserve">      contractValue   Float                 @default(0)</w:t>
              <w:br/>
              <w:t xml:space="preserve">      createdById     String?</w:t>
              <w:br/>
              <w:t xml:space="preserve">      createdBy       User?                 @relation("ProjectBaselineCreator", fields: [createdById], references: [id])</w:t>
              <w:br/>
              <w:t xml:space="preserve">      createdAt       DateTime              @default(now())</w:t>
              <w:br/>
              <w:br/>
              <w:t xml:space="preserve">      @@unique([projectId, version])</w:t>
              <w:br/>
              <w:t xml:space="preserve">      @@index([projectId, isCurrent])</w:t>
              <w:br/>
              <w:t xml:space="preserve">    }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720"/>
      </w:pPr>
      <w:r>
        <w:rPr>
          <w:b/>
          <w:sz w:val="21"/>
        </w:rPr>
        <w:t>Proposed Non-Destructive Target Extension for DEMO-11 (Decimal Migration &amp; Commercial Link)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// Proposed Non-Destructive Target Extension:</w:t>
              <w:br/>
              <w:t xml:space="preserve">    // Preserves all existing operational fields (startDate, endDate, plannedMandays, createdBy, changeRequest)</w:t>
              <w:br/>
              <w:t xml:space="preserve">    // while migrating financial fields Float -&gt; Decimal(15, 2) and adding CommercialBudgetRevision link.</w:t>
              <w:br/>
              <w:t xml:space="preserve">    model ProjectBaseline {</w:t>
              <w:br/>
              <w:t xml:space="preserve">      id                         String                @id @default(cuid())</w:t>
              <w:br/>
              <w:t xml:space="preserve">      projectId                  String</w:t>
              <w:br/>
              <w:t xml:space="preserve">      project                    Project               @relation(fields: [projectId], references: [id], onDelete: Cascade)</w:t>
              <w:br/>
              <w:t xml:space="preserve">      version                    Int                   @default(1)</w:t>
              <w:br/>
              <w:t xml:space="preserve">      source                     ProjectBaselineSource @default(ACTIVATION)</w:t>
              <w:br/>
              <w:t xml:space="preserve">      changeRequestId            String?               @unique // Idempotency: 1 CR -&gt; 1 Baseline</w:t>
              <w:br/>
              <w:t xml:space="preserve">      changeRequest              ChangeRequest?        @relation("BaselineChangeRequest", fields: [changeRequestId], references: [id])</w:t>
              <w:br/>
              <w:t xml:space="preserve">      startDate                  DateTime?             // Preserved from c7080af</w:t>
              <w:br/>
              <w:t xml:space="preserve">      endDate                    DateTime?             // Preserved from c7080af</w:t>
              <w:br/>
              <w:t xml:space="preserve">      plannedMandays             Decimal               @default(0) @db.Decimal(8, 2) // Migrated Float -&gt; Decimal (deterministic effort precision)</w:t>
              <w:br/>
              <w:t xml:space="preserve">      estimatedCost              Decimal               @default(0) @db.Decimal(15, 2) // Migrated Float -&gt; Decimal</w:t>
              <w:br/>
              <w:t xml:space="preserve">      contractValue              Decimal               @default(0) @db.Decimal(15, 2) // Migrated Float -&gt; Decimal</w:t>
              <w:br/>
              <w:t xml:space="preserve">      commercialBudgetRevisionId String?</w:t>
              <w:br/>
              <w:t xml:space="preserve">      commercialBudgetRevision   CommercialBudgetRevision? @relation(fields: [commercialBudgetRevisionId], references: [id])</w:t>
              <w:br/>
              <w:t xml:space="preserve">      approvedById               String?</w:t>
              <w:br/>
              <w:t xml:space="preserve">      approvedBy                 User?                 @relation("BaselineApprover", fields: [approvedById], references: [id])</w:t>
              <w:br/>
              <w:t xml:space="preserve">      approvedAt                 DateTime?</w:t>
              <w:br/>
              <w:t xml:space="preserve">      scopeSummary               String?</w:t>
              <w:br/>
              <w:t xml:space="preserve">      createdById                String?               // Preserved from c7080af</w:t>
              <w:br/>
              <w:t xml:space="preserve">      createdBy                  User?                 @relation("ProjectBaselineCreator", fields: [createdById], references: [id])</w:t>
              <w:br/>
              <w:t xml:space="preserve">      createdAt                  DateTime              @default(now())</w:t>
              <w:br/>
              <w:br/>
              <w:t xml:space="preserve">      @@unique([projectId, version])</w:t>
              <w:br/>
              <w:t xml:space="preserve">    }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720"/>
      </w:pPr>
      <w:r>
        <w:rPr>
          <w:b/>
          <w:sz w:val="21"/>
        </w:rPr>
        <w:t>Authoritative Monetary Decimal Serialization &amp; Migration Policy</w:t>
      </w:r>
      <w:r>
        <w:rPr>
          <w:sz w:val="21"/>
        </w:rPr>
        <w:t>:</w:t>
      </w:r>
    </w:p>
    <w:p>
      <w:pPr>
        <w:pStyle w:val="ListBullet"/>
        <w:spacing w:after="60" w:before="0"/>
        <w:ind w:left="1080"/>
      </w:pPr>
      <w:r>
        <w:rPr>
          <w:i/>
          <w:sz w:val="21"/>
        </w:rPr>
        <w:t>Monetary Decimal Serialization</w:t>
      </w:r>
      <w:r>
        <w:rPr>
          <w:sz w:val="21"/>
        </w:rPr>
        <w:t xml:space="preserve">: Monetary </w:t>
      </w:r>
      <w:r>
        <w:rPr>
          <w:rFonts w:ascii="Consolas" w:hAnsi="Consolas"/>
          <w:sz w:val="21"/>
        </w:rPr>
        <w:t>Decimal</w:t>
      </w:r>
      <w:r>
        <w:rPr>
          <w:sz w:val="21"/>
        </w:rPr>
        <w:t xml:space="preserve"> values are serialized across REST APIs as </w:t>
      </w:r>
      <w:r>
        <w:rPr>
          <w:b/>
          <w:sz w:val="21"/>
        </w:rPr>
        <w:t>canonical decimal strings</w:t>
      </w:r>
      <w:r>
        <w:rPr>
          <w:sz w:val="21"/>
        </w:rPr>
        <w:t xml:space="preserve"> (e.g. </w:t>
      </w:r>
      <w:r>
        <w:rPr>
          <w:rFonts w:ascii="Consolas" w:hAnsi="Consolas"/>
          <w:sz w:val="21"/>
        </w:rPr>
        <w:t>"150000000.00"</w:t>
      </w:r>
      <w:r>
        <w:rPr>
          <w:sz w:val="21"/>
        </w:rPr>
        <w:t>) or integer minor units where explicitly required by banking interfaces. JavaScript floating-point numbers must NOT be used for authoritative monetary calculations to prevent precision corruption.</w:t>
      </w:r>
    </w:p>
    <w:p>
      <w:pPr>
        <w:pStyle w:val="ListBullet"/>
        <w:spacing w:after="60" w:before="0"/>
        <w:ind w:left="1080"/>
      </w:pPr>
      <w:r>
        <w:rPr>
          <w:i/>
          <w:sz w:val="21"/>
        </w:rPr>
        <w:t>plannedMandays Effort Precision</w:t>
      </w:r>
      <w:r>
        <w:rPr>
          <w:sz w:val="21"/>
        </w:rPr>
        <w:t xml:space="preserve">: </w:t>
      </w:r>
      <w:r>
        <w:rPr>
          <w:rFonts w:ascii="Consolas" w:hAnsi="Consolas"/>
          <w:sz w:val="21"/>
        </w:rPr>
        <w:t>plannedMandays</w:t>
      </w:r>
      <w:r>
        <w:rPr>
          <w:sz w:val="21"/>
        </w:rPr>
        <w:t xml:space="preserve"> is typed as </w:t>
      </w:r>
      <w:r>
        <w:rPr>
          <w:rFonts w:ascii="Consolas" w:hAnsi="Consolas"/>
          <w:sz w:val="21"/>
        </w:rPr>
        <w:t>Decimal(8, 2)</w:t>
      </w:r>
      <w:r>
        <w:rPr>
          <w:sz w:val="21"/>
        </w:rPr>
        <w:t xml:space="preserve"> for deterministic manday effort tracking and variance calculations.</w:t>
      </w:r>
    </w:p>
    <w:p>
      <w:pPr>
        <w:pStyle w:val="ListBullet"/>
        <w:spacing w:after="60" w:before="0"/>
        <w:ind w:left="1080"/>
      </w:pPr>
      <w:r>
        <w:rPr>
          <w:i/>
          <w:sz w:val="21"/>
        </w:rPr>
        <w:t>Data Conversion</w:t>
      </w:r>
      <w:r>
        <w:rPr>
          <w:sz w:val="21"/>
        </w:rPr>
        <w:t xml:space="preserve">: Database migration converts existing </w:t>
      </w:r>
      <w:r>
        <w:rPr>
          <w:rFonts w:ascii="Consolas" w:hAnsi="Consolas"/>
          <w:sz w:val="21"/>
        </w:rPr>
        <w:t>Float</w:t>
      </w:r>
      <w:r>
        <w:rPr>
          <w:sz w:val="21"/>
        </w:rPr>
        <w:t xml:space="preserve"> rows to </w:t>
      </w:r>
      <w:r>
        <w:rPr>
          <w:rFonts w:ascii="Consolas" w:hAnsi="Consolas"/>
          <w:sz w:val="21"/>
        </w:rPr>
        <w:t>Decimal(15, 2)</w:t>
      </w:r>
      <w:r>
        <w:rPr>
          <w:sz w:val="21"/>
        </w:rPr>
        <w:t xml:space="preserve"> using standard half-up rounding: </w:t>
      </w:r>
      <w:r>
        <w:rPr>
          <w:rFonts w:ascii="Consolas" w:hAnsi="Consolas"/>
          <w:sz w:val="21"/>
        </w:rPr>
        <w:t>ROUND(contractValue::numeric, 2)</w:t>
      </w:r>
      <w:r>
        <w:rPr>
          <w:sz w:val="21"/>
        </w:rPr>
        <w:t>.</w:t>
      </w:r>
    </w:p>
    <w:p>
      <w:pPr>
        <w:pStyle w:val="ListBullet"/>
        <w:spacing w:after="60" w:before="0"/>
        <w:ind w:left="1080"/>
      </w:pPr>
      <w:r>
        <w:rPr>
          <w:i/>
          <w:sz w:val="21"/>
        </w:rPr>
        <w:t>Legacy Migration Acceptance Criteria</w:t>
      </w:r>
      <w:r>
        <w:rPr>
          <w:sz w:val="21"/>
        </w:rPr>
        <w:t>: (1) Backfill initial baseline for active legacy projects lacking a baseline; (2) Detect and repair projects with zero active baselines; (3) Reconcile legacy multiple-current records prior to applying the PostgreSQL partial unique index.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PostgreSQL Partial Unique Index DDL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CREATE UNIQUE INDEX one_current_baseline_per_project </w:t>
              <w:br/>
              <w:t xml:space="preserve">    ON "ProjectBaseline" ("projectId") </w:t>
              <w:br/>
              <w:t xml:space="preserve">    WHERE "isCurrent" = true;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[SOURCE: AUTHOR REVIEW 6 - ITEM #1]</w:t>
      </w:r>
      <w:r>
        <w:rPr>
          <w:sz w:val="21"/>
        </w:rPr>
        <w:t xml:space="preserve"> </w:t>
      </w:r>
      <w:r>
        <w:rPr>
          <w:b/>
          <w:sz w:val="21"/>
        </w:rPr>
        <w:t>Atomic &amp; Idempotent Baseline Synchronization Function with Preserved Retry Ordering (Example)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type BaselineSyncOptions =</w:t>
              <w:br/>
              <w:t xml:space="preserve">      | { source: "ACTIVATION"; changeRequestId?: never }</w:t>
              <w:br/>
              <w:t xml:space="preserve">      | { source: "CHANGE_REQUEST"; changeRequestId: string };</w:t>
              <w:br/>
              <w:br/>
              <w:t xml:space="preserve">    async function syncProjectBaselineFromCommercial(</w:t>
              <w:br/>
              <w:t xml:space="preserve">      tx: Prisma.TransactionClient, </w:t>
              <w:br/>
              <w:t xml:space="preserve">      projectId: string, </w:t>
              <w:br/>
              <w:t xml:space="preserve">      budgetRevision: CommercialBudgetRevision, </w:t>
              <w:br/>
              <w:t xml:space="preserve">      options: BaselineSyncOptions</w:t>
              <w:br/>
              <w:t xml:space="preserve">    ) {</w:t>
              <w:br/>
              <w:t xml:space="preserve">      // 1. Acquire per-project transaction advisory lock using tagged template literal</w:t>
              <w:br/>
              <w:t xml:space="preserve">      await tx.$executeRaw`SELECT pg_advisory_xact_lock(hashtext(${projectId}))`;</w:t>
              <w:br/>
              <w:br/>
              <w:t xml:space="preserve">      // 2. Idempotent check for ACTIVATION: return existing baseline if already activated</w:t>
              <w:br/>
              <w:t xml:space="preserve">      if (options.source === "ACTIVATION") {</w:t>
              <w:br/>
              <w:t xml:space="preserve">        const existingActivation = await tx.projectBaseline.findFirst({</w:t>
              <w:br/>
              <w:t xml:space="preserve">          where: { projectId, source: "ACTIVATION" }</w:t>
              <w:br/>
              <w:t xml:space="preserve">        });</w:t>
              <w:br/>
              <w:t xml:space="preserve">        if (existingActivation) {</w:t>
              <w:br/>
              <w:t xml:space="preserve">          return existingActivation; // Idempotently return existing baseline</w:t>
              <w:br/>
              <w:t xml:space="preserve">        }</w:t>
              <w:br/>
              <w:t xml:space="preserve">      }</w:t>
              <w:br/>
              <w:br/>
              <w:t xml:space="preserve">      // 3. Idempotent check and validation for CHANGE_REQUEST</w:t>
              <w:br/>
              <w:t xml:space="preserve">      if (options.source === "CHANGE_REQUEST") {</w:t>
              <w:br/>
              <w:t xml:space="preserve">        if (!options.changeRequestId) {</w:t>
              <w:br/>
              <w:t xml:space="preserve">          throw new Error("CHANGE_REQUEST_ID_REQUIRED: A change request baseline requires a valid changeRequestId.");</w:t>
              <w:br/>
              <w:t xml:space="preserve">        }</w:t>
              <w:br/>
              <w:br/>
              <w:t xml:space="preserve">        // STEP 3A: Check existing baseline FIRST to preserve retry safety after CR is APPLIED</w:t>
              <w:br/>
              <w:t xml:space="preserve">        const existingCRBaseline = await tx.projectBaseline.findUnique({</w:t>
              <w:br/>
              <w:t xml:space="preserve">          where: { changeRequestId: options.changeRequestId }</w:t>
              <w:br/>
              <w:t xml:space="preserve">        });</w:t>
              <w:br/>
              <w:t xml:space="preserve">        if (existingCRBaseline) {</w:t>
              <w:br/>
              <w:t xml:space="preserve">          if (existingCRBaseline.projectId !== projectId) {</w:t>
              <w:br/>
              <w:t xml:space="preserve">            throw new Error("CHANGE_REQUEST_BASELINE_PROJECT_MISMATCH: Baseline project ID does not match.");</w:t>
              <w:br/>
              <w:t xml:space="preserve">          }</w:t>
              <w:br/>
              <w:t xml:space="preserve">          return existingCRBaseline; // Idempotently return existing CR baseline</w:t>
              <w:br/>
              <w:t xml:space="preserve">        }</w:t>
              <w:br/>
              <w:br/>
              <w:t xml:space="preserve">        // STEP 3B: If baseline does not exist yet, require APPROVED status</w:t>
              <w:br/>
              <w:t xml:space="preserve">        const approvedChangeRequest = await tx.changeRequest.findFirst({</w:t>
              <w:br/>
              <w:t xml:space="preserve">          where: { </w:t>
              <w:br/>
              <w:t xml:space="preserve">            id: options.changeRequestId, </w:t>
              <w:br/>
              <w:t xml:space="preserve">            projectId, </w:t>
              <w:br/>
              <w:t xml:space="preserve">            status: "APPROVED" </w:t>
              <w:br/>
              <w:t xml:space="preserve">          }</w:t>
              <w:br/>
              <w:t xml:space="preserve">        });</w:t>
              <w:br/>
              <w:t xml:space="preserve">        if (!approvedChangeRequest) {</w:t>
              <w:br/>
              <w:t xml:space="preserve">          throw new Error("INVALID_CHANGE_REQUEST: Change request must belong to this project and be APPROVED.");</w:t>
              <w:br/>
              <w:t xml:space="preserve">        }</w:t>
              <w:br/>
              <w:t xml:space="preserve">      }</w:t>
              <w:br/>
              <w:br/>
              <w:t xml:space="preserve">      // 4. Archive current baseline in the same atomic transaction</w:t>
              <w:br/>
              <w:t xml:space="preserve">      await tx.projectBaseline.updateMany({</w:t>
              <w:br/>
              <w:t xml:space="preserve">        where: { projectId, isCurrent: true },</w:t>
              <w:br/>
              <w:t xml:space="preserve">        data: { isCurrent: false }</w:t>
              <w:br/>
              <w:t xml:space="preserve">      });</w:t>
              <w:br/>
              <w:br/>
              <w:t xml:space="preserve">      // 5. Fetch latest version number</w:t>
              <w:br/>
              <w:t xml:space="preserve">      const latest = await tx.projectBaseline.findFirst({</w:t>
              <w:br/>
              <w:t xml:space="preserve">        where: { projectId },</w:t>
              <w:br/>
              <w:t xml:space="preserve">        orderBy: { version: 'desc' }</w:t>
              <w:br/>
              <w:t xml:space="preserve">      });</w:t>
              <w:br/>
              <w:t xml:space="preserve">      const nextVersion = latest ? latest.version + 1 : 1;</w:t>
              <w:br/>
              <w:br/>
              <w:t xml:space="preserve">      // 6. Create new current baseline using string template literal</w:t>
              <w:br/>
              <w:t xml:space="preserve">      return await tx.projectBaseline.create({</w:t>
              <w:br/>
              <w:t xml:space="preserve">        data: {</w:t>
              <w:br/>
              <w:t xml:space="preserve">          projectId,</w:t>
              <w:br/>
              <w:t xml:space="preserve">          version: nextVersion,</w:t>
              <w:br/>
              <w:t xml:space="preserve">          source: options.source,</w:t>
              <w:br/>
              <w:t xml:space="preserve">          contractValue: budgetRevision.dppAmount,</w:t>
              <w:br/>
              <w:t xml:space="preserve">          estimatedCost: budgetRevision.totalCost,</w:t>
              <w:br/>
              <w:t xml:space="preserve">          isCurrent: true,</w:t>
              <w:br/>
              <w:t xml:space="preserve">          commercialBudgetRevisionId: budgetRevision.id,</w:t>
              <w:br/>
              <w:t xml:space="preserve">          changeRequestId: options.source === "CHANGE_REQUEST" ? options.changeRequestId : null,</w:t>
              <w:br/>
              <w:t xml:space="preserve">          approvedById: budgetRevision.approvedById,</w:t>
              <w:br/>
              <w:t xml:space="preserve">          approvedAt: budgetRevision.approvedAt || new Date(),</w:t>
              <w:br/>
              <w:t xml:space="preserve">          scopeSummary: `Auto-synced from Commercial Budget Revision v${budgetRevision.version}`</w:t>
              <w:br/>
              <w:t xml:space="preserve">        }</w:t>
              <w:br/>
              <w:t xml:space="preserve">      });</w:t>
              <w:br/>
              <w:t xml:space="preserve">    }</w:t>
            </w:r>
          </w:p>
        </w:tc>
      </w:tr>
    </w:tbl>
    <w:p>
      <w:pPr>
        <w:spacing w:after="8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🔄 Category 8: External CRM &amp; Inbound Data Ingestion (`DEMO-07`)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19: Dedicated Pipedrive Product Mapping &amp; Inbound Sync Directionality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"Pipedrive Person/Product/Cost mappings?"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"How are Pipedrive Person, Product, and Cost fields mapped into SPH?"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Pipedrive Person becomes a Client Contact; Product maps through an explicit mapping table to an Offering. SPH connects to a single official Pipedrive instance.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8.0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Map Pipedrive Organizations to </w:t>
            </w:r>
            <w:r>
              <w:rPr>
                <w:rFonts w:ascii="Consolas" w:hAnsi="Consolas"/>
                <w:sz w:val="21"/>
              </w:rPr>
              <w:t>Client</w:t>
            </w:r>
            <w:r>
              <w:rPr>
                <w:sz w:val="21"/>
              </w:rPr>
              <w:t xml:space="preserve"> and Persons to </w:t>
            </w:r>
            <w:r>
              <w:rPr>
                <w:rFonts w:ascii="Consolas" w:hAnsi="Consolas"/>
                <w:sz w:val="21"/>
              </w:rPr>
              <w:t>ClientContact</w:t>
            </w:r>
            <w:r>
              <w:rPr>
                <w:sz w:val="21"/>
              </w:rPr>
              <w:t xml:space="preserve">. </w:t>
            </w:r>
            <w:r>
              <w:rPr>
                <w:b/>
                <w:color w:val="102C57"/>
                <w:sz w:val="21"/>
              </w:rPr>
              <w:t>Decision 8.0b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>: SPH operates against a Single Authoritative Pipedrive Connection (</w:t>
            </w:r>
            <w:r>
              <w:rPr>
                <w:rFonts w:ascii="Consolas" w:hAnsi="Consolas"/>
                <w:sz w:val="21"/>
              </w:rPr>
              <w:t>connectionKey = "DEFAULT"</w:t>
            </w:r>
            <w:r>
              <w:rPr>
                <w:sz w:val="21"/>
              </w:rPr>
              <w:t xml:space="preserve">), while implementing composite uniqueness </w:t>
            </w:r>
            <w:r>
              <w:rPr>
                <w:rFonts w:ascii="Consolas" w:hAnsi="Consolas"/>
                <w:sz w:val="21"/>
              </w:rPr>
              <w:t>@@unique([connectionKey, pipedriveId])</w:t>
            </w:r>
            <w:r>
              <w:rPr>
                <w:sz w:val="21"/>
              </w:rPr>
              <w:t xml:space="preserve"> on </w:t>
            </w:r>
            <w:r>
              <w:rPr>
                <w:rFonts w:ascii="Consolas" w:hAnsi="Consolas"/>
                <w:sz w:val="21"/>
              </w:rPr>
              <w:t>PipedriveProductMapping</w:t>
            </w:r>
            <w:r>
              <w:rPr>
                <w:sz w:val="21"/>
              </w:rPr>
              <w:t xml:space="preserve">. Unknown products route to a CRM review queue. Designate Pipedrive product sync as a </w:t>
            </w:r>
            <w:r>
              <w:rPr>
                <w:b/>
                <w:color w:val="102C57"/>
                <w:sz w:val="21"/>
              </w:rPr>
              <w:t>Target Design (Not Yet Implemented)</w:t>
            </w:r>
            <w:r>
              <w:rPr>
                <w:sz w:val="21"/>
              </w:rPr>
              <w:t xml:space="preserve">. </w:t>
            </w:r>
            <w:r>
              <w:rPr>
                <w:i/>
                <w:sz w:val="21"/>
              </w:rPr>
              <w:t>(Source: Author Review 2 - Item #8)</w:t>
            </w:r>
          </w:p>
        </w:tc>
      </w:tr>
    </w:tbl>
    <w:p>
      <w:pPr>
        <w:spacing w:after="8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🔒 Category 9: Project Client Attribution Lock &amp; Corrections (`DEMO-12`)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20: Project Client Attribution Lock (Phase 1 Built vs. Phase 2 Design)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"Client attribution correction sebelum/after invoice?"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"How is client attribution corrected before vs. after invoice generation?"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You cannot change which Client owns a Project (</w:t>
      </w:r>
      <w:r>
        <w:rPr>
          <w:rFonts w:ascii="Consolas" w:hAnsi="Consolas"/>
          <w:sz w:val="21"/>
        </w:rPr>
        <w:t>Project.clientId</w:t>
      </w:r>
      <w:r>
        <w:rPr>
          <w:sz w:val="21"/>
        </w:rPr>
        <w:t xml:space="preserve"> is locked). If there's a typo in the client name, edit </w:t>
      </w:r>
      <w:r>
        <w:rPr>
          <w:rFonts w:ascii="Consolas" w:hAnsi="Consolas"/>
          <w:sz w:val="21"/>
        </w:rPr>
        <w:t>Client.name</w:t>
      </w:r>
      <w:r>
        <w:rPr>
          <w:sz w:val="21"/>
        </w:rPr>
        <w:t xml:space="preserve"> directly. If the wrong client was assigned before invoicing, PMO and Finance must both approve an exception. After invoicing, you must void and reissue through Xero.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9.0 (DEMO-12 Phase 1)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[APPROVED / IMPLEMENTED]</w:t>
            </w:r>
            <w:r>
              <w:rPr>
                <w:sz w:val="21"/>
              </w:rPr>
              <w:t xml:space="preserve">: </w:t>
            </w:r>
            <w:r>
              <w:rPr>
                <w:b/>
                <w:color w:val="102C57"/>
                <w:sz w:val="21"/>
              </w:rPr>
              <w:t>Permanently lock `Project.clientId`</w:t>
            </w:r>
            <w:r>
              <w:rPr>
                <w:sz w:val="21"/>
              </w:rPr>
              <w:t xml:space="preserve"> across all roles once created or converted. Re-submitting the identical </w:t>
            </w:r>
            <w:r>
              <w:rPr>
                <w:rFonts w:ascii="Consolas" w:hAnsi="Consolas"/>
                <w:sz w:val="21"/>
              </w:rPr>
              <w:t>clientId</w:t>
            </w:r>
            <w:r>
              <w:rPr>
                <w:sz w:val="21"/>
              </w:rPr>
              <w:t xml:space="preserve"> is accepted for backward compatibility. Direct mutation attempts are rejected with error </w:t>
            </w:r>
            <w:r>
              <w:rPr>
                <w:rFonts w:ascii="Consolas" w:hAnsi="Consolas"/>
                <w:sz w:val="21"/>
              </w:rPr>
              <w:t>CLIENT_ATTRIBUTION_LOCKED</w:t>
            </w:r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"Client attribution cannot be changed after project creation."</w:t>
            </w:r>
            <w:r>
              <w:rPr>
                <w:sz w:val="21"/>
              </w:rPr>
              <w:t xml:space="preserve">). UI displays Client as read-only. </w:t>
            </w:r>
            <w:r>
              <w:rPr>
                <w:i/>
                <w:sz w:val="21"/>
              </w:rPr>
              <w:t>(Source: Implemented in Codebase c7080af)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Decision 9.0b (DEMO-12 Phase 2)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Establish a formal </w:t>
            </w:r>
            <w:r>
              <w:rPr>
                <w:b/>
                <w:color w:val="102C57"/>
                <w:sz w:val="21"/>
              </w:rPr>
              <w:t>Dual-Approval State Machine (`ClientAttributionCorrection`)</w:t>
            </w:r>
            <w:r>
              <w:rPr>
                <w:sz w:val="21"/>
              </w:rPr>
              <w:t xml:space="preserve"> requiring independent sign-offs from both </w:t>
            </w:r>
            <w:r>
              <w:rPr>
                <w:b/>
                <w:color w:val="102C57"/>
                <w:sz w:val="21"/>
              </w:rPr>
              <w:t>PMO (`MANAGEMENT`)</w:t>
            </w:r>
            <w:r>
              <w:rPr>
                <w:sz w:val="21"/>
              </w:rPr>
              <w:t xml:space="preserve"> AND </w:t>
            </w:r>
            <w:r>
              <w:rPr>
                <w:b/>
                <w:color w:val="102C57"/>
                <w:sz w:val="21"/>
              </w:rPr>
              <w:t>`FINANCE`</w:t>
            </w:r>
            <w:r>
              <w:rPr>
                <w:sz w:val="21"/>
              </w:rPr>
              <w:t xml:space="preserve"> with explicit statuses (</w:t>
            </w:r>
            <w:r>
              <w:rPr>
                <w:rFonts w:ascii="Consolas" w:hAnsi="Consolas"/>
                <w:sz w:val="21"/>
              </w:rPr>
              <w:t>pmoStatus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financeStatus</w:t>
            </w:r>
            <w:r>
              <w:rPr>
                <w:sz w:val="21"/>
              </w:rPr>
              <w:t xml:space="preserve">), timestamps, rejection reasons, and an </w:t>
            </w:r>
            <w:r>
              <w:rPr>
                <w:rFonts w:ascii="Consolas" w:hAnsi="Consolas"/>
                <w:sz w:val="21"/>
              </w:rPr>
              <w:t>executedBy</w:t>
            </w:r>
            <w:r>
              <w:rPr>
                <w:sz w:val="21"/>
              </w:rPr>
              <w:t xml:space="preserve"> user relation. </w:t>
            </w:r>
            <w:r>
              <w:rPr>
                <w:i/>
                <w:sz w:val="21"/>
              </w:rPr>
              <w:t>(Source: Author Review 2 - Item #7)</w:t>
            </w:r>
          </w:p>
        </w:tc>
      </w:tr>
    </w:tbl>
    <w:p>
      <w:pPr>
        <w:spacing w:after="8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📦 Category 10: Data Migration &amp; Backward Compatibility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21: Direct-Write Compatibility &amp; Retention Policy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"Retention period untuk compatibility fields?"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"What is the retention period for legacy compatibility fields?"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Keep the old text fields (like free-text contact and industry) for 6 months (2 major release cycles) while data is cleaned up, then safely remove them.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10.1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>: Retain legacy scalar columns (</w:t>
            </w:r>
            <w:r>
              <w:rPr>
                <w:rFonts w:ascii="Consolas" w:hAnsi="Consolas"/>
                <w:sz w:val="21"/>
              </w:rPr>
              <w:t>Lead.contactName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Lead.industry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Client.industry</w:t>
            </w:r>
            <w:r>
              <w:rPr>
                <w:sz w:val="21"/>
              </w:rPr>
              <w:t xml:space="preserve">) as nullable shadow fields for a </w:t>
            </w:r>
            <w:r>
              <w:rPr>
                <w:b/>
                <w:color w:val="102C57"/>
                <w:sz w:val="21"/>
              </w:rPr>
              <w:t>6-month / 2-release deprecation grace period</w:t>
            </w:r>
            <w:r>
              <w:rPr>
                <w:sz w:val="21"/>
              </w:rPr>
              <w:t xml:space="preserve">. </w:t>
            </w:r>
            <w:r>
              <w:rPr>
                <w:b/>
                <w:color w:val="102C57"/>
                <w:sz w:val="21"/>
              </w:rPr>
              <w:t>Decision 10.1b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</w:t>
            </w:r>
            <w:r>
              <w:rPr>
                <w:b/>
                <w:color w:val="102C57"/>
                <w:sz w:val="21"/>
              </w:rPr>
              <w:t>Explicit Direct-Write Policy</w:t>
            </w:r>
            <w:r>
              <w:rPr>
                <w:sz w:val="21"/>
              </w:rPr>
              <w:t xml:space="preserve">. All external integrations MUST use the REST API. Direct database writes for legacy tools require PostgreSQL triggers or scheduled batch reconciliation scripts. Unmapped free-text strings route to the </w:t>
            </w:r>
            <w:r>
              <w:rPr>
                <w:rFonts w:ascii="Consolas" w:hAnsi="Consolas"/>
                <w:sz w:val="21"/>
              </w:rPr>
              <w:t>UNCLASSIFIED</w:t>
            </w:r>
            <w:r>
              <w:rPr>
                <w:sz w:val="21"/>
              </w:rPr>
              <w:t xml:space="preserve"> review queue, never auto-creating master rows. </w:t>
            </w:r>
            <w:r>
              <w:rPr>
                <w:i/>
                <w:sz w:val="21"/>
              </w:rPr>
              <w:t>(Source: Author Review 1 - Revision #11)</w:t>
            </w:r>
          </w:p>
        </w:tc>
      </w:tr>
    </w:tbl>
    <w:p>
      <w:pPr>
        <w:spacing w:after="80" w:before="0"/>
      </w:pP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3. Comprehensive FSD Traceability Matrix (DEMO-01 to DEMO-12)</w:t>
      </w:r>
    </w:p>
    <w:p>
      <w:pPr>
        <w:spacing w:after="100" w:before="40"/>
      </w:pPr>
      <w:r>
        <w:rPr>
          <w:sz w:val="21"/>
        </w:rPr>
        <w:t>The matrix below maps all 12 WRICEF Functional Specification Documents with verified decision references and granular sub-feature implementation statuses.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EAECF0"/>
          <w:insideV w:val="none"/>
          <w:left w:val="none"/>
          <w:right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FSD Code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FSD Title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Decision References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Target Model / API Route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Implementation Status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Test / Evidence Status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Upstream Dependencies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Primary Acceptance Criteria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`DEMO-01`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Industry Sector Classification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Decisions 1.1, 1.2, 1.3, 1.4, 1.5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IndustrySector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LeadSector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ClientSector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DB Migration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🔄 1–5 sectors mandatory at </w:t>
            </w:r>
            <w:r>
              <w:rPr>
                <w:rFonts w:ascii="Consolas" w:hAnsi="Consolas"/>
                <w:sz w:val="19"/>
              </w:rPr>
              <w:t>QUALIFIED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PROPOSAL</w:t>
            </w:r>
            <w:r>
              <w:rPr>
                <w:sz w:val="19"/>
              </w:rPr>
              <w:t>; newly added sectors must be active; existing inactive valid; exactly one primary sector through a partial unique index enforcing at most one and transactional application validation enforcing at least one whenever sector assignments exist.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`DEMO-02`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Offering Catalog &amp; Workstreams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Decision 6.1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OfferingCatalog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LeadOffering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ProjectWorkstream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DEMO-04</w:t>
            </w:r>
            <w:r>
              <w:rPr>
                <w:sz w:val="19"/>
              </w:rPr>
              <w:t xml:space="preserve"> (BU)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Offering lines create corresponding </w:t>
            </w:r>
            <w:r>
              <w:rPr>
                <w:rFonts w:ascii="Consolas" w:hAnsi="Consolas"/>
                <w:sz w:val="19"/>
              </w:rPr>
              <w:t>ProjectWorkstream</w:t>
            </w:r>
            <w:r>
              <w:rPr>
                <w:sz w:val="19"/>
              </w:rPr>
              <w:t xml:space="preserve"> on project conversion.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`DEMO-03`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Client Management &amp; Contacts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 1.3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Client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ClientContact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Base Auth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Point-in-time contact snapshot; scalar contact fallback for unregistered leads.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`DEMO-04`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Business Unit &amp; Principal Routing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Decisions 2.1, 2.2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BusinessUnit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BusinessUnitPrincipal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LeadSupportingBusinessUnit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Base Users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Single Primary BU; normalized supporting BU junction table; </w:t>
            </w:r>
            <w:r>
              <w:rPr>
                <w:rFonts w:ascii="Consolas" w:hAnsi="Consolas"/>
                <w:sz w:val="19"/>
              </w:rPr>
              <w:t>MANAGEMENT</w:t>
            </w:r>
            <w:r>
              <w:rPr>
                <w:sz w:val="19"/>
              </w:rPr>
              <w:t xml:space="preserve"> fallback routing.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`DEMO-05`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Deal Types, Lineage &amp; NRR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Decisions 3.1, 3.2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LeadType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Lead.parentProjectId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Project</w:t>
            </w:r>
            <w:r>
              <w:rPr>
                <w:sz w:val="19"/>
              </w:rPr>
              <w:t xml:space="preserve"> Master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Strict Project-only parentage for </w:t>
            </w:r>
            <w:r>
              <w:rPr>
                <w:rFonts w:ascii="Consolas" w:hAnsi="Consolas"/>
                <w:sz w:val="19"/>
              </w:rPr>
              <w:t>RENEWAL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UP_SELL</w:t>
            </w:r>
            <w:r>
              <w:rPr>
                <w:sz w:val="19"/>
              </w:rPr>
              <w:t>; cohort ARR retention formula.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`DEMO-06`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Sequential Lead Numbering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Decisions 3.3, 3.3b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LeadNumberCounter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allocateNextLeadNumber(tx)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DB Sequence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Same-transaction allocation with </w:t>
            </w:r>
            <w:r>
              <w:rPr>
                <w:rFonts w:ascii="Consolas" w:hAnsi="Consolas"/>
                <w:sz w:val="19"/>
              </w:rPr>
              <w:t>tx.lead.create</w:t>
            </w:r>
            <w:r>
              <w:rPr>
                <w:sz w:val="19"/>
              </w:rPr>
              <w:t>; best-effort reconciliation only for ambiguous commit outcomes.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`DEMO-07`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Inbound CRM (Pipedrive) Sync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Decisions 8.0, 8.0b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PipedriveProductMapping</w:t>
            </w:r>
            <w:r>
              <w:rPr>
                <w:sz w:val="19"/>
              </w:rPr>
              <w:t>, Webhook handler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  <w:r>
              <w:rPr>
                <w:sz w:val="19"/>
              </w:rPr>
              <w:t xml:space="preserve">&lt;br&gt;• Basic Import: </w:t>
            </w:r>
            <w:r>
              <w:rPr>
                <w:rFonts w:ascii="Consolas" w:hAnsi="Consolas"/>
                <w:sz w:val="19"/>
              </w:rPr>
              <w:t>IMPLEMENTED</w:t>
            </w:r>
            <w:r>
              <w:rPr>
                <w:sz w:val="19"/>
              </w:rPr>
              <w:t xml:space="preserve">&lt;br&gt;• Converted Lock: </w:t>
            </w:r>
            <w:r>
              <w:rPr>
                <w:rFonts w:ascii="Consolas" w:hAnsi="Consolas"/>
                <w:sz w:val="19"/>
              </w:rPr>
              <w:t>IMPLEMENTED</w:t>
            </w:r>
            <w:r>
              <w:rPr>
                <w:sz w:val="19"/>
              </w:rPr>
              <w:t xml:space="preserve">&lt;br&gt;• Product Mapping: </w:t>
            </w: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DEMO-02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Single-instance connection key; quarantine review for unmapped products; converted leads locked from CRM overwrite.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`DEMO-08`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Sales Stage &amp; Probability Policy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Decisions 5.1, 5.2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LeadStage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Lead.probability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Base Stages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6 canonical stages; automated default win probability; audited manual overrides with reason.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`DEMO-09`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Presales Workspace &amp; CAC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Decisions 4.1, 4.2, 4.3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ProjectKind.PRESALES</w:t>
            </w:r>
            <w:r>
              <w:rPr>
                <w:sz w:val="19"/>
              </w:rPr>
              <w:t>, Timesheet CAC ledger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DEMO-04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Strictly opt-in at </w:t>
            </w:r>
            <w:r>
              <w:rPr>
                <w:rFonts w:ascii="Consolas" w:hAnsi="Consolas"/>
                <w:sz w:val="19"/>
              </w:rPr>
              <w:t>QUALIFIED</w:t>
            </w:r>
            <w:r>
              <w:rPr>
                <w:sz w:val="19"/>
              </w:rPr>
              <w:t>; presales hours isolated from delivery EVM/BAC.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`DEMO-10`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Margin Governance &amp; Finance SoD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Decisions 6.2, 6.3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CommercialBudgetRevision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calculateMargin()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DEMO-02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Configurable VAT snapshot (</w:t>
            </w:r>
            <w:r>
              <w:rPr>
                <w:rFonts w:ascii="Consolas" w:hAnsi="Consolas"/>
                <w:sz w:val="19"/>
              </w:rPr>
              <w:t>Decimal(5, 2)</w:t>
            </w:r>
            <w:r>
              <w:rPr>
                <w:sz w:val="19"/>
              </w:rPr>
              <w:t>); Separation of Duties (owner cannot approve); dual Management escalation for $&lt;20\%$.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`DEMO-11`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Project Baseline Auto-Sync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 7.0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ProjectBaseline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source: ACTIVATION / CHANGE_REQUEST</w:t>
            </w:r>
            <w:r>
              <w:rPr>
                <w:sz w:val="19"/>
              </w:rPr>
              <w:t>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  <w:r>
              <w:rPr>
                <w:sz w:val="19"/>
              </w:rPr>
              <w:t xml:space="preserve">&lt;br&gt;• Core Model: </w:t>
            </w:r>
            <w:r>
              <w:rPr>
                <w:rFonts w:ascii="Consolas" w:hAnsi="Consolas"/>
                <w:sz w:val="19"/>
              </w:rPr>
              <w:t>EXISTING</w:t>
            </w:r>
            <w:r>
              <w:rPr>
                <w:sz w:val="19"/>
              </w:rPr>
              <w:t xml:space="preserve">&lt;br&gt;• Activation Flow: </w:t>
            </w:r>
            <w:r>
              <w:rPr>
                <w:rFonts w:ascii="Consolas" w:hAnsi="Consolas"/>
                <w:sz w:val="19"/>
              </w:rPr>
              <w:t>EXISTING/PARTIAL</w:t>
            </w:r>
            <w:r>
              <w:rPr>
                <w:sz w:val="19"/>
              </w:rPr>
              <w:t xml:space="preserve">&lt;br&gt;• Commercial Auto-Sync: </w:t>
            </w: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DEMO-10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Partial unique index enforces at most one current baseline; atomic lifecycle validation and reconciliation ensure at least one for active delivery projects.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`DEMO-12 (P1)`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Project Client Attribution Hard Lock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Decision 9.0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PATCH /api/projects/:id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Live API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Project.clientId</w:t>
            </w:r>
            <w:r>
              <w:rPr>
                <w:sz w:val="19"/>
              </w:rPr>
              <w:t xml:space="preserve"> locked for all roles; returns </w:t>
            </w:r>
            <w:r>
              <w:rPr>
                <w:rFonts w:ascii="Consolas" w:hAnsi="Consolas"/>
                <w:sz w:val="19"/>
              </w:rPr>
              <w:t>CLIENT_ATTRIBUTION_LOCKED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409</w:t>
            </w:r>
            <w:r>
              <w:rPr>
                <w:sz w:val="19"/>
              </w:rPr>
              <w:t>); read-only UI.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`DEMO-12 (P2)`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Client Attribution Dual Approval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 9.0b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ClientAttributionCorrection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DEMO-12 (P1)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Dual independent sign-off from </w:t>
            </w:r>
            <w:r>
              <w:rPr>
                <w:rFonts w:ascii="Consolas" w:hAnsi="Consolas"/>
                <w:sz w:val="19"/>
              </w:rPr>
              <w:t>MANAGEMENT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sz w:val="19"/>
              </w:rPr>
              <w:t>FINANCE</w:t>
            </w:r>
            <w:r>
              <w:rPr>
                <w:sz w:val="19"/>
              </w:rPr>
              <w:t>; strictly blocked if invoice paid (requires Novation).</w:t>
            </w:r>
          </w:p>
        </w:tc>
      </w:tr>
    </w:tbl>
    <w:p>
      <w:pPr>
        <w:spacing w:after="120" w:before="0"/>
      </w:pP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4. Go/No-Go Compliance Matrix</w:t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🛑 10 NO-GO Pitfalls Evaluation (Section 18)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EAECF0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#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NO-GO Condition (Author Threat)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Decision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Design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Implementation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Test / Evidence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Target Safeguard &amp; Codebase Reality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Auto-spawn makes CLIENT OBSERVATION for every Lead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>: Opt-in restricted PRESALES workspace; zero auto-spawning on lead creation.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Lead ID preview treated as reserved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>: UI badge is non-authoritative; sequence allocated atomically on DB commit.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Lineage / contact validated in UI only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>: Multi-tenant isolation and same-client validation enforced server-side.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Approval is only a timestamp on mutable Lead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Immutable </w:t>
            </w:r>
            <w:r>
              <w:rPr>
                <w:rFonts w:ascii="Consolas" w:hAnsi="Consolas"/>
                <w:sz w:val="19"/>
              </w:rPr>
              <w:t>CommercialBudgetRevision</w:t>
            </w:r>
            <w:r>
              <w:rPr>
                <w:sz w:val="19"/>
              </w:rPr>
              <w:t xml:space="preserve"> hash binding; edits create new revisions.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Manual and Pipedrive margins calculate differently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Unified </w:t>
            </w:r>
            <w:r>
              <w:rPr>
                <w:rFonts w:ascii="Consolas" w:hAnsi="Consolas"/>
                <w:sz w:val="19"/>
              </w:rPr>
              <w:t>calculateMargin()</w:t>
            </w:r>
            <w:r>
              <w:rPr>
                <w:sz w:val="19"/>
              </w:rPr>
              <w:t xml:space="preserve"> engine shared across manual and CRM deals.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approve-margin auto-creates delivery Project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Approval only unlocks sales stages; delivery project created strictly on </w:t>
            </w:r>
            <w:r>
              <w:rPr>
                <w:rFonts w:ascii="Consolas" w:hAnsi="Consolas"/>
                <w:sz w:val="19"/>
              </w:rPr>
              <w:t>WON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New baseline engine outside ProjectBaseline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Reuses and extends existing </w:t>
            </w:r>
            <w:r>
              <w:rPr>
                <w:rFonts w:ascii="Consolas" w:hAnsi="Consolas"/>
                <w:sz w:val="19"/>
              </w:rPr>
              <w:t>ProjectBaseline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source: ACTIVATION / CHANGE_REQUEST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Client.name permanently frozen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APPROVED /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IMPLEMENTED</w:t>
            </w:r>
            <w:r>
              <w:rPr>
                <w:sz w:val="19"/>
              </w:rPr>
              <w:t xml:space="preserve"> (Phase 1)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TESTED</w:t>
            </w:r>
            <w:r>
              <w:rPr>
                <w:sz w:val="19"/>
              </w:rPr>
              <w:t xml:space="preserve"> (Phase 1)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Locks </w:t>
            </w:r>
            <w:r>
              <w:rPr>
                <w:rFonts w:ascii="Consolas" w:hAnsi="Consolas"/>
                <w:sz w:val="19"/>
              </w:rPr>
              <w:t>Project.clientId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CLIENT_ATTRIBUTION_LOCKED</w:t>
            </w:r>
            <w:r>
              <w:rPr>
                <w:sz w:val="19"/>
              </w:rPr>
              <w:t xml:space="preserve">) while keeping </w:t>
            </w:r>
            <w:r>
              <w:rPr>
                <w:rFonts w:ascii="Consolas" w:hAnsi="Consolas"/>
                <w:sz w:val="19"/>
              </w:rPr>
              <w:t>Client.name</w:t>
            </w:r>
            <w:r>
              <w:rPr>
                <w:sz w:val="19"/>
              </w:rPr>
              <w:t xml:space="preserve"> editable.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New fields mandatory before imports are ready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Optional at </w:t>
            </w:r>
            <w:r>
              <w:rPr>
                <w:rFonts w:ascii="Consolas" w:hAnsi="Consolas"/>
                <w:sz w:val="19"/>
              </w:rPr>
              <w:t>NEW</w:t>
            </w:r>
            <w:r>
              <w:rPr>
                <w:sz w:val="19"/>
              </w:rPr>
              <w:t xml:space="preserve"> stage; mandatory validation enforced at </w:t>
            </w:r>
            <w:r>
              <w:rPr>
                <w:rFonts w:ascii="Consolas" w:hAnsi="Consolas"/>
                <w:sz w:val="19"/>
              </w:rPr>
              <w:t>QUALIFIED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PROPOSAL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New Float fields without precision policy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Strict </w:t>
            </w:r>
            <w:r>
              <w:rPr>
                <w:rFonts w:ascii="Consolas" w:hAnsi="Consolas"/>
                <w:sz w:val="19"/>
              </w:rPr>
              <w:t>Decimal</w:t>
            </w:r>
            <w:r>
              <w:rPr>
                <w:sz w:val="19"/>
              </w:rPr>
              <w:t xml:space="preserve"> precision policy and explicit rounding rules.</w:t>
            </w:r>
          </w:p>
        </w:tc>
      </w:tr>
    </w:tbl>
    <w:p>
      <w:pPr>
        <w:spacing w:after="12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🟢 8 GO Prerequisites Evaluation (Section 18)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EAECF0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#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GO Prerequisite (Author Requirement)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Decision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Design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Implementation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Test / Evidence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Target Verification Scope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Domain decisions and role/security matrix approved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Complete role matrix and Separation of Duties (SoD)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Canonical models and immutable revision strategy accepted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Normalized models and versioned </w:t>
            </w:r>
            <w:r>
              <w:rPr>
                <w:rFonts w:ascii="Consolas" w:hAnsi="Consolas"/>
                <w:sz w:val="19"/>
              </w:rPr>
              <w:t>CommercialBudgetRevision</w:t>
            </w:r>
            <w:r>
              <w:rPr>
                <w:sz w:val="19"/>
              </w:rPr>
              <w:t xml:space="preserve">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Client/contact/lineage/BU constraints enforced server-side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Server-side validation middleware and Prisma transaction constraints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PRESALES workspace isolated and idempotent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Presales CAC isolated from delivery EVM, BAC, and billing milestones.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Pipedrive/CSV mappings have quarantine path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UNCLASSIFIED</w:t>
            </w:r>
            <w:r>
              <w:rPr>
                <w:sz w:val="19"/>
              </w:rPr>
              <w:t xml:space="preserve"> sector and </w:t>
            </w:r>
            <w:r>
              <w:rPr>
                <w:rFonts w:ascii="Consolas" w:hAnsi="Consolas"/>
                <w:sz w:val="19"/>
              </w:rPr>
              <w:t>UNVERIFIED</w:t>
            </w:r>
            <w:r>
              <w:rPr>
                <w:sz w:val="19"/>
              </w:rPr>
              <w:t xml:space="preserve"> margin quarantine workflows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Approval/conversion/baseline lifecycle atomic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Atomic conversion transaction and baseline auto-sync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Project.clientId lock and correction workflow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SATISFIED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  <w:r>
              <w:rPr>
                <w:sz w:val="19"/>
              </w:rPr>
              <w:t xml:space="preserve">&lt;br&gt;• Phase 1 Lock: </w:t>
            </w:r>
            <w:r>
              <w:rPr>
                <w:rFonts w:ascii="Consolas" w:hAnsi="Consolas"/>
                <w:sz w:val="19"/>
              </w:rPr>
              <w:t>IMPLEMENTED</w:t>
            </w:r>
            <w:r>
              <w:rPr>
                <w:sz w:val="19"/>
              </w:rPr>
              <w:t xml:space="preserve">&lt;br&gt;• Phase 2 Workflow: </w:t>
            </w: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TESTED</w:t>
            </w:r>
            <w:r>
              <w:rPr>
                <w:sz w:val="19"/>
              </w:rPr>
              <w:t xml:space="preserve">&lt;br&gt;• Phase 1 Lock: </w:t>
            </w:r>
            <w:r>
              <w:rPr>
                <w:rFonts w:ascii="Consolas" w:hAnsi="Consolas"/>
                <w:sz w:val="19"/>
              </w:rPr>
              <w:t>TESTED</w:t>
            </w:r>
            <w:r>
              <w:rPr>
                <w:sz w:val="19"/>
              </w:rPr>
              <w:t xml:space="preserve">&lt;br&gt;• Phase 2 Workflow: </w:t>
            </w: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Hard lock (</w:t>
            </w:r>
            <w:r>
              <w:rPr>
                <w:rFonts w:ascii="Consolas" w:hAnsi="Consolas"/>
                <w:sz w:val="19"/>
              </w:rPr>
              <w:t>CLIENT_ATTRIBUTION_LOCKED</w:t>
            </w:r>
            <w:r>
              <w:rPr>
                <w:sz w:val="19"/>
              </w:rPr>
              <w:t xml:space="preserve">) verified live in </w:t>
            </w:r>
            <w:r>
              <w:rPr>
                <w:rFonts w:ascii="Consolas" w:hAnsi="Consolas"/>
                <w:sz w:val="19"/>
              </w:rPr>
              <w:t>c7080af</w:t>
            </w:r>
            <w:r>
              <w:rPr>
                <w:sz w:val="19"/>
              </w:rPr>
              <w:t>; Phase 2 dual-approval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Legacy compatibility and invoice regressions verified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6-month dual-write compatibility window and invoice protection rules specified.</w:t>
            </w:r>
          </w:p>
        </w:tc>
      </w:tr>
    </w:tbl>
    <w:p>
      <w:pPr>
        <w:spacing w:after="120" w:before="0"/>
      </w:pP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5. Implementation Readiness &amp; Sign-Off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sz w:val="21"/>
              </w:rPr>
              <w:t xml:space="preserve">[!IMPORTANT] </w:t>
            </w:r>
            <w:r>
              <w:rPr>
                <w:b/>
                <w:color w:val="102C57"/>
                <w:sz w:val="21"/>
              </w:rPr>
              <w:t>Governance Definition for Baseline v1.00</w:t>
            </w:r>
            <w:r>
              <w:rPr>
                <w:sz w:val="21"/>
              </w:rPr>
              <w:t xml:space="preserve">: </w:t>
            </w:r>
            <w:r>
              <w:rPr>
                <w:b/>
                <w:color w:val="102C57"/>
                <w:sz w:val="21"/>
              </w:rPr>
              <w:t>`v1.00 represents the formally approved decision and target-design baseline. Implementation and test validation remain separately tracked delivery gates and must not be inferred from document approval.`</w:t>
            </w:r>
            <w:r>
              <w:rPr>
                <w:sz w:val="21"/>
              </w:rPr>
              <w:t xml:space="preserve">  With all 21 clarification items resolved with proposed decisions, complete narrative rationales, edge-case ambiguity resolutions, illustrative technical reference specifications, accurate </w:t>
            </w:r>
            <w:r>
              <w:rPr>
                <w:rFonts w:ascii="Consolas" w:hAnsi="Consolas"/>
                <w:sz w:val="21"/>
              </w:rPr>
              <w:t>c7080af</w:t>
            </w:r>
            <w:r>
              <w:rPr>
                <w:sz w:val="21"/>
              </w:rPr>
              <w:t xml:space="preserve"> source baseline model, non-destructive target extensions with PostgreSQL partial unique index, preserved idempotent retry ordering for Change Requests, and the granular FSD Traceability Matrix (DEMO-01 to DEMO-12), this document is formally submitted as the </w:t>
            </w:r>
            <w:r>
              <w:rPr>
                <w:b/>
                <w:color w:val="102C57"/>
                <w:sz w:val="21"/>
              </w:rPr>
              <w:t>Final Decision Baseline Candidate (v0.11)</w:t>
            </w:r>
            <w:r>
              <w:rPr>
                <w:sz w:val="21"/>
              </w:rPr>
              <w:t xml:space="preserve"> for final author and stakeholder confirmation prior to baseline promotion to v1.00.</w:t>
            </w:r>
          </w:p>
        </w:tc>
      </w:tr>
    </w:tbl>
    <w:p>
      <w:pPr>
        <w:spacing w:after="80" w:before="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