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line="300"/>
        <w:jc w:val="center"/>
      </w:pPr>
      <w:r>
        <w:rPr>
          <w:rFonts w:ascii="Aptos" w:cs="Aptos" w:eastAsia="Aptos" w:hAnsi="Aptos"/>
          <w:b/>
          <w:bCs/>
          <w:color w:val="17365D"/>
          <w:sz w:val="34"/>
          <w:szCs w:val="34"/>
        </w:rPr>
        <w:t xml:space="preserve">REVIEW RESULT &amp; REMAINING REVISIONS</w:t>
      </w:r>
    </w:p>
    <w:p>
      <w:pPr>
        <w:spacing w:after="260" w:line="300"/>
        <w:jc w:val="center"/>
      </w:pPr>
      <w:r>
        <w:rPr>
          <w:rFonts w:ascii="Aptos" w:cs="Aptos" w:eastAsia="Aptos" w:hAnsi="Aptos"/>
          <w:b/>
          <w:bCs/>
          <w:color w:val="1F2937"/>
          <w:sz w:val="27"/>
          <w:szCs w:val="27"/>
        </w:rPr>
        <w:t xml:space="preserve">SecureProfit Hub — 12 FSD Clarification v0.06</w:t>
      </w:r>
    </w:p>
    <w:p>
      <w:pPr>
        <w:spacing w:after="130" w:line="300"/>
      </w:pPr>
      <w:r>
        <w:rPr>
          <w:rFonts w:ascii="Aptos" w:cs="Aptos" w:eastAsia="Aptos" w:hAnsi="Aptos"/>
          <w:b/>
          <w:bCs/>
          <w:color w:val="17365D"/>
          <w:sz w:val="22"/>
          <w:szCs w:val="22"/>
        </w:rPr>
        <w:t xml:space="preserve">Subject: Review of SPH-REC-CLARIF-01 v0.06 and Remaining Corrections Before Baseline v1.00</w:t>
      </w:r>
    </w:p>
    <w:p>
      <w:pPr>
        <w:pStyle w:val="Heading1"/>
        <w:spacing w:after="100" w:before="240"/>
      </w:pPr>
      <w:r>
        <w:rPr>
          <w:rFonts w:ascii="Aptos Display" w:cs="Aptos Display" w:eastAsia="Aptos Display" w:hAnsi="Aptos Display"/>
          <w:b/>
          <w:bCs/>
          <w:color w:val="17365D"/>
        </w:rPr>
        <w:t xml:space="preserve">Executive Verdict</w:t>
      </w:r>
    </w:p>
    <w:p>
      <w:pPr>
        <w:spacing w:after="130" w:line="300"/>
      </w:pPr>
      <w:r>
        <w:rPr>
          <w:rFonts w:ascii="Aptos" w:cs="Aptos" w:eastAsia="Aptos" w:hAnsi="Aptos"/>
          <w:color w:val="1F2937"/>
          <w:sz w:val="22"/>
          <w:szCs w:val="22"/>
        </w:rPr>
        <w:t xml:space="preserve">Dokumen v0.06 sudah jauh lebih baik dan dapat diterima sebagai Decision Baseline Candidate. Sekitar 11 dari 14 permintaan revisi utama sebelumnya telah ditangani secara memadai. Namun, dokumen belum siap dipromosikan menjadi baseline v1.00 karena masih terdapat status yang bertentangan, deliverable traceability yang belum tersedia, serta beberapa technical reference yang belum konsisten atau belum valid.</w:t>
      </w:r>
    </w:p>
    <w:p>
      <w:pPr>
        <w:pStyle w:val="Heading1"/>
        <w:spacing w:after="100" w:before="240"/>
      </w:pPr>
      <w:r>
        <w:rPr>
          <w:rFonts w:ascii="Aptos Display" w:cs="Aptos Display" w:eastAsia="Aptos Display" w:hAnsi="Aptos Display"/>
          <w:b/>
          <w:bCs/>
          <w:color w:val="17365D"/>
        </w:rPr>
        <w:t xml:space="preserve">Perbaikan yang Sudah Diterima</w:t>
      </w:r>
    </w:p>
    <w:p>
      <w:pPr>
        <w:pStyle w:val="ListParagraph"/>
        <w:numPr>
          <w:ilvl w:val="0"/>
          <w:numId w:val="1"/>
        </w:numPr>
        <w:spacing w:after="65" w:line="280"/>
      </w:pPr>
      <w:r>
        <w:t xml:space="preserve">Status dokumen telah diubah menjadi Decision Baseline Candidate — Pending Stakeholder Approval and Implementation Validation.</w:t>
      </w:r>
    </w:p>
    <w:p>
      <w:pPr>
        <w:pStyle w:val="ListParagraph"/>
        <w:numPr>
          <w:ilvl w:val="0"/>
          <w:numId w:val="1"/>
        </w:numPr>
        <w:spacing w:after="65" w:line="280"/>
      </w:pPr>
      <w:r>
        <w:t xml:space="preserve">Matriks sudah memisahkan Decision, Design, Implementation, dan Test/Evidence Status.</w:t>
      </w:r>
    </w:p>
    <w:p>
      <w:pPr>
        <w:pStyle w:val="ListParagraph"/>
        <w:numPr>
          <w:ilvl w:val="0"/>
          <w:numId w:val="1"/>
        </w:numPr>
        <w:spacing w:after="65" w:line="280"/>
      </w:pPr>
      <w:r>
        <w:t xml:space="preserve">DEMO-12 sudah dibagi menjadi Fase 1 BUILT &amp; TESTED dan Fase 2 TARGET DESIGN.</w:t>
      </w:r>
    </w:p>
    <w:p>
      <w:pPr>
        <w:pStyle w:val="ListParagraph"/>
        <w:numPr>
          <w:ilvl w:val="0"/>
          <w:numId w:val="1"/>
        </w:numPr>
        <w:spacing w:after="65" w:line="280"/>
      </w:pPr>
      <w:r>
        <w:t xml:space="preserve">Error contract DEMO-12 sudah menggunakan CLIENT_ATTRIBUTION_LOCKED.</w:t>
      </w:r>
    </w:p>
    <w:p>
      <w:pPr>
        <w:pStyle w:val="ListParagraph"/>
        <w:numPr>
          <w:ilvl w:val="0"/>
          <w:numId w:val="1"/>
        </w:numPr>
        <w:spacing w:after="65" w:line="280"/>
      </w:pPr>
      <w:r>
        <w:t xml:space="preserve">Financial-history rules sudah membedakan no invoice, draft, sent to Xero, paid invoice, BAST, dan billing milestone.</w:t>
      </w:r>
    </w:p>
    <w:p>
      <w:pPr>
        <w:pStyle w:val="ListParagraph"/>
        <w:numPr>
          <w:ilvl w:val="0"/>
          <w:numId w:val="1"/>
        </w:numPr>
        <w:spacing w:after="65" w:line="280"/>
      </w:pPr>
      <w:r>
        <w:t xml:space="preserve">PMO sudah dipetakan ke MANAGEMENT dan role Principal diselaraskan dengan role aktual.</w:t>
      </w:r>
    </w:p>
    <w:p>
      <w:pPr>
        <w:pStyle w:val="ListParagraph"/>
        <w:numPr>
          <w:ilvl w:val="0"/>
          <w:numId w:val="1"/>
        </w:numPr>
        <w:spacing w:after="65" w:line="280"/>
      </w:pPr>
      <w:r>
        <w:t xml:space="preserve">DEMO-01 sudah mencakup otherDetail pada join, primary sector, deactivation, normalized supporting BU, dan quarantine.</w:t>
      </w:r>
    </w:p>
    <w:p>
      <w:pPr>
        <w:pStyle w:val="ListParagraph"/>
        <w:numPr>
          <w:ilvl w:val="0"/>
          <w:numId w:val="1"/>
        </w:numPr>
        <w:spacing w:after="65" w:line="280"/>
      </w:pPr>
      <w:r>
        <w:t xml:space="preserve">Pipedrive Product mapping sudah diarahkan melalui mapping table dan ditandai belum diimplementasikan.</w:t>
      </w:r>
    </w:p>
    <w:p>
      <w:pPr>
        <w:pStyle w:val="ListParagraph"/>
        <w:numPr>
          <w:ilvl w:val="0"/>
          <w:numId w:val="1"/>
        </w:numPr>
        <w:spacing w:after="65" w:line="280"/>
      </w:pPr>
      <w:r>
        <w:t xml:space="preserve">VAT sudah dibuat configurable, versioned, dan disimpan sebagai Decimal snapshot.</w:t>
      </w:r>
    </w:p>
    <w:p>
      <w:pPr>
        <w:pStyle w:val="Heading1"/>
        <w:spacing w:after="100" w:before="240"/>
      </w:pPr>
      <w:r>
        <w:rPr>
          <w:rFonts w:ascii="Aptos Display" w:cs="Aptos Display" w:eastAsia="Aptos Display" w:hAnsi="Aptos Display"/>
          <w:b/>
          <w:bCs/>
          <w:color w:val="17365D"/>
        </w:rPr>
        <w:t xml:space="preserve">Outstanding Revisions Before v1.00</w:t>
      </w:r>
    </w:p>
    <w:p>
      <w:pPr>
        <w:pStyle w:val="Heading2"/>
        <w:spacing w:after="100" w:before="240"/>
      </w:pPr>
      <w:r>
        <w:rPr>
          <w:rFonts w:ascii="Aptos Display" w:cs="Aptos Display" w:eastAsia="Aptos Display" w:hAnsi="Aptos Display"/>
          <w:b/>
          <w:bCs/>
          <w:color w:val="17365D"/>
        </w:rPr>
        <w:t xml:space="preserve">1. Selaraskan Decision Status dengan stakeholder approval</w:t>
      </w:r>
    </w:p>
    <w:p>
      <w:pPr>
        <w:spacing w:after="130" w:line="300"/>
      </w:pPr>
      <w:r>
        <w:rPr>
          <w:rFonts w:ascii="Aptos" w:cs="Aptos" w:eastAsia="Aptos" w:hAnsi="Aptos"/>
          <w:color w:val="1F2937"/>
          <w:sz w:val="22"/>
          <w:szCs w:val="22"/>
        </w:rPr>
        <w:t xml:space="preserve">Matriks menggunakan DECIDED sementara status dokumen masih Pending Stakeholder Approval. Keputusan yang belum mendapat sign-off tidak boleh disebut binding atau DECIDED.</w:t>
      </w:r>
    </w:p>
    <w:p>
      <w:pPr>
        <w:spacing w:after="130" w:line="300"/>
      </w:pPr>
      <w:r>
        <w:rPr>
          <w:rFonts w:ascii="Aptos" w:cs="Aptos" w:eastAsia="Aptos" w:hAnsi="Aptos"/>
          <w:b/>
          <w:bCs/>
          <w:color w:val="1F2937"/>
          <w:sz w:val="22"/>
          <w:szCs w:val="22"/>
        </w:rPr>
        <w:t xml:space="preserve">Gunakan status:</w:t>
      </w:r>
    </w:p>
    <w:p>
      <w:pPr>
        <w:pStyle w:val="ListParagraph"/>
        <w:numPr>
          <w:ilvl w:val="0"/>
          <w:numId w:val="1"/>
        </w:numPr>
        <w:spacing w:after="65" w:line="280"/>
      </w:pPr>
      <w:r>
        <w:t xml:space="preserve">PROPOSED — usulan belum diajukan atau belum direview</w:t>
      </w:r>
    </w:p>
    <w:p>
      <w:pPr>
        <w:pStyle w:val="ListParagraph"/>
        <w:numPr>
          <w:ilvl w:val="0"/>
          <w:numId w:val="1"/>
        </w:numPr>
        <w:spacing w:after="65" w:line="280"/>
      </w:pPr>
      <w:r>
        <w:t xml:space="preserve">PENDING APPROVAL — sedang menunggu stakeholder</w:t>
      </w:r>
    </w:p>
    <w:p>
      <w:pPr>
        <w:pStyle w:val="ListParagraph"/>
        <w:numPr>
          <w:ilvl w:val="0"/>
          <w:numId w:val="1"/>
        </w:numPr>
        <w:spacing w:after="65" w:line="280"/>
      </w:pPr>
      <w:r>
        <w:t xml:space="preserve">APPROVED — sudah disetujui stakeholder berwenang</w:t>
      </w:r>
    </w:p>
    <w:p>
      <w:pPr>
        <w:pStyle w:val="ListParagraph"/>
        <w:numPr>
          <w:ilvl w:val="0"/>
          <w:numId w:val="1"/>
        </w:numPr>
        <w:spacing w:after="65" w:line="280"/>
      </w:pPr>
      <w:r>
        <w:t xml:space="preserve">REJECTED — tidak disetujui</w:t>
      </w:r>
    </w:p>
    <w:p>
      <w:pPr>
        <w:pStyle w:val="ListParagraph"/>
        <w:numPr>
          <w:ilvl w:val="0"/>
          <w:numId w:val="1"/>
        </w:numPr>
        <w:spacing w:after="65" w:line="280"/>
      </w:pPr>
      <w:r>
        <w:t xml:space="preserve">APPROVED / IMPLEMENTED — keputusan yang sudah resmi diterapkan, misalnya DEMO-12 Fase 1</w:t>
      </w:r>
    </w:p>
    <w:p>
      <w:pPr>
        <w:spacing w:after="130" w:line="300"/>
      </w:pPr>
      <w:r>
        <w:rPr>
          <w:rFonts w:ascii="Aptos" w:cs="Aptos" w:eastAsia="Aptos" w:hAnsi="Aptos"/>
          <w:color w:val="1F2937"/>
          <w:sz w:val="22"/>
          <w:szCs w:val="22"/>
        </w:rPr>
        <w:t xml:space="preserve">Sebelum sign-off, gunakan istilah “proposed business and architectural decisions”, bukan “binding business decisions”.</w:t>
      </w:r>
    </w:p>
    <w:p>
      <w:pPr>
        <w:pStyle w:val="Heading2"/>
        <w:spacing w:after="100" w:before="240"/>
      </w:pPr>
      <w:r>
        <w:rPr>
          <w:rFonts w:ascii="Aptos Display" w:cs="Aptos Display" w:eastAsia="Aptos Display" w:hAnsi="Aptos Display"/>
          <w:b/>
          <w:bCs/>
          <w:color w:val="17365D"/>
        </w:rPr>
        <w:t xml:space="preserve">2. Tambahkan daftar stakeholder sign-off</w:t>
      </w:r>
    </w:p>
    <w:p>
      <w:pPr>
        <w:spacing w:after="130" w:line="300"/>
      </w:pPr>
      <w:r>
        <w:rPr>
          <w:rFonts w:ascii="Aptos" w:cs="Aptos" w:eastAsia="Aptos" w:hAnsi="Aptos"/>
          <w:color w:val="1F2937"/>
          <w:sz w:val="22"/>
          <w:szCs w:val="22"/>
        </w:rPr>
        <w:t xml:space="preserve">Dokumen belum menyediakan daftar keputusan yang masih membutuhkan persetujuan. Tambahkan decision register yang berisi Decision/FSD, required approver, owner, status, target date, dan evidence/sign-off reference.</w:t>
      </w:r>
    </w:p>
    <w:p>
      <w:pPr>
        <w:spacing w:after="130" w:line="300"/>
      </w:pPr>
      <w:r>
        <w:rPr>
          <w:rFonts w:ascii="Aptos" w:cs="Aptos" w:eastAsia="Aptos" w:hAnsi="Aptos"/>
          <w:color w:val="1F2937"/>
          <w:sz w:val="22"/>
          <w:szCs w:val="22"/>
        </w:rPr>
        <w:t xml:space="preserve">Minimal mencakup governance sector, mandatory stage, margin threshold, VAT policy, presales CAC, legal novation, dan compatibility retention period.</w:t>
      </w:r>
    </w:p>
    <w:p>
      <w:pPr>
        <w:pStyle w:val="Heading2"/>
        <w:spacing w:after="100" w:before="240"/>
      </w:pPr>
      <w:r>
        <w:rPr>
          <w:rFonts w:ascii="Aptos Display" w:cs="Aptos Display" w:eastAsia="Aptos Display" w:hAnsi="Aptos Display"/>
          <w:b/>
          <w:bCs/>
          <w:color w:val="17365D"/>
        </w:rPr>
        <w:t xml:space="preserve">3. Tambahkan traceability matrix untuk DEMO-01 sampai DEMO-12</w:t>
      </w:r>
    </w:p>
    <w:p>
      <w:pPr>
        <w:spacing w:after="130" w:line="300"/>
      </w:pPr>
      <w:r>
        <w:rPr>
          <w:rFonts w:ascii="Aptos" w:cs="Aptos" w:eastAsia="Aptos" w:hAnsi="Aptos"/>
          <w:color w:val="1F2937"/>
          <w:sz w:val="22"/>
          <w:szCs w:val="22"/>
        </w:rPr>
        <w:t xml:space="preserve">Go/No-Go matrix bukan pengganti FSD traceability matrix. Tambahkan satu baris untuk setiap DEMO/FSD dengan kolom:</w:t>
      </w:r>
    </w:p>
    <w:p>
      <w:pPr>
        <w:pStyle w:val="ListParagraph"/>
        <w:numPr>
          <w:ilvl w:val="0"/>
          <w:numId w:val="1"/>
        </w:numPr>
        <w:spacing w:after="65" w:line="280"/>
      </w:pPr>
      <w:r>
        <w:t xml:space="preserve">FSD</w:t>
      </w:r>
    </w:p>
    <w:p>
      <w:pPr>
        <w:pStyle w:val="ListParagraph"/>
        <w:numPr>
          <w:ilvl w:val="0"/>
          <w:numId w:val="1"/>
        </w:numPr>
        <w:spacing w:after="65" w:line="280"/>
      </w:pPr>
      <w:r>
        <w:t xml:space="preserve">Decision references</w:t>
      </w:r>
    </w:p>
    <w:p>
      <w:pPr>
        <w:pStyle w:val="ListParagraph"/>
        <w:numPr>
          <w:ilvl w:val="0"/>
          <w:numId w:val="1"/>
        </w:numPr>
        <w:spacing w:after="65" w:line="280"/>
      </w:pPr>
      <w:r>
        <w:t xml:space="preserve">Target model/API</w:t>
      </w:r>
    </w:p>
    <w:p>
      <w:pPr>
        <w:pStyle w:val="ListParagraph"/>
        <w:numPr>
          <w:ilvl w:val="0"/>
          <w:numId w:val="1"/>
        </w:numPr>
        <w:spacing w:after="65" w:line="280"/>
      </w:pPr>
      <w:r>
        <w:t xml:space="preserve">Implementation status</w:t>
      </w:r>
    </w:p>
    <w:p>
      <w:pPr>
        <w:pStyle w:val="ListParagraph"/>
        <w:numPr>
          <w:ilvl w:val="0"/>
          <w:numId w:val="1"/>
        </w:numPr>
        <w:spacing w:after="65" w:line="280"/>
      </w:pPr>
      <w:r>
        <w:t xml:space="preserve">Test evidence</w:t>
      </w:r>
    </w:p>
    <w:p>
      <w:pPr>
        <w:pStyle w:val="ListParagraph"/>
        <w:numPr>
          <w:ilvl w:val="0"/>
          <w:numId w:val="1"/>
        </w:numPr>
        <w:spacing w:after="65" w:line="280"/>
      </w:pPr>
      <w:r>
        <w:t xml:space="preserve">Dependencies</w:t>
      </w:r>
    </w:p>
    <w:p>
      <w:pPr>
        <w:pStyle w:val="ListParagraph"/>
        <w:numPr>
          <w:ilvl w:val="0"/>
          <w:numId w:val="1"/>
        </w:numPr>
        <w:spacing w:after="65" w:line="280"/>
      </w:pPr>
      <w:r>
        <w:t xml:space="preserve">Acceptance criteria</w:t>
      </w:r>
    </w:p>
    <w:p>
      <w:pPr>
        <w:spacing w:after="130" w:line="300"/>
      </w:pPr>
      <w:r>
        <w:rPr>
          <w:rFonts w:ascii="Aptos" w:cs="Aptos" w:eastAsia="Aptos" w:hAnsi="Aptos"/>
          <w:color w:val="1F2937"/>
          <w:sz w:val="22"/>
          <w:szCs w:val="22"/>
        </w:rPr>
        <w:t xml:space="preserve">DEMO-12 harus dipisahkan menjadi Fase 1 dan Fase 2 pada matriks tersebut.</w:t>
      </w:r>
    </w:p>
    <w:p>
      <w:pPr>
        <w:pStyle w:val="Heading2"/>
        <w:spacing w:after="100" w:before="240"/>
      </w:pPr>
      <w:r>
        <w:rPr>
          <w:rFonts w:ascii="Aptos Display" w:cs="Aptos Display" w:eastAsia="Aptos Display" w:hAnsi="Aptos Display"/>
          <w:b/>
          <w:bCs/>
          <w:color w:val="17365D"/>
        </w:rPr>
        <w:t xml:space="preserve">4. Koreksi kembali pernyataan Lead numbering</w:t>
      </w:r>
    </w:p>
    <w:p>
      <w:pPr>
        <w:spacing w:after="130" w:line="300"/>
      </w:pPr>
      <w:r>
        <w:rPr>
          <w:rFonts w:ascii="Aptos" w:cs="Aptos" w:eastAsia="Aptos" w:hAnsi="Aptos"/>
          <w:color w:val="1F2937"/>
          <w:sz w:val="22"/>
          <w:szCs w:val="22"/>
        </w:rPr>
        <w:t xml:space="preserve">Bagian “In the Simplest Terms” masih menyatakan numbers are never skipped or lost, tetapi bagian revisi mengakui exceptional gaps. Gunakan wording yang konsisten:</w:t>
      </w:r>
    </w:p>
    <w:p>
      <w:pPr>
        <w:pBdr>
          <w:left w:val="single" w:color="94A3B8" w:sz="12"/>
        </w:pBdr>
        <w:shd w:fill="F1F5F9" w:val="clear"/>
        <w:spacing w:after="130" w:before="60"/>
        <w:ind w:left="360"/>
      </w:pPr>
      <w:r>
        <w:rPr>
          <w:rFonts w:ascii="Consolas" w:cs="Consolas" w:eastAsia="Consolas" w:hAnsi="Consolas"/>
          <w:color w:val="0F172A"/>
          <w:sz w:val="19"/>
          <w:szCs w:val="19"/>
        </w:rPr>
        <w:t xml:space="preserve">Lead numbers are allocated atomically to guarantee uniqueness and prevent duplication. Exceptional gaps may occur under ambiguous infrastructure failures and must be reconciled and audited.</w:t>
      </w:r>
    </w:p>
    <w:p>
      <w:pPr>
        <w:spacing w:after="130" w:line="300"/>
      </w:pPr>
      <w:r>
        <w:rPr>
          <w:rFonts w:ascii="Aptos" w:cs="Aptos" w:eastAsia="Aptos" w:hAnsi="Aptos"/>
          <w:color w:val="1F2937"/>
          <w:sz w:val="22"/>
          <w:szCs w:val="22"/>
        </w:rPr>
        <w:t xml:space="preserve">Jelaskan pula bahwa failed-allocation audit tidak dapat mengandalkan transaksi yang sama jika transaksi tersebut rollback. Audit harus dilakukan di luar transaksi gagal atau melalui reconciliation.</w:t>
      </w:r>
    </w:p>
    <w:p>
      <w:pPr>
        <w:pStyle w:val="Heading2"/>
        <w:spacing w:after="100" w:before="240"/>
      </w:pPr>
      <w:r>
        <w:rPr>
          <w:rFonts w:ascii="Aptos Display" w:cs="Aptos Display" w:eastAsia="Aptos Display" w:hAnsi="Aptos Display"/>
          <w:b/>
          <w:bCs/>
          <w:color w:val="17365D"/>
        </w:rPr>
        <w:t xml:space="preserve">5. Selaraskan deactivated-sector policy dengan validation logic</w:t>
      </w:r>
    </w:p>
    <w:p>
      <w:pPr>
        <w:spacing w:after="130" w:line="300"/>
      </w:pPr>
      <w:r>
        <w:rPr>
          <w:rFonts w:ascii="Aptos" w:cs="Aptos" w:eastAsia="Aptos" w:hAnsi="Aptos"/>
          <w:color w:val="1F2937"/>
          <w:sz w:val="22"/>
          <w:szCs w:val="22"/>
        </w:rPr>
        <w:t xml:space="preserve">Policy menyatakan historical classification tetap dipertahankan, tetapi code example hanya menghitung sector dengan isActive=true. Akibatnya Lead lama dengan sector inactive dapat dianggap tidak memiliki sector.</w:t>
      </w:r>
    </w:p>
    <w:p>
      <w:pPr>
        <w:spacing w:after="130" w:line="300"/>
      </w:pPr>
      <w:r>
        <w:rPr>
          <w:rFonts w:ascii="Aptos" w:cs="Aptos" w:eastAsia="Aptos" w:hAnsi="Aptos"/>
          <w:color w:val="1F2937"/>
          <w:sz w:val="22"/>
          <w:szCs w:val="22"/>
        </w:rPr>
        <w:t xml:space="preserve">Tetapkan bahwa inactive assignment tetap sah untuk historical classification, tidak dapat dipilih pada assignment baru, dan reclassification hanya diwajibkan pada kondisi bisnis yang eksplisit. Gunakan error khusus SECTOR_RECLASSIFICATION_REQUIRED bila diperlukan.</w:t>
      </w:r>
    </w:p>
    <w:p>
      <w:pPr>
        <w:pStyle w:val="Heading2"/>
        <w:spacing w:after="100" w:before="240"/>
      </w:pPr>
      <w:r>
        <w:rPr>
          <w:rFonts w:ascii="Aptos Display" w:cs="Aptos Display" w:eastAsia="Aptos Display" w:hAnsi="Aptos Display"/>
          <w:b/>
          <w:bCs/>
          <w:color w:val="17365D"/>
        </w:rPr>
        <w:t xml:space="preserve">6. Tambahkan concurrency protection untuk exactly-one-primary sector</w:t>
      </w:r>
    </w:p>
    <w:p>
      <w:pPr>
        <w:spacing w:after="130" w:line="300"/>
      </w:pPr>
      <w:r>
        <w:rPr>
          <w:rFonts w:ascii="Aptos" w:cs="Aptos" w:eastAsia="Aptos" w:hAnsi="Aptos"/>
          <w:color w:val="1F2937"/>
          <w:sz w:val="22"/>
          <w:szCs w:val="22"/>
        </w:rPr>
        <w:t xml:space="preserve">Transaction updateMany + update belum cukup untuk dua request concurrent. Tambahkan per-Lead advisory lock atau serializable transaction dan partial unique index PostgreSQL:</w:t>
      </w:r>
    </w:p>
    <w:p>
      <w:pPr>
        <w:pBdr>
          <w:left w:val="single" w:color="94A3B8" w:sz="12"/>
        </w:pBdr>
        <w:shd w:fill="F1F5F9" w:val="clear"/>
        <w:spacing w:after="130" w:before="60"/>
        <w:ind w:left="360"/>
      </w:pPr>
      <w:r>
        <w:rPr>
          <w:rFonts w:ascii="Consolas" w:cs="Consolas" w:eastAsia="Consolas" w:hAnsi="Consolas"/>
          <w:color w:val="0F172A"/>
          <w:sz w:val="19"/>
          <w:szCs w:val="19"/>
        </w:rPr>
        <w:t xml:space="preserve">CREATE UNIQUE INDEX one_primary_sector_per_lead
ON "LeadSector" ("leadId")
WHERE "isPrimary" = true;</w:t>
      </w:r>
    </w:p>
    <w:p>
      <w:pPr>
        <w:spacing w:after="130" w:line="300"/>
      </w:pPr>
      <w:r>
        <w:rPr>
          <w:rFonts w:ascii="Aptos" w:cs="Aptos" w:eastAsia="Aptos" w:hAnsi="Aptos"/>
          <w:color w:val="1F2937"/>
          <w:sz w:val="22"/>
          <w:szCs w:val="22"/>
        </w:rPr>
        <w:t xml:space="preserve">Partial index perlu dibuat melalui SQL migration. API tetap harus memastikan bahwa Lead dengan minimal satu sector mempunyai tepat satu primary.</w:t>
      </w:r>
    </w:p>
    <w:p>
      <w:pPr>
        <w:pStyle w:val="Heading2"/>
        <w:spacing w:after="100" w:before="240"/>
      </w:pPr>
      <w:r>
        <w:rPr>
          <w:rFonts w:ascii="Aptos Display" w:cs="Aptos Display" w:eastAsia="Aptos Display" w:hAnsi="Aptos Display"/>
          <w:b/>
          <w:bCs/>
          <w:color w:val="17365D"/>
        </w:rPr>
        <w:t xml:space="preserve">7. Simpan status independen untuk PMO dan Finance approval</w:t>
      </w:r>
    </w:p>
    <w:p>
      <w:pPr>
        <w:spacing w:after="130" w:line="300"/>
      </w:pPr>
      <w:r>
        <w:rPr>
          <w:rFonts w:ascii="Aptos" w:cs="Aptos" w:eastAsia="Aptos" w:hAnsi="Aptos"/>
          <w:color w:val="1F2937"/>
          <w:sz w:val="22"/>
          <w:szCs w:val="22"/>
        </w:rPr>
        <w:t xml:space="preserve">Model Fase 2 sudah memiliki dua approver, tetapi null masih ambigu antara pending, rejected, atau belum ditentukan. Gunakan child approval table atau tambahkan pmoStatus dan financeStatus beserta actedAt dan reason.</w:t>
      </w:r>
    </w:p>
    <w:p>
      <w:pPr>
        <w:spacing w:after="130" w:line="300"/>
      </w:pPr>
      <w:r>
        <w:rPr>
          <w:rFonts w:ascii="Aptos" w:cs="Aptos" w:eastAsia="Aptos" w:hAnsi="Aptos"/>
          <w:color w:val="1F2937"/>
          <w:sz w:val="22"/>
          <w:szCs w:val="22"/>
        </w:rPr>
        <w:t xml:space="preserve">Jika menggunakan executedById, tambahkan relation executedBy. Execution harus idempotent dan hanya dapat terjadi setelah kedua approval berstatus APPROVED.</w:t>
      </w:r>
    </w:p>
    <w:p>
      <w:pPr>
        <w:pStyle w:val="Heading2"/>
        <w:spacing w:after="100" w:before="240"/>
      </w:pPr>
      <w:r>
        <w:rPr>
          <w:rFonts w:ascii="Aptos Display" w:cs="Aptos Display" w:eastAsia="Aptos Display" w:hAnsi="Aptos Display"/>
          <w:b/>
          <w:bCs/>
          <w:color w:val="17365D"/>
        </w:rPr>
        <w:t xml:space="preserve">8. Tentukan scope unik Pipedrive Product mapping</w:t>
      </w:r>
    </w:p>
    <w:p>
      <w:pPr>
        <w:spacing w:after="130" w:line="300"/>
      </w:pPr>
      <w:r>
        <w:rPr>
          <w:rFonts w:ascii="Aptos" w:cs="Aptos" w:eastAsia="Aptos" w:hAnsi="Aptos"/>
          <w:color w:val="1F2937"/>
          <w:sz w:val="22"/>
          <w:szCs w:val="22"/>
        </w:rPr>
        <w:t xml:space="preserve">pipedriveId @unique hanya aman untuk satu Pipedrive account. Jika lebih dari satu account/connection mungkin digunakan, gunakan composite uniqueness:</w:t>
      </w:r>
    </w:p>
    <w:p>
      <w:pPr>
        <w:pBdr>
          <w:left w:val="single" w:color="94A3B8" w:sz="12"/>
        </w:pBdr>
        <w:shd w:fill="F1F5F9" w:val="clear"/>
        <w:spacing w:after="130" w:before="60"/>
        <w:ind w:left="360"/>
      </w:pPr>
      <w:r>
        <w:rPr>
          <w:rFonts w:ascii="Consolas" w:cs="Consolas" w:eastAsia="Consolas" w:hAnsi="Consolas"/>
          <w:color w:val="0F172A"/>
          <w:sz w:val="19"/>
          <w:szCs w:val="19"/>
        </w:rPr>
        <w:t xml:space="preserve">connectionKey String
pipedriveId   Int
@@unique([connectionKey, pipedriveId])</w:t>
      </w:r>
    </w:p>
    <w:p>
      <w:pPr>
        <w:spacing w:after="130" w:line="300"/>
      </w:pPr>
      <w:r>
        <w:rPr>
          <w:rFonts w:ascii="Aptos" w:cs="Aptos" w:eastAsia="Aptos" w:hAnsi="Aptos"/>
          <w:color w:val="1F2937"/>
          <w:sz w:val="22"/>
          <w:szCs w:val="22"/>
        </w:rPr>
        <w:t xml:space="preserve">Jika SPH secara resmi hanya mendukung satu Pipedrive account, batasan tersebut harus ditulis sebagai keputusan bisnis/arsitektur.</w:t>
      </w:r>
    </w:p>
    <w:p>
      <w:pPr>
        <w:pStyle w:val="Heading2"/>
        <w:spacing w:after="100" w:before="240"/>
      </w:pPr>
      <w:r>
        <w:rPr>
          <w:rFonts w:ascii="Aptos Display" w:cs="Aptos Display" w:eastAsia="Aptos Display" w:hAnsi="Aptos Display"/>
          <w:b/>
          <w:bCs/>
          <w:color w:val="17365D"/>
        </w:rPr>
        <w:t xml:space="preserve">9. Perbaiki code examples yang kehilangan template literal</w:t>
      </w:r>
    </w:p>
    <w:p>
      <w:pPr>
        <w:spacing w:after="130" w:line="300"/>
      </w:pPr>
      <w:r>
        <w:rPr>
          <w:rFonts w:ascii="Aptos" w:cs="Aptos" w:eastAsia="Aptos" w:hAnsi="Aptos"/>
          <w:color w:val="1F2937"/>
          <w:sz w:val="22"/>
          <w:szCs w:val="22"/>
        </w:rPr>
        <w:t xml:space="preserve">Contoh berikut tidak valid secara sintaks dan harus dikoreksi:</w:t>
      </w:r>
    </w:p>
    <w:p>
      <w:pPr>
        <w:pBdr>
          <w:left w:val="single" w:color="94A3B8" w:sz="12"/>
        </w:pBdr>
        <w:shd w:fill="F1F5F9" w:val="clear"/>
        <w:spacing w:after="130" w:before="60"/>
        <w:ind w:left="360"/>
      </w:pPr>
      <w:r>
        <w:rPr>
          <w:rFonts w:ascii="Consolas" w:cs="Consolas" w:eastAsia="Consolas" w:hAnsi="Consolas"/>
          <w:color w:val="0F172A"/>
          <w:sz w:val="19"/>
          <w:szCs w:val="19"/>
        </w:rPr>
        <w:t xml:space="preserve">return `LEAD-${jakartaYear}-${String(counter.currentSequence).padStart(4, "0")}`;</w:t>
      </w:r>
    </w:p>
    <w:p>
      <w:pPr>
        <w:pBdr>
          <w:left w:val="single" w:color="94A3B8" w:sz="12"/>
        </w:pBdr>
        <w:shd w:fill="F1F5F9" w:val="clear"/>
        <w:spacing w:after="130" w:before="60"/>
        <w:ind w:left="360"/>
      </w:pPr>
      <w:r>
        <w:rPr>
          <w:rFonts w:ascii="Consolas" w:cs="Consolas" w:eastAsia="Consolas" w:hAnsi="Consolas"/>
          <w:color w:val="0F172A"/>
          <w:sz w:val="19"/>
          <w:szCs w:val="19"/>
        </w:rPr>
        <w:t xml:space="preserve">name: `[PRESALES] ${lead.title}`,</w:t>
      </w:r>
    </w:p>
    <w:p>
      <w:pPr>
        <w:spacing w:after="130" w:line="300"/>
      </w:pPr>
      <w:r>
        <w:rPr>
          <w:rFonts w:ascii="Aptos" w:cs="Aptos" w:eastAsia="Aptos" w:hAnsi="Aptos"/>
          <w:color w:val="1F2937"/>
          <w:sz w:val="22"/>
          <w:szCs w:val="22"/>
        </w:rPr>
        <w:t xml:space="preserve">Lakukan syntax validation atas seluruh code blocks setelah export Word agar backtick, quotation mark, dan generic syntax tidak hilang.</w:t>
      </w:r>
    </w:p>
    <w:p>
      <w:pPr>
        <w:pStyle w:val="Heading2"/>
        <w:spacing w:after="100" w:before="240"/>
      </w:pPr>
      <w:r>
        <w:rPr>
          <w:rFonts w:ascii="Aptos Display" w:cs="Aptos Display" w:eastAsia="Aptos Display" w:hAnsi="Aptos Display"/>
          <w:b/>
          <w:bCs/>
          <w:color w:val="17365D"/>
        </w:rPr>
        <w:t xml:space="preserve">10. Hapus reference link file lokal</w:t>
      </w:r>
    </w:p>
    <w:p>
      <w:pPr>
        <w:spacing w:after="130" w:line="300"/>
      </w:pPr>
      <w:r>
        <w:rPr>
          <w:rFonts w:ascii="Aptos" w:cs="Aptos" w:eastAsia="Aptos" w:hAnsi="Aptos"/>
          <w:color w:val="1F2937"/>
          <w:sz w:val="22"/>
          <w:szCs w:val="22"/>
        </w:rPr>
        <w:t xml:space="preserve">Link file:///Users/.../Downloads/... hanya berfungsi pada komputer pembuat dokumen. Ganti dengan repository-relative path, official shared-drive URL, document identifier tanpa hyperlink, atau reference/attachment table.</w:t>
      </w:r>
    </w:p>
    <w:p>
      <w:pPr>
        <w:pStyle w:val="Heading2"/>
        <w:spacing w:after="100" w:before="240"/>
      </w:pPr>
      <w:r>
        <w:rPr>
          <w:rFonts w:ascii="Aptos Display" w:cs="Aptos Display" w:eastAsia="Aptos Display" w:hAnsi="Aptos Display"/>
          <w:b/>
          <w:bCs/>
          <w:color w:val="17365D"/>
        </w:rPr>
        <w:t xml:space="preserve">11. Tambahkan dedicated coverage untuk DEMO-11</w:t>
      </w:r>
    </w:p>
    <w:p>
      <w:pPr>
        <w:spacing w:after="130" w:line="300"/>
      </w:pPr>
      <w:r>
        <w:rPr>
          <w:rFonts w:ascii="Aptos" w:cs="Aptos" w:eastAsia="Aptos" w:hAnsi="Aptos"/>
          <w:color w:val="1F2937"/>
          <w:sz w:val="22"/>
          <w:szCs w:val="22"/>
        </w:rPr>
        <w:t xml:space="preserve">DEMO-11 sudah muncul pada diagram dan matrix, tetapi belum memiliki bagian keputusan khusus yang memadai. Tambahkan pembahasan:</w:t>
      </w:r>
    </w:p>
    <w:p>
      <w:pPr>
        <w:pStyle w:val="ListParagraph"/>
        <w:numPr>
          <w:ilvl w:val="0"/>
          <w:numId w:val="1"/>
        </w:numPr>
        <w:spacing w:after="65" w:line="280"/>
      </w:pPr>
      <w:r>
        <w:t xml:space="preserve">Approved commercial revision → ProjectBaseline mapping</w:t>
      </w:r>
    </w:p>
    <w:p>
      <w:pPr>
        <w:pStyle w:val="ListParagraph"/>
        <w:numPr>
          <w:ilvl w:val="0"/>
          <w:numId w:val="1"/>
        </w:numPr>
        <w:spacing w:after="65" w:line="280"/>
      </w:pPr>
      <w:r>
        <w:t xml:space="preserve">Kapan baseline dibuat</w:t>
      </w:r>
    </w:p>
    <w:p>
      <w:pPr>
        <w:pStyle w:val="ListParagraph"/>
        <w:numPr>
          <w:ilvl w:val="0"/>
          <w:numId w:val="1"/>
        </w:numPr>
        <w:spacing w:after="65" w:line="280"/>
      </w:pPr>
      <w:r>
        <w:t xml:space="preserve">source ACTIVATION vs CHANGE_REQUEST</w:t>
      </w:r>
    </w:p>
    <w:p>
      <w:pPr>
        <w:pStyle w:val="ListParagraph"/>
        <w:numPr>
          <w:ilvl w:val="0"/>
          <w:numId w:val="1"/>
        </w:numPr>
        <w:spacing w:after="65" w:line="280"/>
      </w:pPr>
      <w:r>
        <w:t xml:space="preserve">Idempotency dan atomicity</w:t>
      </w:r>
    </w:p>
    <w:p>
      <w:pPr>
        <w:pStyle w:val="ListParagraph"/>
        <w:numPr>
          <w:ilvl w:val="0"/>
          <w:numId w:val="1"/>
        </w:numPr>
        <w:spacing w:after="65" w:line="280"/>
      </w:pPr>
      <w:r>
        <w:t xml:space="preserve">Exactly-one-current baseline</w:t>
      </w:r>
    </w:p>
    <w:p>
      <w:pPr>
        <w:pStyle w:val="ListParagraph"/>
        <w:numPr>
          <w:ilvl w:val="0"/>
          <w:numId w:val="1"/>
        </w:numPr>
        <w:spacing w:after="65" w:line="280"/>
      </w:pPr>
      <w:r>
        <w:t xml:space="preserve">Perubahan setelah activation</w:t>
      </w:r>
    </w:p>
    <w:p>
      <w:pPr>
        <w:pStyle w:val="ListParagraph"/>
        <w:numPr>
          <w:ilvl w:val="0"/>
          <w:numId w:val="1"/>
        </w:numPr>
        <w:spacing w:after="65" w:line="280"/>
      </w:pPr>
      <w:r>
        <w:t xml:space="preserve">Implementation status dan test evidence</w:t>
      </w:r>
    </w:p>
    <w:p>
      <w:pPr>
        <w:pStyle w:val="Heading1"/>
        <w:spacing w:after="100" w:before="240"/>
      </w:pPr>
      <w:r>
        <w:rPr>
          <w:rFonts w:ascii="Aptos Display" w:cs="Aptos Display" w:eastAsia="Aptos Display" w:hAnsi="Aptos Display"/>
          <w:b/>
          <w:bCs/>
          <w:color w:val="17365D"/>
        </w:rPr>
        <w:t xml:space="preserve">Required Status Before Final Sign-Off</w:t>
      </w:r>
    </w:p>
    <w:p>
      <w:pPr>
        <w:spacing w:after="130" w:line="300"/>
      </w:pPr>
      <w:r>
        <w:rPr>
          <w:rFonts w:ascii="Aptos" w:cs="Aptos" w:eastAsia="Aptos" w:hAnsi="Aptos"/>
          <w:color w:val="1F2937"/>
          <w:sz w:val="22"/>
          <w:szCs w:val="22"/>
        </w:rPr>
        <w:t xml:space="preserve">Dokumen dapat dipromosikan ke v1.00 setelah seluruh outstanding revisions di atas diselesaikan, stakeholder decision register ditandatangani, traceability matrix lengkap, dan setiap klaim IMPLEMENTED/TESTED memiliki evidence yang dapat ditelusuri.</w:t>
      </w:r>
    </w:p>
    <w:p>
      <w:pPr>
        <w:pStyle w:val="Heading1"/>
        <w:spacing w:after="100" w:before="240"/>
      </w:pPr>
      <w:r>
        <w:rPr>
          <w:rFonts w:ascii="Aptos Display" w:cs="Aptos Display" w:eastAsia="Aptos Display" w:hAnsi="Aptos Display"/>
          <w:b/>
          <w:bCs/>
          <w:color w:val="17365D"/>
        </w:rPr>
        <w:t xml:space="preserve">Final Assessment</w:t>
      </w:r>
    </w:p>
    <w:p>
      <w:pPr>
        <w:spacing w:after="130" w:line="300"/>
      </w:pPr>
      <w:r>
        <w:rPr>
          <w:rFonts w:ascii="Aptos" w:cs="Aptos" w:eastAsia="Aptos" w:hAnsi="Aptos"/>
          <w:b/>
          <w:bCs/>
          <w:color w:val="B91C1C"/>
          <w:sz w:val="22"/>
          <w:szCs w:val="22"/>
        </w:rPr>
        <w:t xml:space="preserve">ACCEPTED WITH REVISIONS — v0.06 layak dipertahankan sebagai Decision Baseline Candidate, tetapi belum boleh dipromosikan menjadi v1.00.</w:t>
      </w:r>
    </w:p>
    <w:sectPr>
      <w:headerReference w:type="default" r:id="rId7"/>
      <w:footerReference w:type="default" r:id="rId8"/>
      <w:pgSz w:w="11906" w:h="16838" w:orient="portrait"/>
      <w:pgMar w:top="850" w:right="900" w:bottom="8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4748B"/>
        <w:sz w:val="16"/>
        <w:szCs w:val="16"/>
      </w:rPr>
      <w:t xml:space="preserve">SPH-REC-CLARIF-01 v0.06 — Remaining Revisions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64748B"/>
        <w:sz w:val="16"/>
        <w:szCs w:val="16"/>
      </w:rPr>
      <w:t xml:space="preserve">SECUREPROFIT HUB — FORMAL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SPH 12 FSD v0.06 Review and Remaining Revisions</dc:title>
  <dc:subject>Outstanding revisions before baseline v1.00</dc:subject>
  <dc:creator>SecureProfit Hub Review</dc:creator>
  <cp:lastModifiedBy>Un-named</cp:lastModifiedBy>
  <cp:revision>1</cp:revision>
  <dcterms:created xsi:type="dcterms:W3CDTF">2026-09-01T07:30:57.369Z</dcterms:created>
  <dcterms:modified xsi:type="dcterms:W3CDTF">2026-09-01T07:30:57.371Z</dcterms:modified>
</cp:coreProperties>
</file>

<file path=docProps/custom.xml><?xml version="1.0" encoding="utf-8"?>
<Properties xmlns="http://schemas.openxmlformats.org/officeDocument/2006/custom-properties" xmlns:vt="http://schemas.openxmlformats.org/officeDocument/2006/docPropsVTypes"/>
</file>