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80"/>
        <w:jc w:val="center"/>
      </w:pPr>
      <w:r>
        <w:rPr>
          <w:b/>
          <w:bCs/>
          <w:color w:val="1F7A4D"/>
          <w:sz w:val="64"/>
          <w:szCs w:val="64"/>
        </w:rPr>
        <w:t xml:space="preserve">SecureProfit Hub</w:t>
      </w:r>
    </w:p>
    <w:p>
      <w:pPr>
        <w:spacing w:after="40"/>
        <w:jc w:val="center"/>
      </w:pPr>
      <w:r>
        <w:rPr>
          <w:b/>
          <w:bCs/>
          <w:color w:val="0F1B14"/>
          <w:sz w:val="34"/>
          <w:szCs w:val="34"/>
        </w:rPr>
        <w:t xml:space="preserve">Release Notes — July 2026 Update</w:t>
      </w:r>
    </w:p>
    <w:p>
      <w:pPr>
        <w:spacing w:after="40"/>
        <w:jc w:val="center"/>
      </w:pPr>
      <w:r>
        <w:rPr>
          <w:i/>
          <w:iCs/>
          <w:color w:val="555555"/>
          <w:sz w:val="24"/>
          <w:szCs w:val="24"/>
        </w:rPr>
        <w:t xml:space="preserve">Six new capabilities for project closing, expense control, time governance, and rate management</w:t>
      </w:r>
    </w:p>
    <w:p>
      <w:pPr>
        <w:spacing w:before="600"/>
        <w:jc w:val="center"/>
      </w:pPr>
      <w:r>
        <w:rPr>
          <w:color w:val="555555"/>
          <w:sz w:val="22"/>
          <w:szCs w:val="22"/>
        </w:rPr>
        <w:t xml:space="preserve">Internal Documentation</w:t>
      </w:r>
    </w:p>
    <w:p>
      <w:pPr>
        <w:jc w:val="center"/>
      </w:pPr>
      <w:r>
        <w:rPr>
          <w:color w:val="555555"/>
          <w:sz w:val="22"/>
          <w:szCs w:val="22"/>
        </w:rPr>
        <w:t xml:space="preserve">Prepared: July 23, 2026</w:t>
      </w:r>
    </w:p>
    <w:p>
      <w:r>
        <w:br w:type="page"/>
      </w:r>
    </w:p>
    <w:p>
      <w:pPr>
        <w:pStyle w:val="Heading1"/>
        <w:spacing w:after="140" w:before="360"/>
      </w:pPr>
      <w:r>
        <w:rPr>
          <w:b/>
          <w:bCs/>
          <w:color w:val="1F7A4D"/>
          <w:sz w:val="30"/>
          <w:szCs w:val="30"/>
        </w:rPr>
        <w:t xml:space="preserve">What's New — At a Glance</w:t>
      </w:r>
    </w:p>
    <w:p>
      <w:pPr>
        <w:spacing w:after="120" w:line="276"/>
      </w:pPr>
      <w:r>
        <w:rPr>
          <w:sz w:val="22"/>
          <w:szCs w:val="22"/>
        </w:rPr>
        <w:t xml:space="preserve">This update delivers six features that tighten the link between delivery work and commercial outcomes: milestone-level BAST tracking, hyperlink documents with evidence-enforced closing, cash advance and purchase order expense handling with settlement, task-based time logging with hour caps, a 360-degree feedback cycle wired into the project closing gate, and time-phased cost/selling rates per resource.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F7A4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38%"/>
            <w:shd w:fill="1F7A4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pct" w:w="27%"/>
            <w:shd w:fill="1F7A4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Who benefits</w:t>
            </w:r>
          </w:p>
        </w:tc>
        <w:tc>
          <w:tcPr>
            <w:tcW w:type="pct" w:w="30%"/>
            <w:shd w:fill="1F7A4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 in the app</w:t>
            </w:r>
          </w:p>
        </w:tc>
      </w:tr>
      <w:tr>
        <w:tc>
          <w:tcPr>
            <w:tcW w:type="pct" w:w="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F1B14"/>
                <w:sz w:val="20"/>
                <w:szCs w:val="20"/>
              </w:rPr>
              <w:t xml:space="preserve">1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F1B14"/>
                <w:sz w:val="20"/>
                <w:szCs w:val="20"/>
              </w:rPr>
              <w:t xml:space="preserve">BAST linked to billing milestones</w:t>
            </w:r>
          </w:p>
        </w:tc>
        <w:tc>
          <w:tcPr>
            <w:tcW w:type="pct" w:w="2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F1B14"/>
                <w:sz w:val="20"/>
                <w:szCs w:val="20"/>
              </w:rPr>
              <w:t xml:space="preserve">PM, Admin Project, Finance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F1B14"/>
                <w:sz w:val="20"/>
                <w:szCs w:val="20"/>
              </w:rPr>
              <w:t xml:space="preserve">Documents tab, Billing tab</w:t>
            </w:r>
          </w:p>
        </w:tc>
      </w:tr>
      <w:tr>
        <w:tc>
          <w:tcPr>
            <w:tcW w:type="pct" w:w="5%"/>
            <w:shd w:fill="F1F6F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F1B14"/>
                <w:sz w:val="20"/>
                <w:szCs w:val="20"/>
              </w:rPr>
              <w:t xml:space="preserve">2</w:t>
            </w:r>
          </w:p>
        </w:tc>
        <w:tc>
          <w:tcPr>
            <w:tcW w:type="pct" w:w="38%"/>
            <w:shd w:fill="F1F6F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F1B14"/>
                <w:sz w:val="20"/>
                <w:szCs w:val="20"/>
              </w:rPr>
              <w:t xml:space="preserve">Hyperlink documents + evidence-enforced closing checklist</w:t>
            </w:r>
          </w:p>
        </w:tc>
        <w:tc>
          <w:tcPr>
            <w:tcW w:type="pct" w:w="27%"/>
            <w:shd w:fill="F1F6F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F1B14"/>
                <w:sz w:val="20"/>
                <w:szCs w:val="20"/>
              </w:rPr>
              <w:t xml:space="preserve">PM, Admin Project</w:t>
            </w:r>
          </w:p>
        </w:tc>
        <w:tc>
          <w:tcPr>
            <w:tcW w:type="pct" w:w="30%"/>
            <w:shd w:fill="F1F6F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F1B14"/>
                <w:sz w:val="20"/>
                <w:szCs w:val="20"/>
              </w:rPr>
              <w:t xml:space="preserve">Documents tab, Closing tab</w:t>
            </w:r>
          </w:p>
        </w:tc>
      </w:tr>
      <w:tr>
        <w:tc>
          <w:tcPr>
            <w:tcW w:type="pct" w:w="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F1B14"/>
                <w:sz w:val="20"/>
                <w:szCs w:val="20"/>
              </w:rPr>
              <w:t xml:space="preserve">3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F1B14"/>
                <w:sz w:val="20"/>
                <w:szCs w:val="20"/>
              </w:rPr>
              <w:t xml:space="preserve">Cash Advance &amp; Purchase Order expenses with settlement</w:t>
            </w:r>
          </w:p>
        </w:tc>
        <w:tc>
          <w:tcPr>
            <w:tcW w:type="pct" w:w="2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F1B14"/>
                <w:sz w:val="20"/>
                <w:szCs w:val="20"/>
              </w:rPr>
              <w:t xml:space="preserve">PM, Finance, Management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F1B14"/>
                <w:sz w:val="20"/>
                <w:szCs w:val="20"/>
              </w:rPr>
              <w:t xml:space="preserve">Expenses tab</w:t>
            </w:r>
          </w:p>
        </w:tc>
      </w:tr>
      <w:tr>
        <w:tc>
          <w:tcPr>
            <w:tcW w:type="pct" w:w="5%"/>
            <w:shd w:fill="F1F6F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F1B14"/>
                <w:sz w:val="20"/>
                <w:szCs w:val="20"/>
              </w:rPr>
              <w:t xml:space="preserve">4</w:t>
            </w:r>
          </w:p>
        </w:tc>
        <w:tc>
          <w:tcPr>
            <w:tcW w:type="pct" w:w="38%"/>
            <w:shd w:fill="F1F6F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F1B14"/>
                <w:sz w:val="20"/>
                <w:szCs w:val="20"/>
              </w:rPr>
              <w:t xml:space="preserve">Mandatory task on time entries + planned-hour caps</w:t>
            </w:r>
          </w:p>
        </w:tc>
        <w:tc>
          <w:tcPr>
            <w:tcW w:type="pct" w:w="27%"/>
            <w:shd w:fill="F1F6F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F1B14"/>
                <w:sz w:val="20"/>
                <w:szCs w:val="20"/>
              </w:rPr>
              <w:t xml:space="preserve">Consultants, TW, Admin Project, PM</w:t>
            </w:r>
          </w:p>
        </w:tc>
        <w:tc>
          <w:tcPr>
            <w:tcW w:type="pct" w:w="30%"/>
            <w:shd w:fill="F1F6F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F1B14"/>
                <w:sz w:val="20"/>
                <w:szCs w:val="20"/>
              </w:rPr>
              <w:t xml:space="preserve">Timesheets, My Timesheets</w:t>
            </w:r>
          </w:p>
        </w:tc>
      </w:tr>
      <w:tr>
        <w:tc>
          <w:tcPr>
            <w:tcW w:type="pct" w:w="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F1B14"/>
                <w:sz w:val="20"/>
                <w:szCs w:val="20"/>
              </w:rPr>
              <w:t xml:space="preserve">5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F1B14"/>
                <w:sz w:val="20"/>
                <w:szCs w:val="20"/>
              </w:rPr>
              <w:t xml:space="preserve">360-degree feedback + stricter project closing gate</w:t>
            </w:r>
          </w:p>
        </w:tc>
        <w:tc>
          <w:tcPr>
            <w:tcW w:type="pct" w:w="2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F1B14"/>
                <w:sz w:val="20"/>
                <w:szCs w:val="20"/>
              </w:rPr>
              <w:t xml:space="preserve">PM, delivery team, Management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F1B14"/>
                <w:sz w:val="20"/>
                <w:szCs w:val="20"/>
              </w:rPr>
              <w:t xml:space="preserve">Project closing flow</w:t>
            </w:r>
          </w:p>
        </w:tc>
      </w:tr>
      <w:tr>
        <w:tc>
          <w:tcPr>
            <w:tcW w:type="pct" w:w="5%"/>
            <w:shd w:fill="F1F6F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F1B14"/>
                <w:sz w:val="20"/>
                <w:szCs w:val="20"/>
              </w:rPr>
              <w:t xml:space="preserve">6</w:t>
            </w:r>
          </w:p>
        </w:tc>
        <w:tc>
          <w:tcPr>
            <w:tcW w:type="pct" w:w="38%"/>
            <w:shd w:fill="F1F6F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F1B14"/>
                <w:sz w:val="20"/>
                <w:szCs w:val="20"/>
              </w:rPr>
              <w:t xml:space="preserve">Cost &amp; selling rate periods per resource</w:t>
            </w:r>
          </w:p>
        </w:tc>
        <w:tc>
          <w:tcPr>
            <w:tcW w:type="pct" w:w="27%"/>
            <w:shd w:fill="F1F6F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F1B14"/>
                <w:sz w:val="20"/>
                <w:szCs w:val="20"/>
              </w:rPr>
              <w:t xml:space="preserve">PM, Management</w:t>
            </w:r>
          </w:p>
        </w:tc>
        <w:tc>
          <w:tcPr>
            <w:tcW w:type="pct" w:w="30%"/>
            <w:shd w:fill="F1F6F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F1B14"/>
                <w:sz w:val="20"/>
                <w:szCs w:val="20"/>
              </w:rPr>
              <w:t xml:space="preserve">Resources tab (rate history)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b/>
          <w:bCs/>
          <w:color w:val="1F7A4D"/>
          <w:sz w:val="30"/>
          <w:szCs w:val="30"/>
        </w:rPr>
        <w:t xml:space="preserve">1. BAST Linked to Billing Milestones</w:t>
      </w:r>
    </w:p>
    <w:p>
      <w:pPr>
        <w:spacing w:after="120" w:line="276"/>
      </w:pPr>
      <w:r>
        <w:rPr>
          <w:sz w:val="22"/>
          <w:szCs w:val="22"/>
        </w:rPr>
        <w:t xml:space="preserve">A BAST (handover certificate) can now be tied to the specific billing milestone it covers, instead of living as a loose project document.</w:t>
      </w:r>
    </w:p>
    <w:p>
      <w:pPr>
        <w:pStyle w:val="Heading2"/>
        <w:spacing w:after="90" w:before="220"/>
      </w:pPr>
      <w:r>
        <w:rPr>
          <w:b/>
          <w:bCs/>
          <w:color w:val="0F1B14"/>
          <w:sz w:val="26"/>
          <w:szCs w:val="26"/>
        </w:rPr>
        <w:t xml:space="preserve">What changed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sz w:val="22"/>
          <w:szCs w:val="22"/>
        </w:rPr>
        <w:t xml:space="preserve">When uploading or editing a BAST document, you can select the billing milestone it belongs to.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sz w:val="22"/>
          <w:szCs w:val="22"/>
        </w:rPr>
        <w:t xml:space="preserve">The Billing tab shows, per milestone, whether its BAST is already on file.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sz w:val="22"/>
          <w:szCs w:val="22"/>
        </w:rPr>
        <w:t xml:space="preserve">Milestone linkage is optional — a project-level BAST without a milestone is still valid.</w:t>
      </w:r>
    </w:p>
    <w:p>
      <w:pPr>
        <w:pStyle w:val="Heading2"/>
        <w:spacing w:after="90" w:before="220"/>
      </w:pPr>
      <w:r>
        <w:rPr>
          <w:b/>
          <w:bCs/>
          <w:color w:val="0F1B14"/>
          <w:sz w:val="26"/>
          <w:szCs w:val="26"/>
        </w:rPr>
        <w:t xml:space="preserve">Why it matters</w:t>
      </w:r>
    </w:p>
    <w:p>
      <w:pPr>
        <w:spacing w:after="120" w:line="276"/>
      </w:pPr>
      <w:r>
        <w:rPr>
          <w:sz w:val="22"/>
          <w:szCs w:val="22"/>
        </w:rPr>
        <w:t xml:space="preserve">Finance and Admin Project can see at a glance which invoiced milestones are backed by a signed handover document, closing a common audit gap before invoicing.</w:t>
      </w:r>
    </w:p>
    <w:p>
      <w:pPr>
        <w:pStyle w:val="Heading1"/>
        <w:spacing w:after="140" w:before="360"/>
      </w:pPr>
      <w:r>
        <w:rPr>
          <w:b/>
          <w:bCs/>
          <w:color w:val="1F7A4D"/>
          <w:sz w:val="30"/>
          <w:szCs w:val="30"/>
        </w:rPr>
        <w:t xml:space="preserve">2. Hyperlink Documents &amp; Evidence-Enforced Closing Checklist</w:t>
      </w:r>
    </w:p>
    <w:p>
      <w:pPr>
        <w:pStyle w:val="Heading2"/>
        <w:spacing w:after="90" w:before="220"/>
      </w:pPr>
      <w:r>
        <w:rPr>
          <w:b/>
          <w:bCs/>
          <w:color w:val="0F1B14"/>
          <w:sz w:val="26"/>
          <w:szCs w:val="26"/>
        </w:rPr>
        <w:t xml:space="preserve">What changed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sz w:val="22"/>
          <w:szCs w:val="22"/>
        </w:rPr>
        <w:t xml:space="preserve">Link documents: </w:t>
      </w:r>
      <w:r>
        <w:rPr>
          <w:b w:val="false"/>
          <w:bCs w:val="false"/>
          <w:sz w:val="22"/>
          <w:szCs w:val="22"/>
        </w:rPr>
        <w:t xml:space="preserve">a document can now be registered as an external link (SharePoint, Google Drive, etc.) instead of a file upload. Only secure https URLs are accepted.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sz w:val="22"/>
          <w:szCs w:val="22"/>
        </w:rPr>
        <w:t xml:space="preserve">New document type: </w:t>
      </w:r>
      <w:r>
        <w:rPr>
          <w:b w:val="false"/>
          <w:bCs w:val="false"/>
          <w:sz w:val="22"/>
          <w:szCs w:val="22"/>
        </w:rPr>
        <w:t xml:space="preserve">REPORT, alongside BAST, INVOICE, CONTRACT, and OTHER.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sz w:val="22"/>
          <w:szCs w:val="22"/>
        </w:rPr>
        <w:t xml:space="preserve">Evidence enforcement: </w:t>
      </w:r>
      <w:r>
        <w:rPr>
          <w:b w:val="false"/>
          <w:bCs w:val="false"/>
          <w:sz w:val="22"/>
          <w:szCs w:val="22"/>
        </w:rPr>
        <w:t xml:space="preserve">closing checklist items can no longer be marked Done without their supporting document:</w:t>
      </w:r>
    </w:p>
    <w:p>
      <w:pPr>
        <w:pStyle w:val="ListParagraph"/>
        <w:numPr>
          <w:ilvl w:val="1"/>
          <w:numId w:val="1"/>
        </w:numPr>
        <w:spacing w:after="60" w:line="268"/>
      </w:pPr>
      <w:r>
        <w:rPr>
          <w:sz w:val="22"/>
          <w:szCs w:val="22"/>
        </w:rPr>
        <w:t xml:space="preserve">BAST Signed requires at least one BAST document.</w:t>
      </w:r>
    </w:p>
    <w:p>
      <w:pPr>
        <w:pStyle w:val="ListParagraph"/>
        <w:numPr>
          <w:ilvl w:val="1"/>
          <w:numId w:val="1"/>
        </w:numPr>
        <w:spacing w:after="60" w:line="268"/>
      </w:pPr>
      <w:r>
        <w:rPr>
          <w:sz w:val="22"/>
          <w:szCs w:val="22"/>
        </w:rPr>
        <w:t xml:space="preserve">Final Report Delivered requires at least one REPORT document.</w:t>
      </w:r>
    </w:p>
    <w:p>
      <w:pPr>
        <w:pStyle w:val="ListParagraph"/>
        <w:numPr>
          <w:ilvl w:val="1"/>
          <w:numId w:val="1"/>
        </w:numPr>
        <w:spacing w:after="60" w:line="268"/>
      </w:pPr>
      <w:r>
        <w:rPr>
          <w:sz w:val="22"/>
          <w:szCs w:val="22"/>
        </w:rPr>
        <w:t xml:space="preserve">Invoice Issued requires an INVOICE document or an invoiced milestone.</w:t>
      </w:r>
    </w:p>
    <w:p>
      <w:pPr>
        <w:pStyle w:val="ListParagraph"/>
        <w:numPr>
          <w:ilvl w:val="1"/>
          <w:numId w:val="1"/>
        </w:numPr>
        <w:spacing w:after="60" w:line="268"/>
      </w:pPr>
      <w:r>
        <w:rPr>
          <w:sz w:val="22"/>
          <w:szCs w:val="22"/>
        </w:rPr>
        <w:t xml:space="preserve">Items can still be marked N/A where genuinely not applicable.</w:t>
      </w:r>
    </w:p>
    <w:p>
      <w:pPr>
        <w:pStyle w:val="Heading2"/>
        <w:spacing w:after="90" w:before="220"/>
      </w:pPr>
      <w:r>
        <w:rPr>
          <w:b/>
          <w:bCs/>
          <w:color w:val="0F1B14"/>
          <w:sz w:val="26"/>
          <w:szCs w:val="26"/>
        </w:rPr>
        <w:t xml:space="preserve">Why it matters</w:t>
      </w:r>
    </w:p>
    <w:p>
      <w:pPr>
        <w:spacing w:after="120" w:line="276"/>
      </w:pPr>
      <w:r>
        <w:rPr>
          <w:sz w:val="22"/>
          <w:szCs w:val="22"/>
        </w:rPr>
        <w:t xml:space="preserve">The closing checklist now reflects reality: a project cannot claim its deliverables are done unless the evidence exists in the system, whether uploaded or linked.</w:t>
      </w:r>
    </w:p>
    <w:p>
      <w:pPr>
        <w:pStyle w:val="Heading1"/>
        <w:spacing w:after="140" w:before="360"/>
      </w:pPr>
      <w:r>
        <w:rPr>
          <w:b/>
          <w:bCs/>
          <w:color w:val="1F7A4D"/>
          <w:sz w:val="30"/>
          <w:szCs w:val="30"/>
        </w:rPr>
        <w:t xml:space="preserve">3. Cash Advance &amp; Purchase Order Expenses with Settlement</w:t>
      </w:r>
    </w:p>
    <w:p>
      <w:pPr>
        <w:pStyle w:val="Heading2"/>
        <w:spacing w:after="90" w:before="220"/>
      </w:pPr>
      <w:r>
        <w:rPr>
          <w:b/>
          <w:bCs/>
          <w:color w:val="0F1B14"/>
          <w:sz w:val="26"/>
          <w:szCs w:val="26"/>
        </w:rPr>
        <w:t xml:space="preserve">What changed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sz w:val="22"/>
          <w:szCs w:val="22"/>
        </w:rPr>
        <w:t xml:space="preserve">Two new expense categories: </w:t>
      </w:r>
      <w:r>
        <w:rPr>
          <w:b w:val="false"/>
          <w:bCs w:val="false"/>
          <w:sz w:val="22"/>
          <w:szCs w:val="22"/>
        </w:rPr>
        <w:t xml:space="preserve">Cash Advance (money issued up front) and Purchase Order (with a PO number field).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sz w:val="22"/>
          <w:szCs w:val="22"/>
        </w:rPr>
        <w:t xml:space="preserve">Cash advance settlement: </w:t>
      </w:r>
      <w:r>
        <w:rPr>
          <w:b w:val="false"/>
          <w:bCs w:val="false"/>
          <w:sz w:val="22"/>
          <w:szCs w:val="22"/>
        </w:rPr>
        <w:t xml:space="preserve">after the work is done, an approved cash advance is settled with the actual amount spent. The project cost then counts the settled amount, not the original advance.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sz w:val="22"/>
          <w:szCs w:val="22"/>
        </w:rPr>
        <w:t xml:space="preserve">Settlement records who settled, when, and at what amount.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sz w:val="22"/>
          <w:szCs w:val="22"/>
        </w:rPr>
        <w:t xml:space="preserve">As before, only approved expenses count toward project cost; management submissions auto-approve.</w:t>
      </w:r>
    </w:p>
    <w:p>
      <w:pPr>
        <w:pStyle w:val="Heading2"/>
        <w:spacing w:after="90" w:before="220"/>
      </w:pPr>
      <w:r>
        <w:rPr>
          <w:b/>
          <w:bCs/>
          <w:color w:val="0F1B14"/>
          <w:sz w:val="26"/>
          <w:szCs w:val="26"/>
        </w:rPr>
        <w:t xml:space="preserve">Why it matters</w:t>
      </w:r>
    </w:p>
    <w:p>
      <w:pPr>
        <w:spacing w:after="120" w:line="276"/>
      </w:pPr>
      <w:r>
        <w:rPr>
          <w:sz w:val="22"/>
          <w:szCs w:val="22"/>
        </w:rPr>
        <w:t xml:space="preserve">Cash advances no longer distort project profitability. Margins are computed from what was actually spent, and outstanding (unsettled) advances are visible until they are closed out.</w:t>
      </w:r>
    </w:p>
    <w:p>
      <w:r>
        <w:br w:type="page"/>
      </w:r>
    </w:p>
    <w:p>
      <w:pPr>
        <w:pStyle w:val="Heading1"/>
        <w:spacing w:after="140" w:before="360"/>
      </w:pPr>
      <w:r>
        <w:rPr>
          <w:b/>
          <w:bCs/>
          <w:color w:val="1F7A4D"/>
          <w:sz w:val="30"/>
          <w:szCs w:val="30"/>
        </w:rPr>
        <w:t xml:space="preserve">4. Mandatory Task on Time Entries &amp; Planned-Hour Caps</w:t>
      </w:r>
    </w:p>
    <w:p>
      <w:pPr>
        <w:pStyle w:val="Heading2"/>
        <w:spacing w:after="90" w:before="220"/>
      </w:pPr>
      <w:r>
        <w:rPr>
          <w:b/>
          <w:bCs/>
          <w:color w:val="0F1B14"/>
          <w:sz w:val="26"/>
          <w:szCs w:val="26"/>
        </w:rPr>
        <w:t xml:space="preserve">What changed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sz w:val="22"/>
          <w:szCs w:val="22"/>
        </w:rPr>
        <w:t xml:space="preserve">Task is mandatory </w:t>
      </w:r>
      <w:r>
        <w:rPr>
          <w:b w:val="false"/>
          <w:bCs w:val="false"/>
          <w:sz w:val="22"/>
          <w:szCs w:val="22"/>
        </w:rPr>
        <w:t xml:space="preserve">for Consultants, Technical Writers, and Admin Project when logging time — every hour is now attributable to a work-breakdown task.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sz w:val="22"/>
          <w:szCs w:val="22"/>
        </w:rPr>
        <w:t xml:space="preserve">Planned-hour cap: </w:t>
      </w:r>
      <w:r>
        <w:rPr>
          <w:b w:val="false"/>
          <w:bCs w:val="false"/>
          <w:sz w:val="22"/>
          <w:szCs w:val="22"/>
        </w:rPr>
        <w:t xml:space="preserve">a task can carry a planned-hours budget. When set, total logged hours across all users (draft, submitted, and approved) cannot exceed it.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sz w:val="22"/>
          <w:szCs w:val="22"/>
        </w:rPr>
        <w:t xml:space="preserve">When a cap would be exceeded, the entry is rejected with a clear message that includes the remaining hours available on the task.</w:t>
      </w:r>
    </w:p>
    <w:p>
      <w:pPr>
        <w:pStyle w:val="Heading2"/>
        <w:spacing w:after="90" w:before="220"/>
      </w:pPr>
      <w:r>
        <w:rPr>
          <w:b/>
          <w:bCs/>
          <w:color w:val="0F1B14"/>
          <w:sz w:val="26"/>
          <w:szCs w:val="26"/>
        </w:rPr>
        <w:t xml:space="preserve">Why it matters</w:t>
      </w:r>
    </w:p>
    <w:p>
      <w:pPr>
        <w:spacing w:after="120" w:line="276"/>
      </w:pPr>
      <w:r>
        <w:rPr>
          <w:sz w:val="22"/>
          <w:szCs w:val="22"/>
        </w:rPr>
        <w:t xml:space="preserve">Time tracking now doubles as budget control. PMs can bound effort per task and get automatic enforcement instead of discovering overruns after approval.</w:t>
      </w:r>
    </w:p>
    <w:p>
      <w:pPr>
        <w:pStyle w:val="Heading1"/>
        <w:spacing w:after="140" w:before="360"/>
      </w:pPr>
      <w:r>
        <w:rPr>
          <w:b/>
          <w:bCs/>
          <w:color w:val="1F7A4D"/>
          <w:sz w:val="30"/>
          <w:szCs w:val="30"/>
        </w:rPr>
        <w:t xml:space="preserve">5. 360-Degree Feedback &amp; Stricter Project Closing Gate</w:t>
      </w:r>
    </w:p>
    <w:p>
      <w:pPr>
        <w:pStyle w:val="Heading2"/>
        <w:spacing w:after="90" w:before="220"/>
      </w:pPr>
      <w:r>
        <w:rPr>
          <w:b/>
          <w:bCs/>
          <w:color w:val="0F1B14"/>
          <w:sz w:val="26"/>
          <w:szCs w:val="26"/>
        </w:rPr>
        <w:t xml:space="preserve">What changed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sz w:val="22"/>
          <w:szCs w:val="22"/>
        </w:rPr>
        <w:t xml:space="preserve">Automatic 360 cycle: </w:t>
      </w:r>
      <w:r>
        <w:rPr>
          <w:b w:val="false"/>
          <w:bCs w:val="false"/>
          <w:sz w:val="22"/>
          <w:szCs w:val="22"/>
        </w:rPr>
        <w:t xml:space="preserve">when a project is marked Complete, the system automatically creates peer review pairs — the PM reviews each accepted team member, and each team member reviews the PM.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sz w:val="22"/>
          <w:szCs w:val="22"/>
        </w:rPr>
        <w:t xml:space="preserve">Client survey auto-release: </w:t>
      </w:r>
      <w:r>
        <w:rPr>
          <w:b w:val="false"/>
          <w:bCs w:val="false"/>
          <w:sz w:val="22"/>
          <w:szCs w:val="22"/>
        </w:rPr>
        <w:t xml:space="preserve">the client satisfaction survey token is issued automatically at Complete, with no manual step.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sz w:val="22"/>
          <w:szCs w:val="22"/>
        </w:rPr>
        <w:t xml:space="preserve">New Closed gate: </w:t>
      </w:r>
      <w:r>
        <w:rPr>
          <w:b w:val="false"/>
          <w:bCs w:val="false"/>
          <w:sz w:val="22"/>
          <w:szCs w:val="22"/>
        </w:rPr>
        <w:t xml:space="preserve">a project can only move from Complete to Closed when:</w:t>
      </w:r>
    </w:p>
    <w:p>
      <w:pPr>
        <w:pStyle w:val="ListParagraph"/>
        <w:numPr>
          <w:ilvl w:val="1"/>
          <w:numId w:val="1"/>
        </w:numPr>
        <w:spacing w:after="60" w:line="268"/>
      </w:pPr>
      <w:r>
        <w:rPr>
          <w:sz w:val="22"/>
          <w:szCs w:val="22"/>
        </w:rPr>
        <w:t xml:space="preserve">All 360 feedback forms have been submitted.</w:t>
      </w:r>
    </w:p>
    <w:p>
      <w:pPr>
        <w:pStyle w:val="ListParagraph"/>
        <w:numPr>
          <w:ilvl w:val="1"/>
          <w:numId w:val="1"/>
        </w:numPr>
        <w:spacing w:after="60" w:line="268"/>
      </w:pPr>
      <w:r>
        <w:rPr>
          <w:sz w:val="22"/>
          <w:szCs w:val="22"/>
        </w:rPr>
        <w:t xml:space="preserve">The lessons-learned note on the closing checklist is filled in.</w:t>
      </w:r>
    </w:p>
    <w:p>
      <w:pPr>
        <w:pStyle w:val="ListParagraph"/>
        <w:numPr>
          <w:ilvl w:val="1"/>
          <w:numId w:val="1"/>
        </w:numPr>
        <w:spacing w:after="60" w:line="268"/>
      </w:pPr>
      <w:r>
        <w:rPr>
          <w:sz w:val="22"/>
          <w:szCs w:val="22"/>
        </w:rPr>
        <w:t xml:space="preserve">For client projects, at least one client survey response has been received.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sz w:val="22"/>
          <w:szCs w:val="22"/>
        </w:rPr>
        <w:t xml:space="preserve">If requirements are missing, the system reports exactly which items are outstanding. Non-commercial projects (internal, presales, training) are exempt from the survey requirement.</w:t>
      </w:r>
    </w:p>
    <w:p>
      <w:pPr>
        <w:pStyle w:val="Heading2"/>
        <w:spacing w:after="90" w:before="220"/>
      </w:pPr>
      <w:r>
        <w:rPr>
          <w:b/>
          <w:bCs/>
          <w:color w:val="0F1B14"/>
          <w:sz w:val="26"/>
          <w:szCs w:val="26"/>
        </w:rPr>
        <w:t xml:space="preserve">Why it matters</w:t>
      </w:r>
    </w:p>
    <w:p>
      <w:pPr>
        <w:spacing w:after="120" w:line="276"/>
      </w:pPr>
      <w:r>
        <w:rPr>
          <w:sz w:val="22"/>
          <w:szCs w:val="22"/>
        </w:rPr>
        <w:t xml:space="preserve">Closing a project now guarantees the learning loop happened: peer feedback, client voice, and lessons learned are captured while the engagement is still fresh — not skipped under delivery pressure.</w:t>
      </w:r>
    </w:p>
    <w:p>
      <w:r>
        <w:br w:type="page"/>
      </w:r>
    </w:p>
    <w:p>
      <w:pPr>
        <w:pStyle w:val="Heading1"/>
        <w:spacing w:after="140" w:before="360"/>
      </w:pPr>
      <w:r>
        <w:rPr>
          <w:b/>
          <w:bCs/>
          <w:color w:val="1F7A4D"/>
          <w:sz w:val="30"/>
          <w:szCs w:val="30"/>
        </w:rPr>
        <w:t xml:space="preserve">6. Cost &amp; Selling Rate Periods per Resource</w:t>
      </w:r>
    </w:p>
    <w:p>
      <w:pPr>
        <w:pStyle w:val="Heading2"/>
        <w:spacing w:after="90" w:before="220"/>
      </w:pPr>
      <w:r>
        <w:rPr>
          <w:b/>
          <w:bCs/>
          <w:color w:val="0F1B14"/>
          <w:sz w:val="26"/>
          <w:szCs w:val="26"/>
        </w:rPr>
        <w:t xml:space="preserve">What changed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sz w:val="22"/>
          <w:szCs w:val="22"/>
        </w:rPr>
        <w:t xml:space="preserve">Rate history: </w:t>
      </w:r>
      <w:r>
        <w:rPr>
          <w:b w:val="false"/>
          <w:bCs w:val="false"/>
          <w:sz w:val="22"/>
          <w:szCs w:val="22"/>
        </w:rPr>
        <w:t xml:space="preserve">each project resource now keeps a dated history of cost rates (and optional selling rates). A new period takes effect from its chosen date forward.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sz w:val="22"/>
          <w:szCs w:val="22"/>
        </w:rPr>
        <w:t xml:space="preserve">Historical accuracy: </w:t>
      </w:r>
      <w:r>
        <w:rPr>
          <w:b w:val="false"/>
          <w:bCs w:val="false"/>
          <w:sz w:val="22"/>
          <w:szCs w:val="22"/>
        </w:rPr>
        <w:t xml:space="preserve">approved timesheets are always costed at the rate that was in effect on the work date. Raising a rate mid-project never reprices work that was already done.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sz w:val="22"/>
          <w:szCs w:val="22"/>
        </w:rPr>
        <w:t xml:space="preserve">The first rate change automatically records the original rate as a baseline from project start, protecting all earlier timesheets.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sz w:val="22"/>
          <w:szCs w:val="22"/>
        </w:rPr>
        <w:t xml:space="preserve">The Resources tab gains a rate-history dialog (visible to Management and the assigned PM) to view periods and add new ones.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sz w:val="22"/>
          <w:szCs w:val="22"/>
        </w:rPr>
        <w:t xml:space="preserve">Daily rates remain hidden from roles without rate visibility, exactly as before.</w:t>
      </w:r>
    </w:p>
    <w:p>
      <w:pPr>
        <w:pStyle w:val="Heading2"/>
        <w:spacing w:after="90" w:before="220"/>
      </w:pPr>
      <w:r>
        <w:rPr>
          <w:b/>
          <w:bCs/>
          <w:color w:val="0F1B14"/>
          <w:sz w:val="26"/>
          <w:szCs w:val="26"/>
        </w:rPr>
        <w:t xml:space="preserve">Why it matters</w:t>
      </w:r>
    </w:p>
    <w:p>
      <w:pPr>
        <w:spacing w:after="120" w:line="276"/>
      </w:pPr>
      <w:r>
        <w:rPr>
          <w:sz w:val="22"/>
          <w:szCs w:val="22"/>
        </w:rPr>
        <w:t xml:space="preserve">Mid-project rate adjustments (promotions, renegotiations) are now safe: financials stay historically correct, margins reflect the true cost timeline, and there is a full audit trail of who cost what, when.</w:t>
      </w:r>
    </w:p>
    <w:p>
      <w:pPr>
        <w:pStyle w:val="Heading1"/>
        <w:spacing w:after="140" w:before="360"/>
      </w:pPr>
      <w:r>
        <w:rPr>
          <w:b/>
          <w:bCs/>
          <w:color w:val="1F7A4D"/>
          <w:sz w:val="30"/>
          <w:szCs w:val="30"/>
        </w:rPr>
        <w:t xml:space="preserve">Access &amp; Permissions Summary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5%"/>
            <w:shd w:fill="1F7A4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pct" w:w="55%"/>
            <w:shd w:fill="1F7A4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Who can do it</w:t>
            </w:r>
          </w:p>
        </w:tc>
      </w:tr>
      <w:tr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F1B14"/>
                <w:sz w:val="20"/>
                <w:szCs w:val="20"/>
              </w:rPr>
              <w:t xml:space="preserve">Link a BAST to a milestone</w:t>
            </w:r>
          </w:p>
        </w:tc>
        <w:tc>
          <w:tcPr>
            <w:tcW w:type="pct" w:w="5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F1B14"/>
                <w:sz w:val="20"/>
                <w:szCs w:val="20"/>
              </w:rPr>
              <w:t xml:space="preserve">Management, assigned PM, Admin Project (document editors)</w:t>
            </w:r>
          </w:p>
        </w:tc>
      </w:tr>
      <w:tr>
        <w:tc>
          <w:tcPr>
            <w:tcW w:type="pct" w:w="45%"/>
            <w:shd w:fill="F1F6F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F1B14"/>
                <w:sz w:val="20"/>
                <w:szCs w:val="20"/>
              </w:rPr>
              <w:t xml:space="preserve">Add link-type documents</w:t>
            </w:r>
          </w:p>
        </w:tc>
        <w:tc>
          <w:tcPr>
            <w:tcW w:type="pct" w:w="55%"/>
            <w:shd w:fill="F1F6F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F1B14"/>
                <w:sz w:val="20"/>
                <w:szCs w:val="20"/>
              </w:rPr>
              <w:t xml:space="preserve">Same roles as file documents</w:t>
            </w:r>
          </w:p>
        </w:tc>
      </w:tr>
      <w:tr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F1B14"/>
                <w:sz w:val="20"/>
                <w:szCs w:val="20"/>
              </w:rPr>
              <w:t xml:space="preserve">Mark closing checklist items Done</w:t>
            </w:r>
          </w:p>
        </w:tc>
        <w:tc>
          <w:tcPr>
            <w:tcW w:type="pct" w:w="5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F1B14"/>
                <w:sz w:val="20"/>
                <w:szCs w:val="20"/>
              </w:rPr>
              <w:t xml:space="preserve">Management, assigned PM (with required evidence)</w:t>
            </w:r>
          </w:p>
        </w:tc>
      </w:tr>
      <w:tr>
        <w:tc>
          <w:tcPr>
            <w:tcW w:type="pct" w:w="45%"/>
            <w:shd w:fill="F1F6F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F1B14"/>
                <w:sz w:val="20"/>
                <w:szCs w:val="20"/>
              </w:rPr>
              <w:t xml:space="preserve">Submit Cash Advance / PO expenses</w:t>
            </w:r>
          </w:p>
        </w:tc>
        <w:tc>
          <w:tcPr>
            <w:tcW w:type="pct" w:w="55%"/>
            <w:shd w:fill="F1F6F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F1B14"/>
                <w:sz w:val="20"/>
                <w:szCs w:val="20"/>
              </w:rPr>
              <w:t xml:space="preserve">Project team (Management auto-approved)</w:t>
            </w:r>
          </w:p>
        </w:tc>
      </w:tr>
      <w:tr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F1B14"/>
                <w:sz w:val="20"/>
                <w:szCs w:val="20"/>
              </w:rPr>
              <w:t xml:space="preserve">Settle a cash advance</w:t>
            </w:r>
          </w:p>
        </w:tc>
        <w:tc>
          <w:tcPr>
            <w:tcW w:type="pct" w:w="5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F1B14"/>
                <w:sz w:val="20"/>
                <w:szCs w:val="20"/>
              </w:rPr>
              <w:t xml:space="preserve">Management, assigned PM</w:t>
            </w:r>
          </w:p>
        </w:tc>
      </w:tr>
      <w:tr>
        <w:tc>
          <w:tcPr>
            <w:tcW w:type="pct" w:w="45%"/>
            <w:shd w:fill="F1F6F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F1B14"/>
                <w:sz w:val="20"/>
                <w:szCs w:val="20"/>
              </w:rPr>
              <w:t xml:space="preserve">Log time without a task</w:t>
            </w:r>
          </w:p>
        </w:tc>
        <w:tc>
          <w:tcPr>
            <w:tcW w:type="pct" w:w="55%"/>
            <w:shd w:fill="F1F6F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F1B14"/>
                <w:sz w:val="20"/>
                <w:szCs w:val="20"/>
              </w:rPr>
              <w:t xml:space="preserve">Only roles outside Consultant / TW / Admin Project</w:t>
            </w:r>
          </w:p>
        </w:tc>
      </w:tr>
      <w:tr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F1B14"/>
                <w:sz w:val="20"/>
                <w:szCs w:val="20"/>
              </w:rPr>
              <w:t xml:space="preserve">Set planned hours on a task</w:t>
            </w:r>
          </w:p>
        </w:tc>
        <w:tc>
          <w:tcPr>
            <w:tcW w:type="pct" w:w="5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F1B14"/>
                <w:sz w:val="20"/>
                <w:szCs w:val="20"/>
              </w:rPr>
              <w:t xml:space="preserve">Management, PM (task editors)</w:t>
            </w:r>
          </w:p>
        </w:tc>
      </w:tr>
      <w:tr>
        <w:tc>
          <w:tcPr>
            <w:tcW w:type="pct" w:w="45%"/>
            <w:shd w:fill="F1F6F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F1B14"/>
                <w:sz w:val="20"/>
                <w:szCs w:val="20"/>
              </w:rPr>
              <w:t xml:space="preserve">Submit 360 feedback</w:t>
            </w:r>
          </w:p>
        </w:tc>
        <w:tc>
          <w:tcPr>
            <w:tcW w:type="pct" w:w="55%"/>
            <w:shd w:fill="F1F6F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F1B14"/>
                <w:sz w:val="20"/>
                <w:szCs w:val="20"/>
              </w:rPr>
              <w:t xml:space="preserve">PM and accepted project resources (their own forms)</w:t>
            </w:r>
          </w:p>
        </w:tc>
      </w:tr>
      <w:tr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F1B14"/>
                <w:sz w:val="20"/>
                <w:szCs w:val="20"/>
              </w:rPr>
              <w:t xml:space="preserve">View / add rate periods</w:t>
            </w:r>
          </w:p>
        </w:tc>
        <w:tc>
          <w:tcPr>
            <w:tcW w:type="pct" w:w="5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F1B14"/>
                <w:sz w:val="20"/>
                <w:szCs w:val="20"/>
              </w:rPr>
              <w:t xml:space="preserve">Management and assigned PM; rates stay hidden from other roles</w:t>
            </w:r>
          </w:p>
        </w:tc>
      </w:tr>
    </w:tbl>
    <w:p>
      <w:pPr>
        <w:spacing w:after="120" w:line="276"/>
      </w:pPr>
      <w:r>
        <w:rPr>
          <w:b/>
          <w:bCs/>
          <w:sz w:val="22"/>
          <w:szCs w:val="22"/>
        </w:rPr>
        <w:t xml:space="preserve">Compatibility: </w:t>
      </w:r>
      <w:r>
        <w:rPr>
          <w:b w:val="false"/>
          <w:bCs w:val="false"/>
          <w:sz w:val="22"/>
          <w:szCs w:val="22"/>
        </w:rPr>
        <w:t xml:space="preserve">all six features are additive. Existing projects, documents, expenses, and timesheets continue to work unchanged; new rules apply from this release onward.</w:t>
      </w:r>
    </w:p>
    <w:sectPr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SecureProfit Hub — Release Notes, July 2026</dc:title>
  <dc:creator>SecureProfit Hub</dc:creator>
  <cp:lastModifiedBy>Un-named</cp:lastModifiedBy>
  <cp:revision>1</cp:revision>
  <dcterms:created xsi:type="dcterms:W3CDTF">2026-07-23T08:05:53.601Z</dcterms:created>
  <dcterms:modified xsi:type="dcterms:W3CDTF">2026-07-23T08:05:53.605Z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