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1F7A4D"/>
          <w:sz w:val="64"/>
          <w:szCs w:val="64"/>
        </w:rPr>
        <w:t xml:space="preserve">SecureProfit Hub</w:t>
      </w:r>
    </w:p>
    <w:p>
      <w:pPr>
        <w:spacing w:after="40"/>
        <w:jc w:val="center"/>
      </w:pPr>
      <w:r>
        <w:rPr>
          <w:b/>
          <w:bCs/>
          <w:color w:val="0F1B14"/>
          <w:sz w:val="34"/>
          <w:szCs w:val="34"/>
        </w:rPr>
        <w:t xml:space="preserve">Feature &amp; Calculation Reference</w:t>
      </w:r>
    </w:p>
    <w:p>
      <w:pPr>
        <w:spacing w:after="40"/>
        <w:jc w:val="center"/>
      </w:pPr>
      <w:r>
        <w:rPr>
          <w:i/>
          <w:iCs/>
          <w:color w:val="555555"/>
          <w:sz w:val="24"/>
          <w:szCs w:val="24"/>
        </w:rPr>
        <w:t xml:space="preserve">Project &amp; Profitability Management System for IT Security Consulting</w:t>
      </w:r>
    </w:p>
    <w:p>
      <w:pPr>
        <w:spacing w:before="600"/>
        <w:jc w:val="center"/>
      </w:pPr>
      <w:r>
        <w:rPr>
          <w:color w:val="555555"/>
          <w:sz w:val="22"/>
          <w:szCs w:val="22"/>
        </w:rPr>
        <w:t xml:space="preserve">Internal Presentation Material</w:t>
      </w:r>
    </w:p>
    <w:p>
      <w:pPr>
        <w:jc w:val="center"/>
      </w:pPr>
      <w:r>
        <w:rPr>
          <w:color w:val="555555"/>
          <w:sz w:val="22"/>
          <w:szCs w:val="22"/>
        </w:rPr>
        <w:t xml:space="preserve">Prepared: July 2026 (rev. 2)</w:t>
      </w:r>
    </w:p>
    <w:p>
      <w:r>
        <w:br w:type="page"/>
      </w:r>
    </w:p>
    <w:p>
      <w:pPr>
        <w:pStyle w:val="Heading1"/>
        <w:spacing w:after="140" w:before="360"/>
      </w:pPr>
      <w:r>
        <w:rPr>
          <w:b/>
          <w:bCs/>
          <w:color w:val="1F7A4D"/>
          <w:sz w:val="30"/>
          <w:szCs w:val="30"/>
        </w:rPr>
        <w:t xml:space="preserve">Table of Contents</w:t>
      </w:r>
    </w:p>
    <w:p>
      <w:pPr>
        <w:pStyle w:val="ListParagraph"/>
        <w:numPr>
          <w:ilvl w:val="0"/>
          <w:numId w:val="1"/>
        </w:numPr>
        <w:spacing w:after="60" w:line="268"/>
      </w:pPr>
      <w:r>
        <w:rPr>
          <w:sz w:val="22"/>
          <w:szCs w:val="22"/>
        </w:rPr>
        <w:t xml:space="preserve">1.  Executive Summary</w:t>
      </w:r>
    </w:p>
    <w:p>
      <w:pPr>
        <w:pStyle w:val="ListParagraph"/>
        <w:numPr>
          <w:ilvl w:val="0"/>
          <w:numId w:val="1"/>
        </w:numPr>
        <w:spacing w:after="60" w:line="268"/>
      </w:pPr>
      <w:r>
        <w:rPr>
          <w:sz w:val="22"/>
          <w:szCs w:val="22"/>
        </w:rPr>
        <w:t xml:space="preserve">2.  Technology &amp; Architecture</w:t>
      </w:r>
    </w:p>
    <w:p>
      <w:pPr>
        <w:pStyle w:val="ListParagraph"/>
        <w:numPr>
          <w:ilvl w:val="0"/>
          <w:numId w:val="1"/>
        </w:numPr>
        <w:spacing w:after="60" w:line="268"/>
      </w:pPr>
      <w:r>
        <w:rPr>
          <w:sz w:val="22"/>
          <w:szCs w:val="22"/>
        </w:rPr>
        <w:t xml:space="preserve">3.  User Roles &amp; Access</w:t>
      </w:r>
    </w:p>
    <w:p>
      <w:pPr>
        <w:pStyle w:val="ListParagraph"/>
        <w:numPr>
          <w:ilvl w:val="0"/>
          <w:numId w:val="1"/>
        </w:numPr>
        <w:spacing w:after="60" w:line="268"/>
      </w:pPr>
      <w:r>
        <w:rPr>
          <w:sz w:val="22"/>
          <w:szCs w:val="22"/>
        </w:rPr>
        <w:t xml:space="preserve">4.  Project Lifecycle</w:t>
      </w:r>
    </w:p>
    <w:p>
      <w:pPr>
        <w:pStyle w:val="ListParagraph"/>
        <w:numPr>
          <w:ilvl w:val="0"/>
          <w:numId w:val="1"/>
        </w:numPr>
        <w:spacing w:after="60" w:line="268"/>
      </w:pPr>
      <w:r>
        <w:rPr>
          <w:sz w:val="22"/>
          <w:szCs w:val="22"/>
        </w:rPr>
        <w:t xml:space="preserve">5.  Core Features by Module</w:t>
      </w:r>
    </w:p>
    <w:p>
      <w:pPr>
        <w:pStyle w:val="ListParagraph"/>
        <w:numPr>
          <w:ilvl w:val="0"/>
          <w:numId w:val="1"/>
        </w:numPr>
        <w:spacing w:after="60" w:line="268"/>
      </w:pPr>
      <w:r>
        <w:rPr>
          <w:sz w:val="22"/>
          <w:szCs w:val="22"/>
        </w:rPr>
        <w:t xml:space="preserve">6.  Calculations in the Application</w:t>
      </w:r>
    </w:p>
    <w:p>
      <w:pPr>
        <w:pStyle w:val="ListParagraph"/>
        <w:numPr>
          <w:ilvl w:val="0"/>
          <w:numId w:val="1"/>
        </w:numPr>
        <w:spacing w:after="60" w:line="268"/>
      </w:pPr>
      <w:r>
        <w:rPr>
          <w:sz w:val="22"/>
          <w:szCs w:val="22"/>
        </w:rPr>
        <w:t xml:space="preserve">7.  End-to-End Worked Example</w:t>
      </w:r>
    </w:p>
    <w:p>
      <w:pPr>
        <w:pStyle w:val="ListParagraph"/>
        <w:numPr>
          <w:ilvl w:val="0"/>
          <w:numId w:val="1"/>
        </w:numPr>
        <w:spacing w:after="60" w:line="268"/>
      </w:pPr>
      <w:r>
        <w:rPr>
          <w:sz w:val="22"/>
          <w:szCs w:val="22"/>
        </w:rPr>
        <w:t xml:space="preserve">8.  Accounting Integration (Xero)</w:t>
      </w:r>
    </w:p>
    <w:p>
      <w:pPr>
        <w:pStyle w:val="ListParagraph"/>
        <w:numPr>
          <w:ilvl w:val="0"/>
          <w:numId w:val="1"/>
        </w:numPr>
        <w:spacing w:after="60" w:line="268"/>
      </w:pPr>
      <w:r>
        <w:rPr>
          <w:sz w:val="22"/>
          <w:szCs w:val="22"/>
        </w:rPr>
        <w:t xml:space="preserve">9.  Security &amp; Access Control</w:t>
      </w:r>
    </w:p>
    <w:p>
      <w:pPr>
        <w:pStyle w:val="ListParagraph"/>
        <w:numPr>
          <w:ilvl w:val="0"/>
          <w:numId w:val="1"/>
        </w:numPr>
        <w:spacing w:after="60" w:line="268"/>
      </w:pPr>
      <w:r>
        <w:rPr>
          <w:sz w:val="22"/>
          <w:szCs w:val="22"/>
        </w:rPr>
        <w:t xml:space="preserve">10. Presentation Preparation &amp; Demo Flow</w:t>
      </w:r>
    </w:p>
    <w:p>
      <w:r>
        <w:br w:type="page"/>
      </w:r>
    </w:p>
    <w:p>
      <w:pPr>
        <w:pStyle w:val="Heading1"/>
        <w:spacing w:after="140" w:before="360"/>
      </w:pPr>
      <w:r>
        <w:rPr>
          <w:b/>
          <w:bCs/>
          <w:color w:val="1F7A4D"/>
          <w:sz w:val="30"/>
          <w:szCs w:val="30"/>
        </w:rPr>
        <w:t xml:space="preserve">1. Executive Summary</w:t>
      </w:r>
    </w:p>
    <w:p>
      <w:pPr>
        <w:spacing w:after="120" w:line="276"/>
      </w:pPr>
      <w:r>
        <w:rPr>
          <w:sz w:val="22"/>
          <w:szCs w:val="22"/>
        </w:rPr>
        <w:t xml:space="preserve">SecureProfit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mandays.</w:t>
      </w:r>
    </w:p>
    <w:p>
      <w:pPr>
        <w:pStyle w:val="Heading3"/>
        <w:spacing w:after="70" w:before="160"/>
      </w:pPr>
      <w:r>
        <w:rPr>
          <w:b/>
          <w:bCs/>
          <w:color w:val="0F1B14"/>
          <w:sz w:val="23"/>
          <w:szCs w:val="23"/>
        </w:rPr>
        <w:t xml:space="preserve">Problems it solves</w:t>
      </w:r>
    </w:p>
    <w:p>
      <w:pPr>
        <w:pStyle w:val="ListParagraph"/>
        <w:numPr>
          <w:ilvl w:val="0"/>
          <w:numId w:val="1"/>
        </w:numPr>
        <w:spacing w:after="60" w:line="268"/>
      </w:pPr>
      <w:r>
        <w:rPr>
          <w:sz w:val="22"/>
          <w:szCs w:val="22"/>
        </w:rPr>
        <w:t xml:space="preserve">Slow, manual visibility into project profitability (usually only known once the project ends).</w:t>
      </w:r>
    </w:p>
    <w:p>
      <w:pPr>
        <w:pStyle w:val="ListParagraph"/>
        <w:numPr>
          <w:ilvl w:val="0"/>
          <w:numId w:val="1"/>
        </w:numPr>
        <w:spacing w:after="60" w:line="268"/>
      </w:pPr>
      <w:r>
        <w:rPr>
          <w:sz w:val="22"/>
          <w:szCs w:val="22"/>
        </w:rPr>
        <w:t xml:space="preserve">Timesheets, expenses, and invoicing scattered across many spreadsheets.</w:t>
      </w:r>
    </w:p>
    <w:p>
      <w:pPr>
        <w:pStyle w:val="ListParagraph"/>
        <w:numPr>
          <w:ilvl w:val="0"/>
          <w:numId w:val="1"/>
        </w:numPr>
        <w:spacing w:after="60" w:line="268"/>
      </w:pPr>
      <w:r>
        <w:rPr>
          <w:sz w:val="22"/>
          <w:szCs w:val="22"/>
        </w:rPr>
        <w:t xml:space="preserve">Difficulty planning resource capacity and tracking consultant utilization.</w:t>
      </w:r>
    </w:p>
    <w:p>
      <w:pPr>
        <w:pStyle w:val="ListParagraph"/>
        <w:numPr>
          <w:ilvl w:val="0"/>
          <w:numId w:val="1"/>
        </w:numPr>
        <w:spacing w:after="60" w:line="268"/>
      </w:pPr>
      <w:r>
        <w:rPr>
          <w:sz w:val="22"/>
          <w:szCs w:val="22"/>
        </w:rPr>
        <w:t xml:space="preserve">Error-prone invoicing and VAT recap calculations.</w:t>
      </w:r>
    </w:p>
    <w:p>
      <w:pPr>
        <w:pStyle w:val="Heading3"/>
        <w:spacing w:after="70" w:before="160"/>
      </w:pPr>
      <w:r>
        <w:rPr>
          <w:b/>
          <w:bCs/>
          <w:color w:val="0F1B14"/>
          <w:sz w:val="23"/>
          <w:szCs w:val="23"/>
        </w:rPr>
        <w:t xml:space="preserve">Key value</w:t>
      </w:r>
    </w:p>
    <w:p>
      <w:pPr>
        <w:pStyle w:val="ListParagraph"/>
        <w:numPr>
          <w:ilvl w:val="0"/>
          <w:numId w:val="1"/>
        </w:numPr>
        <w:spacing w:after="60" w:line="268"/>
      </w:pPr>
      <w:r>
        <w:rPr>
          <w:sz w:val="22"/>
          <w:szCs w:val="22"/>
        </w:rPr>
        <w:t xml:space="preserve">Project margin and cost are computed automatically from approved timesheets and expenses.</w:t>
      </w:r>
    </w:p>
    <w:p>
      <w:pPr>
        <w:pStyle w:val="ListParagraph"/>
        <w:numPr>
          <w:ilvl w:val="0"/>
          <w:numId w:val="1"/>
        </w:numPr>
        <w:spacing w:after="60" w:line="268"/>
      </w:pPr>
      <w:r>
        <w:rPr>
          <w:sz w:val="22"/>
          <w:szCs w:val="22"/>
        </w:rPr>
        <w:t xml:space="preserve">A single source of truth for projects, resources, billing, and management reporting.</w:t>
      </w:r>
    </w:p>
    <w:p>
      <w:pPr>
        <w:pStyle w:val="ListParagraph"/>
        <w:numPr>
          <w:ilvl w:val="0"/>
          <w:numId w:val="1"/>
        </w:numPr>
        <w:spacing w:after="60" w:line="268"/>
      </w:pPr>
      <w:r>
        <w:rPr>
          <w:sz w:val="22"/>
          <w:szCs w:val="22"/>
        </w:rPr>
        <w:t xml:space="preserve">Role-based access so each function only sees what is relevant.</w:t>
      </w:r>
    </w:p>
    <w:p>
      <w:pPr>
        <w:pStyle w:val="ListParagraph"/>
        <w:numPr>
          <w:ilvl w:val="0"/>
          <w:numId w:val="1"/>
        </w:numPr>
        <w:spacing w:after="60" w:line="268"/>
      </w:pPr>
      <w:r>
        <w:rPr>
          <w:sz w:val="22"/>
          <w:szCs w:val="22"/>
        </w:rPr>
        <w:t xml:space="preserve">Direct Xero integration for issuing invoices and syncing payments.</w:t>
      </w:r>
    </w:p>
    <w:p>
      <w:pPr>
        <w:pStyle w:val="Heading1"/>
        <w:spacing w:after="140" w:before="360"/>
      </w:pPr>
      <w:r>
        <w:rPr>
          <w:b/>
          <w:bCs/>
          <w:color w:val="1F7A4D"/>
          <w:sz w:val="30"/>
          <w:szCs w:val="30"/>
        </w:rPr>
        <w:t xml:space="preserve">2. Technology &amp; Architecture</w:t>
      </w:r>
    </w:p>
    <w:p>
      <w:pPr>
        <w:spacing w:after="120" w:line="276"/>
      </w:pPr>
      <w:r>
        <w:rPr>
          <w:sz w:val="22"/>
          <w:szCs w:val="22"/>
        </w:rPr>
        <w:t xml:space="preserve">The application is built as a monorepo with a clear separation between the interface, the server, and the database.</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2%"/>
            <w:shd w:fill="1F7A4D"/>
            <w:tcMar>
              <w:top w:type="dxa" w:w="60"/>
              <w:left w:type="dxa" w:w="90"/>
              <w:bottom w:type="dxa" w:w="60"/>
              <w:right w:type="dxa" w:w="90"/>
            </w:tcMar>
          </w:tcPr>
          <w:p>
            <w:r>
              <w:rPr>
                <w:b/>
                <w:bCs/>
                <w:color w:val="FFFFFF"/>
                <w:sz w:val="20"/>
                <w:szCs w:val="20"/>
              </w:rPr>
              <w:t xml:space="preserve">Layer</w:t>
            </w:r>
          </w:p>
        </w:tc>
        <w:tc>
          <w:tcPr>
            <w:tcW w:type="pct" w:w="40%"/>
            <w:shd w:fill="1F7A4D"/>
            <w:tcMar>
              <w:top w:type="dxa" w:w="60"/>
              <w:left w:type="dxa" w:w="90"/>
              <w:bottom w:type="dxa" w:w="60"/>
              <w:right w:type="dxa" w:w="90"/>
            </w:tcMar>
          </w:tcPr>
          <w:p>
            <w:r>
              <w:rPr>
                <w:b/>
                <w:bCs/>
                <w:color w:val="FFFFFF"/>
                <w:sz w:val="20"/>
                <w:szCs w:val="20"/>
              </w:rPr>
              <w:t xml:space="preserve">Technology</w:t>
            </w:r>
          </w:p>
        </w:tc>
        <w:tc>
          <w:tcPr>
            <w:tcW w:type="pct" w:w="38%"/>
            <w:shd w:fill="1F7A4D"/>
            <w:tcMar>
              <w:top w:type="dxa" w:w="60"/>
              <w:left w:type="dxa" w:w="90"/>
              <w:bottom w:type="dxa" w:w="60"/>
              <w:right w:type="dxa" w:w="90"/>
            </w:tcMar>
          </w:tcPr>
          <w:p>
            <w:r>
              <w:rPr>
                <w:b/>
                <w:bCs/>
                <w:color w:val="FFFFFF"/>
                <w:sz w:val="20"/>
                <w:szCs w:val="20"/>
              </w:rPr>
              <w:t xml:space="preserve">Purpose</w:t>
            </w:r>
          </w:p>
        </w:tc>
      </w:tr>
      <w:tr>
        <w:tc>
          <w:tcPr>
            <w:tcW w:type="pct" w:w="22%"/>
            <w:tcMar>
              <w:top w:type="dxa" w:w="60"/>
              <w:left w:type="dxa" w:w="90"/>
              <w:bottom w:type="dxa" w:w="60"/>
              <w:right w:type="dxa" w:w="90"/>
            </w:tcMar>
          </w:tcPr>
          <w:p>
            <w:r>
              <w:rPr>
                <w:color w:val="0F1B14"/>
                <w:sz w:val="20"/>
                <w:szCs w:val="20"/>
              </w:rPr>
              <w:t xml:space="preserve">Frontend</w:t>
            </w:r>
          </w:p>
        </w:tc>
        <w:tc>
          <w:tcPr>
            <w:tcW w:type="pct" w:w="40%"/>
            <w:tcMar>
              <w:top w:type="dxa" w:w="60"/>
              <w:left w:type="dxa" w:w="90"/>
              <w:bottom w:type="dxa" w:w="60"/>
              <w:right w:type="dxa" w:w="90"/>
            </w:tcMar>
          </w:tcPr>
          <w:p>
            <w:r>
              <w:rPr>
                <w:color w:val="0F1B14"/>
                <w:sz w:val="20"/>
                <w:szCs w:val="20"/>
              </w:rPr>
              <w:t xml:space="preserve">React + Vite + TypeScript + Tailwind, Recharts charts</w:t>
            </w:r>
          </w:p>
        </w:tc>
        <w:tc>
          <w:tcPr>
            <w:tcW w:type="pct" w:w="38%"/>
            <w:tcMar>
              <w:top w:type="dxa" w:w="60"/>
              <w:left w:type="dxa" w:w="90"/>
              <w:bottom w:type="dxa" w:w="60"/>
              <w:right w:type="dxa" w:w="90"/>
            </w:tcMar>
          </w:tcPr>
          <w:p>
            <w:r>
              <w:rPr>
                <w:color w:val="0F1B14"/>
                <w:sz w:val="20"/>
                <w:szCs w:val="20"/>
              </w:rPr>
              <w:t xml:space="preserve">User interface, dashboards, forms, and visualizations</w:t>
            </w:r>
          </w:p>
        </w:tc>
      </w:tr>
      <w:tr>
        <w:tc>
          <w:tcPr>
            <w:tcW w:type="pct" w:w="22%"/>
            <w:shd w:fill="F1F6F2"/>
            <w:tcMar>
              <w:top w:type="dxa" w:w="60"/>
              <w:left w:type="dxa" w:w="90"/>
              <w:bottom w:type="dxa" w:w="60"/>
              <w:right w:type="dxa" w:w="90"/>
            </w:tcMar>
          </w:tcPr>
          <w:p>
            <w:r>
              <w:rPr>
                <w:color w:val="0F1B14"/>
                <w:sz w:val="20"/>
                <w:szCs w:val="20"/>
              </w:rPr>
              <w:t xml:space="preserve">Backend</w:t>
            </w:r>
          </w:p>
        </w:tc>
        <w:tc>
          <w:tcPr>
            <w:tcW w:type="pct" w:w="40%"/>
            <w:shd w:fill="F1F6F2"/>
            <w:tcMar>
              <w:top w:type="dxa" w:w="60"/>
              <w:left w:type="dxa" w:w="90"/>
              <w:bottom w:type="dxa" w:w="60"/>
              <w:right w:type="dxa" w:w="90"/>
            </w:tcMar>
          </w:tcPr>
          <w:p>
            <w:r>
              <w:rPr>
                <w:color w:val="0F1B14"/>
                <w:sz w:val="20"/>
                <w:szCs w:val="20"/>
              </w:rPr>
              <w:t xml:space="preserve">Node.js + Express, JWT authentication</w:t>
            </w:r>
          </w:p>
        </w:tc>
        <w:tc>
          <w:tcPr>
            <w:tcW w:type="pct" w:w="38%"/>
            <w:shd w:fill="F1F6F2"/>
            <w:tcMar>
              <w:top w:type="dxa" w:w="60"/>
              <w:left w:type="dxa" w:w="90"/>
              <w:bottom w:type="dxa" w:w="60"/>
              <w:right w:type="dxa" w:w="90"/>
            </w:tcMar>
          </w:tcPr>
          <w:p>
            <w:r>
              <w:rPr>
                <w:color w:val="0F1B14"/>
                <w:sz w:val="20"/>
                <w:szCs w:val="20"/>
              </w:rPr>
              <w:t xml:space="preserve">Business logic, validation, and APIs</w:t>
            </w:r>
          </w:p>
        </w:tc>
      </w:tr>
      <w:tr>
        <w:tc>
          <w:tcPr>
            <w:tcW w:type="pct" w:w="22%"/>
            <w:tcMar>
              <w:top w:type="dxa" w:w="60"/>
              <w:left w:type="dxa" w:w="90"/>
              <w:bottom w:type="dxa" w:w="60"/>
              <w:right w:type="dxa" w:w="90"/>
            </w:tcMar>
          </w:tcPr>
          <w:p>
            <w:r>
              <w:rPr>
                <w:color w:val="0F1B14"/>
                <w:sz w:val="20"/>
                <w:szCs w:val="20"/>
              </w:rPr>
              <w:t xml:space="preserve">Database</w:t>
            </w:r>
          </w:p>
        </w:tc>
        <w:tc>
          <w:tcPr>
            <w:tcW w:type="pct" w:w="40%"/>
            <w:tcMar>
              <w:top w:type="dxa" w:w="60"/>
              <w:left w:type="dxa" w:w="90"/>
              <w:bottom w:type="dxa" w:w="60"/>
              <w:right w:type="dxa" w:w="90"/>
            </w:tcMar>
          </w:tcPr>
          <w:p>
            <w:r>
              <w:rPr>
                <w:color w:val="0F1B14"/>
                <w:sz w:val="20"/>
                <w:szCs w:val="20"/>
              </w:rPr>
              <w:t xml:space="preserve">PostgreSQL (via Prisma)</w:t>
            </w:r>
          </w:p>
        </w:tc>
        <w:tc>
          <w:tcPr>
            <w:tcW w:type="pct" w:w="38%"/>
            <w:tcMar>
              <w:top w:type="dxa" w:w="60"/>
              <w:left w:type="dxa" w:w="90"/>
              <w:bottom w:type="dxa" w:w="60"/>
              <w:right w:type="dxa" w:w="90"/>
            </w:tcMar>
          </w:tcPr>
          <w:p>
            <w:r>
              <w:rPr>
                <w:color w:val="0F1B14"/>
                <w:sz w:val="20"/>
                <w:szCs w:val="20"/>
              </w:rPr>
              <w:t xml:space="preserve">Stores projects, users, timesheets, and billing</w:t>
            </w:r>
          </w:p>
        </w:tc>
      </w:tr>
      <w:tr>
        <w:tc>
          <w:tcPr>
            <w:tcW w:type="pct" w:w="22%"/>
            <w:shd w:fill="F1F6F2"/>
            <w:tcMar>
              <w:top w:type="dxa" w:w="60"/>
              <w:left w:type="dxa" w:w="90"/>
              <w:bottom w:type="dxa" w:w="60"/>
              <w:right w:type="dxa" w:w="90"/>
            </w:tcMar>
          </w:tcPr>
          <w:p>
            <w:r>
              <w:rPr>
                <w:color w:val="0F1B14"/>
                <w:sz w:val="20"/>
                <w:szCs w:val="20"/>
              </w:rPr>
              <w:t xml:space="preserve">API contract</w:t>
            </w:r>
          </w:p>
        </w:tc>
        <w:tc>
          <w:tcPr>
            <w:tcW w:type="pct" w:w="40%"/>
            <w:shd w:fill="F1F6F2"/>
            <w:tcMar>
              <w:top w:type="dxa" w:w="60"/>
              <w:left w:type="dxa" w:w="90"/>
              <w:bottom w:type="dxa" w:w="60"/>
              <w:right w:type="dxa" w:w="90"/>
            </w:tcMar>
          </w:tcPr>
          <w:p>
            <w:r>
              <w:rPr>
                <w:color w:val="0F1B14"/>
                <w:sz w:val="20"/>
                <w:szCs w:val="20"/>
              </w:rPr>
              <w:t xml:space="preserve">OpenAPI 3 + schema validation</w:t>
            </w:r>
          </w:p>
        </w:tc>
        <w:tc>
          <w:tcPr>
            <w:tcW w:type="pct" w:w="38%"/>
            <w:shd w:fill="F1F6F2"/>
            <w:tcMar>
              <w:top w:type="dxa" w:w="60"/>
              <w:left w:type="dxa" w:w="90"/>
              <w:bottom w:type="dxa" w:w="60"/>
              <w:right w:type="dxa" w:w="90"/>
            </w:tcMar>
          </w:tcPr>
          <w:p>
            <w:r>
              <w:rPr>
                <w:color w:val="0F1B14"/>
                <w:sz w:val="20"/>
                <w:szCs w:val="20"/>
              </w:rPr>
              <w:t xml:space="preserve">Keeps data consistent between server and interface</w:t>
            </w:r>
          </w:p>
        </w:tc>
      </w:tr>
      <w:tr>
        <w:tc>
          <w:tcPr>
            <w:tcW w:type="pct" w:w="22%"/>
            <w:tcMar>
              <w:top w:type="dxa" w:w="60"/>
              <w:left w:type="dxa" w:w="90"/>
              <w:bottom w:type="dxa" w:w="60"/>
              <w:right w:type="dxa" w:w="90"/>
            </w:tcMar>
          </w:tcPr>
          <w:p>
            <w:r>
              <w:rPr>
                <w:color w:val="0F1B14"/>
                <w:sz w:val="20"/>
                <w:szCs w:val="20"/>
              </w:rPr>
              <w:t xml:space="preserve">Integration</w:t>
            </w:r>
          </w:p>
        </w:tc>
        <w:tc>
          <w:tcPr>
            <w:tcW w:type="pct" w:w="40%"/>
            <w:tcMar>
              <w:top w:type="dxa" w:w="60"/>
              <w:left w:type="dxa" w:w="90"/>
              <w:bottom w:type="dxa" w:w="60"/>
              <w:right w:type="dxa" w:w="90"/>
            </w:tcMar>
          </w:tcPr>
          <w:p>
            <w:r>
              <w:rPr>
                <w:color w:val="0F1B14"/>
                <w:sz w:val="20"/>
                <w:szCs w:val="20"/>
              </w:rPr>
              <w:t xml:space="preserve">Xero Accounting API (OAuth2)</w:t>
            </w:r>
          </w:p>
        </w:tc>
        <w:tc>
          <w:tcPr>
            <w:tcW w:type="pct" w:w="38%"/>
            <w:tcMar>
              <w:top w:type="dxa" w:w="60"/>
              <w:left w:type="dxa" w:w="90"/>
              <w:bottom w:type="dxa" w:w="60"/>
              <w:right w:type="dxa" w:w="90"/>
            </w:tcMar>
          </w:tcPr>
          <w:p>
            <w:r>
              <w:rPr>
                <w:color w:val="0F1B14"/>
                <w:sz w:val="20"/>
                <w:szCs w:val="20"/>
              </w:rPr>
              <w:t xml:space="preserve">Invoice issuance &amp; payment synchronization</w:t>
            </w:r>
          </w:p>
        </w:tc>
      </w:tr>
      <w:tr>
        <w:tc>
          <w:tcPr>
            <w:tcW w:type="pct" w:w="22%"/>
            <w:shd w:fill="F1F6F2"/>
            <w:tcMar>
              <w:top w:type="dxa" w:w="60"/>
              <w:left w:type="dxa" w:w="90"/>
              <w:bottom w:type="dxa" w:w="60"/>
              <w:right w:type="dxa" w:w="90"/>
            </w:tcMar>
          </w:tcPr>
          <w:p>
            <w:r>
              <w:rPr>
                <w:color w:val="0F1B14"/>
                <w:sz w:val="20"/>
                <w:szCs w:val="20"/>
              </w:rPr>
              <w:t xml:space="preserve">CRM import</w:t>
            </w:r>
          </w:p>
        </w:tc>
        <w:tc>
          <w:tcPr>
            <w:tcW w:type="pct" w:w="40%"/>
            <w:shd w:fill="F1F6F2"/>
            <w:tcMar>
              <w:top w:type="dxa" w:w="60"/>
              <w:left w:type="dxa" w:w="90"/>
              <w:bottom w:type="dxa" w:w="60"/>
              <w:right w:type="dxa" w:w="90"/>
            </w:tcMar>
          </w:tcPr>
          <w:p>
            <w:r>
              <w:rPr>
                <w:color w:val="0F1B14"/>
                <w:sz w:val="20"/>
                <w:szCs w:val="20"/>
              </w:rPr>
              <w:t xml:space="preserve">Pipedrive API (one-way)</w:t>
            </w:r>
          </w:p>
        </w:tc>
        <w:tc>
          <w:tcPr>
            <w:tcW w:type="pct" w:w="38%"/>
            <w:shd w:fill="F1F6F2"/>
            <w:tcMar>
              <w:top w:type="dxa" w:w="60"/>
              <w:left w:type="dxa" w:w="90"/>
              <w:bottom w:type="dxa" w:w="60"/>
              <w:right w:type="dxa" w:w="90"/>
            </w:tcMar>
          </w:tcPr>
          <w:p>
            <w:r>
              <w:rPr>
                <w:color w:val="0F1B14"/>
                <w:sz w:val="20"/>
                <w:szCs w:val="20"/>
              </w:rPr>
              <w:t xml:space="preserve">Imports open sales deals into the Sales Pipeline as leads</w:t>
            </w:r>
          </w:p>
        </w:tc>
      </w:tr>
      <w:tr>
        <w:tc>
          <w:tcPr>
            <w:tcW w:type="pct" w:w="22%"/>
            <w:tcMar>
              <w:top w:type="dxa" w:w="60"/>
              <w:left w:type="dxa" w:w="90"/>
              <w:bottom w:type="dxa" w:w="60"/>
              <w:right w:type="dxa" w:w="90"/>
            </w:tcMar>
          </w:tcPr>
          <w:p>
            <w:r>
              <w:rPr>
                <w:color w:val="0F1B14"/>
                <w:sz w:val="20"/>
                <w:szCs w:val="20"/>
              </w:rPr>
              <w:t xml:space="preserve">Email</w:t>
            </w:r>
          </w:p>
        </w:tc>
        <w:tc>
          <w:tcPr>
            <w:tcW w:type="pct" w:w="40%"/>
            <w:tcMar>
              <w:top w:type="dxa" w:w="60"/>
              <w:left w:type="dxa" w:w="90"/>
              <w:bottom w:type="dxa" w:w="60"/>
              <w:right w:type="dxa" w:w="90"/>
            </w:tcMar>
          </w:tcPr>
          <w:p>
            <w:r>
              <w:rPr>
                <w:color w:val="0F1B14"/>
                <w:sz w:val="20"/>
                <w:szCs w:val="20"/>
              </w:rPr>
              <w:t xml:space="preserve">Resend (transactional email)</w:t>
            </w:r>
          </w:p>
        </w:tc>
        <w:tc>
          <w:tcPr>
            <w:tcW w:type="pct" w:w="38%"/>
            <w:tcMar>
              <w:top w:type="dxa" w:w="60"/>
              <w:left w:type="dxa" w:w="90"/>
              <w:bottom w:type="dxa" w:w="60"/>
              <w:right w:type="dxa" w:w="90"/>
            </w:tcMar>
          </w:tcPr>
          <w:p>
            <w:r>
              <w:rPr>
                <w:color w:val="0F1B14"/>
                <w:sz w:val="20"/>
                <w:szCs w:val="20"/>
              </w:rPr>
              <w:t xml:space="preserve">Optional email alerts for important notifications (global on/off switch)</w:t>
            </w:r>
          </w:p>
        </w:tc>
      </w:tr>
      <w:tr>
        <w:tc>
          <w:tcPr>
            <w:tcW w:type="pct" w:w="22%"/>
            <w:shd w:fill="F1F6F2"/>
            <w:tcMar>
              <w:top w:type="dxa" w:w="60"/>
              <w:left w:type="dxa" w:w="90"/>
              <w:bottom w:type="dxa" w:w="60"/>
              <w:right w:type="dxa" w:w="90"/>
            </w:tcMar>
          </w:tcPr>
          <w:p>
            <w:r>
              <w:rPr>
                <w:color w:val="0F1B14"/>
                <w:sz w:val="20"/>
                <w:szCs w:val="20"/>
              </w:rPr>
              <w:t xml:space="preserve">AI briefing</w:t>
            </w:r>
          </w:p>
        </w:tc>
        <w:tc>
          <w:tcPr>
            <w:tcW w:type="pct" w:w="40%"/>
            <w:shd w:fill="F1F6F2"/>
            <w:tcMar>
              <w:top w:type="dxa" w:w="60"/>
              <w:left w:type="dxa" w:w="90"/>
              <w:bottom w:type="dxa" w:w="60"/>
              <w:right w:type="dxa" w:w="90"/>
            </w:tcMar>
          </w:tcPr>
          <w:p>
            <w:r>
              <w:rPr>
                <w:color w:val="0F1B14"/>
                <w:sz w:val="20"/>
                <w:szCs w:val="20"/>
              </w:rPr>
              <w:t xml:space="preserve">LLM narration over system-computed facts</w:t>
            </w:r>
          </w:p>
        </w:tc>
        <w:tc>
          <w:tcPr>
            <w:tcW w:type="pct" w:w="38%"/>
            <w:shd w:fill="F1F6F2"/>
            <w:tcMar>
              <w:top w:type="dxa" w:w="60"/>
              <w:left w:type="dxa" w:w="90"/>
              <w:bottom w:type="dxa" w:w="60"/>
              <w:right w:type="dxa" w:w="90"/>
            </w:tcMar>
          </w:tcPr>
          <w:p>
            <w:r>
              <w:rPr>
                <w:color w:val="0F1B14"/>
                <w:sz w:val="20"/>
                <w:szCs w:val="20"/>
              </w:rPr>
              <w:t xml:space="preserve">AI Executive Copilot page for Management</w:t>
            </w:r>
          </w:p>
        </w:tc>
      </w:tr>
      <w:tr>
        <w:tc>
          <w:tcPr>
            <w:tcW w:type="pct" w:w="22%"/>
            <w:tcMar>
              <w:top w:type="dxa" w:w="60"/>
              <w:left w:type="dxa" w:w="90"/>
              <w:bottom w:type="dxa" w:w="60"/>
              <w:right w:type="dxa" w:w="90"/>
            </w:tcMar>
          </w:tcPr>
          <w:p>
            <w:r>
              <w:rPr>
                <w:color w:val="0F1B14"/>
                <w:sz w:val="20"/>
                <w:szCs w:val="20"/>
              </w:rPr>
              <w:t xml:space="preserve">Mobile app</w:t>
            </w:r>
          </w:p>
        </w:tc>
        <w:tc>
          <w:tcPr>
            <w:tcW w:type="pct" w:w="40%"/>
            <w:tcMar>
              <w:top w:type="dxa" w:w="60"/>
              <w:left w:type="dxa" w:w="90"/>
              <w:bottom w:type="dxa" w:w="60"/>
              <w:right w:type="dxa" w:w="90"/>
            </w:tcMar>
          </w:tcPr>
          <w:p>
            <w:r>
              <w:rPr>
                <w:color w:val="0F1B14"/>
                <w:sz w:val="20"/>
                <w:szCs w:val="20"/>
              </w:rPr>
              <w:t xml:space="preserve">Expo (React Native)</w:t>
            </w:r>
          </w:p>
        </w:tc>
        <w:tc>
          <w:tcPr>
            <w:tcW w:type="pct" w:w="38%"/>
            <w:tcMar>
              <w:top w:type="dxa" w:w="60"/>
              <w:left w:type="dxa" w:w="90"/>
              <w:bottom w:type="dxa" w:w="60"/>
              <w:right w:type="dxa" w:w="90"/>
            </w:tcMar>
          </w:tcPr>
          <w:p>
            <w:r>
              <w:rPr>
                <w:color w:val="0F1B14"/>
                <w:sz w:val="20"/>
                <w:szCs w:val="20"/>
              </w:rPr>
              <w:t xml:space="preserve">Companion app for logging time and expenses on the go</w:t>
            </w:r>
          </w:p>
        </w:tc>
      </w:tr>
    </w:tbl>
    <w:p>
      <w:pPr>
        <w:pStyle w:val="Heading1"/>
        <w:spacing w:after="140" w:before="360"/>
      </w:pPr>
      <w:r>
        <w:rPr>
          <w:b/>
          <w:bCs/>
          <w:color w:val="1F7A4D"/>
          <w:sz w:val="30"/>
          <w:szCs w:val="30"/>
        </w:rPr>
        <w:t xml:space="preserve">3. User Roles &amp; Access</w:t>
      </w:r>
    </w:p>
    <w:p>
      <w:pPr>
        <w:spacing w:after="120" w:line="276"/>
      </w:pPr>
      <w:r>
        <w:rPr>
          <w:sz w:val="22"/>
          <w:szCs w:val="22"/>
        </w:rPr>
        <w:t xml:space="preserve">Every user has a role that determines the modules and data they can access. Summary of the main roles: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2%"/>
            <w:shd w:fill="1F7A4D"/>
            <w:tcMar>
              <w:top w:type="dxa" w:w="60"/>
              <w:left w:type="dxa" w:w="90"/>
              <w:bottom w:type="dxa" w:w="60"/>
              <w:right w:type="dxa" w:w="90"/>
            </w:tcMar>
          </w:tcPr>
          <w:p>
            <w:r>
              <w:rPr>
                <w:b/>
                <w:bCs/>
                <w:color w:val="FFFFFF"/>
                <w:sz w:val="20"/>
                <w:szCs w:val="20"/>
              </w:rPr>
              <w:t xml:space="preserve">Role</w:t>
            </w:r>
          </w:p>
        </w:tc>
        <w:tc>
          <w:tcPr>
            <w:tcW w:type="pct" w:w="68%"/>
            <w:shd w:fill="1F7A4D"/>
            <w:tcMar>
              <w:top w:type="dxa" w:w="60"/>
              <w:left w:type="dxa" w:w="90"/>
              <w:bottom w:type="dxa" w:w="60"/>
              <w:right w:type="dxa" w:w="90"/>
            </w:tcMar>
          </w:tcPr>
          <w:p>
            <w:r>
              <w:rPr>
                <w:b/>
                <w:bCs/>
                <w:color w:val="FFFFFF"/>
                <w:sz w:val="20"/>
                <w:szCs w:val="20"/>
              </w:rPr>
              <w:t xml:space="preserve">Main responsibility</w:t>
            </w:r>
          </w:p>
        </w:tc>
      </w:tr>
      <w:tr>
        <w:tc>
          <w:tcPr>
            <w:tcW w:type="pct" w:w="32%"/>
            <w:tcMar>
              <w:top w:type="dxa" w:w="60"/>
              <w:left w:type="dxa" w:w="90"/>
              <w:bottom w:type="dxa" w:w="60"/>
              <w:right w:type="dxa" w:w="90"/>
            </w:tcMar>
          </w:tcPr>
          <w:p>
            <w:r>
              <w:rPr>
                <w:color w:val="0F1B14"/>
                <w:sz w:val="20"/>
                <w:szCs w:val="20"/>
              </w:rPr>
              <w:t xml:space="preserve">Management (PMO Director)</w:t>
            </w:r>
          </w:p>
        </w:tc>
        <w:tc>
          <w:tcPr>
            <w:tcW w:type="pct" w:w="68%"/>
            <w:tcMar>
              <w:top w:type="dxa" w:w="60"/>
              <w:left w:type="dxa" w:w="90"/>
              <w:bottom w:type="dxa" w:w="60"/>
              <w:right w:type="dxa" w:w="90"/>
            </w:tcMar>
          </w:tcPr>
          <w:p>
            <w:r>
              <w:rPr>
                <w:color w:val="0F1B14"/>
                <w:sz w:val="20"/>
                <w:szCs w:val="20"/>
              </w:rPr>
              <w:t xml:space="preserve">Full access: all projects, approvals, and every financial figure.</w:t>
            </w:r>
          </w:p>
        </w:tc>
      </w:tr>
      <w:tr>
        <w:tc>
          <w:tcPr>
            <w:tcW w:type="pct" w:w="32%"/>
            <w:shd w:fill="F1F6F2"/>
            <w:tcMar>
              <w:top w:type="dxa" w:w="60"/>
              <w:left w:type="dxa" w:w="90"/>
              <w:bottom w:type="dxa" w:w="60"/>
              <w:right w:type="dxa" w:w="90"/>
            </w:tcMar>
          </w:tcPr>
          <w:p>
            <w:r>
              <w:rPr>
                <w:color w:val="0F1B14"/>
                <w:sz w:val="20"/>
                <w:szCs w:val="20"/>
              </w:rPr>
              <w:t xml:space="preserve">Project Manager (PM)</w:t>
            </w:r>
          </w:p>
        </w:tc>
        <w:tc>
          <w:tcPr>
            <w:tcW w:type="pct" w:w="68%"/>
            <w:shd w:fill="F1F6F2"/>
            <w:tcMar>
              <w:top w:type="dxa" w:w="60"/>
              <w:left w:type="dxa" w:w="90"/>
              <w:bottom w:type="dxa" w:w="60"/>
              <w:right w:type="dxa" w:w="90"/>
            </w:tcMar>
          </w:tcPr>
          <w:p>
            <w:r>
              <w:rPr>
                <w:color w:val="0F1B14"/>
                <w:sz w:val="20"/>
                <w:szCs w:val="20"/>
              </w:rPr>
              <w:t xml:space="preserve">Manages own projects, resources, and approves their team's timesheets. May also log their own timesheets, which are auto-approved (no separate approval needed).</w:t>
            </w:r>
          </w:p>
        </w:tc>
      </w:tr>
      <w:tr>
        <w:tc>
          <w:tcPr>
            <w:tcW w:type="pct" w:w="32%"/>
            <w:tcMar>
              <w:top w:type="dxa" w:w="60"/>
              <w:left w:type="dxa" w:w="90"/>
              <w:bottom w:type="dxa" w:w="60"/>
              <w:right w:type="dxa" w:w="90"/>
            </w:tcMar>
          </w:tcPr>
          <w:p>
            <w:r>
              <w:rPr>
                <w:color w:val="0F1B14"/>
                <w:sz w:val="20"/>
                <w:szCs w:val="20"/>
              </w:rPr>
              <w:t xml:space="preserve">Sales</w:t>
            </w:r>
          </w:p>
        </w:tc>
        <w:tc>
          <w:tcPr>
            <w:tcW w:type="pct" w:w="68%"/>
            <w:tcMar>
              <w:top w:type="dxa" w:w="60"/>
              <w:left w:type="dxa" w:w="90"/>
              <w:bottom w:type="dxa" w:w="60"/>
              <w:right w:type="dxa" w:w="90"/>
            </w:tcMar>
          </w:tcPr>
          <w:p>
            <w:r>
              <w:rPr>
                <w:color w:val="0F1B14"/>
                <w:sz w:val="20"/>
                <w:szCs w:val="20"/>
              </w:rPr>
              <w:t xml:space="preserve">Creates clients &amp; projects (intake); manages commercial data of own projects.</w:t>
            </w:r>
          </w:p>
        </w:tc>
      </w:tr>
      <w:tr>
        <w:tc>
          <w:tcPr>
            <w:tcW w:type="pct" w:w="32%"/>
            <w:shd w:fill="F1F6F2"/>
            <w:tcMar>
              <w:top w:type="dxa" w:w="60"/>
              <w:left w:type="dxa" w:w="90"/>
              <w:bottom w:type="dxa" w:w="60"/>
              <w:right w:type="dxa" w:w="90"/>
            </w:tcMar>
          </w:tcPr>
          <w:p>
            <w:r>
              <w:rPr>
                <w:color w:val="0F1B14"/>
                <w:sz w:val="20"/>
                <w:szCs w:val="20"/>
              </w:rPr>
              <w:t xml:space="preserve">Consultant</w:t>
            </w:r>
          </w:p>
        </w:tc>
        <w:tc>
          <w:tcPr>
            <w:tcW w:type="pct" w:w="68%"/>
            <w:shd w:fill="F1F6F2"/>
            <w:tcMar>
              <w:top w:type="dxa" w:w="60"/>
              <w:left w:type="dxa" w:w="90"/>
              <w:bottom w:type="dxa" w:w="60"/>
              <w:right w:type="dxa" w:w="90"/>
            </w:tcMar>
          </w:tcPr>
          <w:p>
            <w:r>
              <w:rPr>
                <w:color w:val="0F1B14"/>
                <w:sz w:val="20"/>
                <w:szCs w:val="20"/>
              </w:rPr>
              <w:t xml:space="preserve">Logs own timesheets and updates task status.</w:t>
            </w:r>
          </w:p>
        </w:tc>
      </w:tr>
      <w:tr>
        <w:tc>
          <w:tcPr>
            <w:tcW w:type="pct" w:w="32%"/>
            <w:tcMar>
              <w:top w:type="dxa" w:w="60"/>
              <w:left w:type="dxa" w:w="90"/>
              <w:bottom w:type="dxa" w:w="60"/>
              <w:right w:type="dxa" w:w="90"/>
            </w:tcMar>
          </w:tcPr>
          <w:p>
            <w:r>
              <w:rPr>
                <w:color w:val="0F1B14"/>
                <w:sz w:val="20"/>
                <w:szCs w:val="20"/>
              </w:rPr>
              <w:t xml:space="preserve">Technical Writer</w:t>
            </w:r>
          </w:p>
        </w:tc>
        <w:tc>
          <w:tcPr>
            <w:tcW w:type="pct" w:w="68%"/>
            <w:tcMar>
              <w:top w:type="dxa" w:w="60"/>
              <w:left w:type="dxa" w:w="90"/>
              <w:bottom w:type="dxa" w:w="60"/>
              <w:right w:type="dxa" w:w="90"/>
            </w:tcMar>
          </w:tcPr>
          <w:p>
            <w:r>
              <w:rPr>
                <w:color w:val="0F1B14"/>
                <w:sz w:val="20"/>
                <w:szCs w:val="20"/>
              </w:rPr>
              <w:t xml:space="preserve">Same as consultant, for writing/reporting work.</w:t>
            </w:r>
          </w:p>
        </w:tc>
      </w:tr>
      <w:tr>
        <w:tc>
          <w:tcPr>
            <w:tcW w:type="pct" w:w="32%"/>
            <w:shd w:fill="F1F6F2"/>
            <w:tcMar>
              <w:top w:type="dxa" w:w="60"/>
              <w:left w:type="dxa" w:w="90"/>
              <w:bottom w:type="dxa" w:w="60"/>
              <w:right w:type="dxa" w:w="90"/>
            </w:tcMar>
          </w:tcPr>
          <w:p>
            <w:r>
              <w:rPr>
                <w:color w:val="0F1B14"/>
                <w:sz w:val="20"/>
                <w:szCs w:val="20"/>
              </w:rPr>
              <w:t xml:space="preserve">Project Admin</w:t>
            </w:r>
          </w:p>
        </w:tc>
        <w:tc>
          <w:tcPr>
            <w:tcW w:type="pct" w:w="68%"/>
            <w:shd w:fill="F1F6F2"/>
            <w:tcMar>
              <w:top w:type="dxa" w:w="60"/>
              <w:left w:type="dxa" w:w="90"/>
              <w:bottom w:type="dxa" w:w="60"/>
              <w:right w:type="dxa" w:w="90"/>
            </w:tcMar>
          </w:tcPr>
          <w:p>
            <w:r>
              <w:rPr>
                <w:color w:val="0F1B14"/>
                <w:sz w:val="20"/>
                <w:szCs w:val="20"/>
              </w:rPr>
              <w:t xml:space="preserve">Manages closing documents (BAST / Invoice / Contract).</w:t>
            </w:r>
          </w:p>
        </w:tc>
      </w:tr>
      <w:tr>
        <w:tc>
          <w:tcPr>
            <w:tcW w:type="pct" w:w="32%"/>
            <w:tcMar>
              <w:top w:type="dxa" w:w="60"/>
              <w:left w:type="dxa" w:w="90"/>
              <w:bottom w:type="dxa" w:w="60"/>
              <w:right w:type="dxa" w:w="90"/>
            </w:tcMar>
          </w:tcPr>
          <w:p>
            <w:r>
              <w:rPr>
                <w:color w:val="0F1B14"/>
                <w:sz w:val="20"/>
                <w:szCs w:val="20"/>
              </w:rPr>
              <w:t xml:space="preserve">Principal (3 types)</w:t>
            </w:r>
          </w:p>
        </w:tc>
        <w:tc>
          <w:tcPr>
            <w:tcW w:type="pct" w:w="68%"/>
            <w:tcMar>
              <w:top w:type="dxa" w:w="60"/>
              <w:left w:type="dxa" w:w="90"/>
              <w:bottom w:type="dxa" w:w="60"/>
              <w:right w:type="dxa" w:w="90"/>
            </w:tcMar>
          </w:tcPr>
          <w:p>
            <w:r>
              <w:rPr>
                <w:color w:val="0F1B14"/>
                <w:sz w:val="20"/>
                <w:szCs w:val="20"/>
              </w:rPr>
              <w:t xml:space="preserve">Supervises delivery teams (Consultant/TW/Admin) — WITHOUT access to financial figures.</w:t>
            </w:r>
          </w:p>
        </w:tc>
      </w:tr>
      <w:tr>
        <w:tc>
          <w:tcPr>
            <w:tcW w:type="pct" w:w="32%"/>
            <w:shd w:fill="F1F6F2"/>
            <w:tcMar>
              <w:top w:type="dxa" w:w="60"/>
              <w:left w:type="dxa" w:w="90"/>
              <w:bottom w:type="dxa" w:w="60"/>
              <w:right w:type="dxa" w:w="90"/>
            </w:tcMar>
          </w:tcPr>
          <w:p>
            <w:r>
              <w:rPr>
                <w:color w:val="0F1B14"/>
                <w:sz w:val="20"/>
                <w:szCs w:val="20"/>
              </w:rPr>
              <w:t xml:space="preserve">Finance</w:t>
            </w:r>
          </w:p>
        </w:tc>
        <w:tc>
          <w:tcPr>
            <w:tcW w:type="pct" w:w="68%"/>
            <w:shd w:fill="F1F6F2"/>
            <w:tcMar>
              <w:top w:type="dxa" w:w="60"/>
              <w:left w:type="dxa" w:w="90"/>
              <w:bottom w:type="dxa" w:w="60"/>
              <w:right w:type="dxa" w:w="90"/>
            </w:tcMar>
          </w:tcPr>
          <w:p>
            <w:r>
              <w:rPr>
                <w:color w:val="0F1B14"/>
                <w:sz w:val="20"/>
                <w:szCs w:val="20"/>
              </w:rPr>
              <w:t xml:space="preserve">Read access to all projects/reports + VAT recap; uploads invoice/contract documents.</w:t>
            </w:r>
          </w:p>
        </w:tc>
      </w:tr>
      <w:tr>
        <w:tc>
          <w:tcPr>
            <w:tcW w:type="pct" w:w="32%"/>
            <w:tcMar>
              <w:top w:type="dxa" w:w="60"/>
              <w:left w:type="dxa" w:w="90"/>
              <w:bottom w:type="dxa" w:w="60"/>
              <w:right w:type="dxa" w:w="90"/>
            </w:tcMar>
          </w:tcPr>
          <w:p>
            <w:r>
              <w:rPr>
                <w:color w:val="0F1B14"/>
                <w:sz w:val="20"/>
                <w:szCs w:val="20"/>
              </w:rPr>
              <w:t xml:space="preserve">HR</w:t>
            </w:r>
          </w:p>
        </w:tc>
        <w:tc>
          <w:tcPr>
            <w:tcW w:type="pct" w:w="68%"/>
            <w:tcMar>
              <w:top w:type="dxa" w:w="60"/>
              <w:left w:type="dxa" w:w="90"/>
              <w:bottom w:type="dxa" w:w="60"/>
              <w:right w:type="dxa" w:w="90"/>
            </w:tcMar>
          </w:tcPr>
          <w:p>
            <w:r>
              <w:rPr>
                <w:color w:val="0F1B14"/>
                <w:sz w:val="20"/>
                <w:szCs w:val="20"/>
              </w:rPr>
              <w:t xml:space="preserve">People operations: employees, leave, skill matrix, bench — no financial access.</w:t>
            </w:r>
          </w:p>
        </w:tc>
      </w:tr>
      <w:tr>
        <w:tc>
          <w:tcPr>
            <w:tcW w:type="pct" w:w="32%"/>
            <w:shd w:fill="F1F6F2"/>
            <w:tcMar>
              <w:top w:type="dxa" w:w="60"/>
              <w:left w:type="dxa" w:w="90"/>
              <w:bottom w:type="dxa" w:w="60"/>
              <w:right w:type="dxa" w:w="90"/>
            </w:tcMar>
          </w:tcPr>
          <w:p>
            <w:r>
              <w:rPr>
                <w:color w:val="0F1B14"/>
                <w:sz w:val="20"/>
                <w:szCs w:val="20"/>
              </w:rPr>
              <w:t xml:space="preserve">Site Admin</w:t>
            </w:r>
          </w:p>
        </w:tc>
        <w:tc>
          <w:tcPr>
            <w:tcW w:type="pct" w:w="68%"/>
            <w:shd w:fill="F1F6F2"/>
            <w:tcMar>
              <w:top w:type="dxa" w:w="60"/>
              <w:left w:type="dxa" w:w="90"/>
              <w:bottom w:type="dxa" w:w="60"/>
              <w:right w:type="dxa" w:w="90"/>
            </w:tcMar>
          </w:tcPr>
          <w:p>
            <w:r>
              <w:rPr>
                <w:color w:val="0F1B14"/>
                <w:sz w:val="20"/>
                <w:szCs w:val="20"/>
              </w:rPr>
              <w:t xml:space="preserve">User administration and system audit logs.</w:t>
            </w:r>
          </w:p>
        </w:tc>
      </w:tr>
    </w:tbl>
    <w:p>
      <w:pPr>
        <w:spacing w:after="120" w:line="276"/>
      </w:pPr>
      <w:r>
        <w:rPr>
          <w:b/>
          <w:bCs/>
          <w:sz w:val="22"/>
          <w:szCs w:val="22"/>
        </w:rPr>
        <w:t xml:space="preserve">Important note: </w:t>
      </w:r>
      <w:r>
        <w:rPr>
          <w:b w:val="false"/>
          <w:bCs w:val="false"/>
          <w:sz w:val="22"/>
          <w:szCs w:val="22"/>
        </w:rPr>
        <w:t xml:space="preserve">Principal, delivery (Consultant/TW), and HR roles never see contract value, cost, or margin. The Financials and Billing tabs are automatically hidden from them.</w:t>
      </w:r>
    </w:p>
    <w:p>
      <w:pPr>
        <w:pStyle w:val="Heading1"/>
        <w:spacing w:after="140" w:before="360"/>
      </w:pPr>
      <w:r>
        <w:rPr>
          <w:b/>
          <w:bCs/>
          <w:color w:val="1F7A4D"/>
          <w:sz w:val="30"/>
          <w:szCs w:val="30"/>
        </w:rPr>
        <w:t xml:space="preserve">4. Project Lifecycle</w:t>
      </w:r>
    </w:p>
    <w:p>
      <w:pPr>
        <w:spacing w:after="120" w:line="276"/>
      </w:pPr>
      <w:r>
        <w:rPr>
          <w:sz w:val="22"/>
          <w:szCs w:val="22"/>
        </w:rPr>
        <w:t xml:space="preserve">A project moves through the following statuses:</w:t>
      </w:r>
    </w:p>
    <w:p>
      <w:pPr>
        <w:pBdr>
          <w:left w:val="single" w:color="1F7A4D" w:sz="18" w:space="8"/>
        </w:pBdr>
        <w:shd w:fill="F1F6F2"/>
        <w:spacing w:after="120" w:before="60"/>
      </w:pPr>
      <w:r>
        <w:rPr>
          <w:rFonts w:ascii="Consolas" w:cs="Consolas" w:eastAsia="Consolas" w:hAnsi="Consolas"/>
          <w:color w:val="0F1B14"/>
          <w:sz w:val="21"/>
          <w:szCs w:val="21"/>
        </w:rPr>
        <w:t xml:space="preserve">DRAFT  -&gt;  OBSERVATION  -&gt;  ACTIVE  -&gt;  PAUSE / COMPLETE  -&gt;  CLOSED</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0%"/>
            <w:shd w:fill="1F7A4D"/>
            <w:tcMar>
              <w:top w:type="dxa" w:w="60"/>
              <w:left w:type="dxa" w:w="90"/>
              <w:bottom w:type="dxa" w:w="60"/>
              <w:right w:type="dxa" w:w="90"/>
            </w:tcMar>
          </w:tcPr>
          <w:p>
            <w:r>
              <w:rPr>
                <w:b/>
                <w:bCs/>
                <w:color w:val="FFFFFF"/>
                <w:sz w:val="20"/>
                <w:szCs w:val="20"/>
              </w:rPr>
              <w:t xml:space="preserve">Status</w:t>
            </w:r>
          </w:p>
        </w:tc>
        <w:tc>
          <w:tcPr>
            <w:tcW w:type="pct" w:w="52%"/>
            <w:shd w:fill="1F7A4D"/>
            <w:tcMar>
              <w:top w:type="dxa" w:w="60"/>
              <w:left w:type="dxa" w:w="90"/>
              <w:bottom w:type="dxa" w:w="60"/>
              <w:right w:type="dxa" w:w="90"/>
            </w:tcMar>
          </w:tcPr>
          <w:p>
            <w:r>
              <w:rPr>
                <w:b/>
                <w:bCs/>
                <w:color w:val="FFFFFF"/>
                <w:sz w:val="20"/>
                <w:szCs w:val="20"/>
              </w:rPr>
              <w:t xml:space="preserve">Meaning</w:t>
            </w:r>
          </w:p>
        </w:tc>
        <w:tc>
          <w:tcPr>
            <w:tcW w:type="pct" w:w="28%"/>
            <w:shd w:fill="1F7A4D"/>
            <w:tcMar>
              <w:top w:type="dxa" w:w="60"/>
              <w:left w:type="dxa" w:w="90"/>
              <w:bottom w:type="dxa" w:w="60"/>
              <w:right w:type="dxa" w:w="90"/>
            </w:tcMar>
          </w:tcPr>
          <w:p>
            <w:r>
              <w:rPr>
                <w:b/>
                <w:bCs/>
                <w:color w:val="FFFFFF"/>
                <w:sz w:val="20"/>
                <w:szCs w:val="20"/>
              </w:rPr>
              <w:t xml:space="preserve">Who acts</w:t>
            </w:r>
          </w:p>
        </w:tc>
      </w:tr>
      <w:tr>
        <w:tc>
          <w:tcPr>
            <w:tcW w:type="pct" w:w="20%"/>
            <w:tcMar>
              <w:top w:type="dxa" w:w="60"/>
              <w:left w:type="dxa" w:w="90"/>
              <w:bottom w:type="dxa" w:w="60"/>
              <w:right w:type="dxa" w:w="90"/>
            </w:tcMar>
          </w:tcPr>
          <w:p>
            <w:r>
              <w:rPr>
                <w:color w:val="0F1B14"/>
                <w:sz w:val="20"/>
                <w:szCs w:val="20"/>
              </w:rPr>
              <w:t xml:space="preserve">DRAFT</w:t>
            </w:r>
          </w:p>
        </w:tc>
        <w:tc>
          <w:tcPr>
            <w:tcW w:type="pct" w:w="52%"/>
            <w:tcMar>
              <w:top w:type="dxa" w:w="60"/>
              <w:left w:type="dxa" w:w="90"/>
              <w:bottom w:type="dxa" w:w="60"/>
              <w:right w:type="dxa" w:w="90"/>
            </w:tcMar>
          </w:tcPr>
          <w:p>
            <w:r>
              <w:rPr>
                <w:color w:val="0F1B14"/>
                <w:sz w:val="20"/>
                <w:szCs w:val="20"/>
              </w:rPr>
              <w:t xml:space="preserve">Initial intake by Sales (4 basic fields).</w:t>
            </w:r>
          </w:p>
        </w:tc>
        <w:tc>
          <w:tcPr>
            <w:tcW w:type="pct" w:w="28%"/>
            <w:tcMar>
              <w:top w:type="dxa" w:w="60"/>
              <w:left w:type="dxa" w:w="90"/>
              <w:bottom w:type="dxa" w:w="60"/>
              <w:right w:type="dxa" w:w="90"/>
            </w:tcMar>
          </w:tcPr>
          <w:p>
            <w:r>
              <w:rPr>
                <w:color w:val="0F1B14"/>
                <w:sz w:val="20"/>
                <w:szCs w:val="20"/>
              </w:rPr>
              <w:t xml:space="preserve">Sales</w:t>
            </w:r>
          </w:p>
        </w:tc>
      </w:tr>
      <w:tr>
        <w:tc>
          <w:tcPr>
            <w:tcW w:type="pct" w:w="20%"/>
            <w:shd w:fill="F1F6F2"/>
            <w:tcMar>
              <w:top w:type="dxa" w:w="60"/>
              <w:left w:type="dxa" w:w="90"/>
              <w:bottom w:type="dxa" w:w="60"/>
              <w:right w:type="dxa" w:w="90"/>
            </w:tcMar>
          </w:tcPr>
          <w:p>
            <w:r>
              <w:rPr>
                <w:color w:val="0F1B14"/>
                <w:sz w:val="20"/>
                <w:szCs w:val="20"/>
              </w:rPr>
              <w:t xml:space="preserve">OBSERVATION</w:t>
            </w:r>
          </w:p>
        </w:tc>
        <w:tc>
          <w:tcPr>
            <w:tcW w:type="pct" w:w="52%"/>
            <w:shd w:fill="F1F6F2"/>
            <w:tcMar>
              <w:top w:type="dxa" w:w="60"/>
              <w:left w:type="dxa" w:w="90"/>
              <w:bottom w:type="dxa" w:w="60"/>
              <w:right w:type="dxa" w:w="90"/>
            </w:tcMar>
          </w:tcPr>
          <w:p>
            <w:r>
              <w:rPr>
                <w:color w:val="0F1B14"/>
                <w:sz w:val="20"/>
                <w:szCs w:val="20"/>
              </w:rPr>
              <w:t xml:space="preserve">PM completes description, dates, revenue, mandays &amp; cost.</w:t>
            </w:r>
          </w:p>
        </w:tc>
        <w:tc>
          <w:tcPr>
            <w:tcW w:type="pct" w:w="28%"/>
            <w:shd w:fill="F1F6F2"/>
            <w:tcMar>
              <w:top w:type="dxa" w:w="60"/>
              <w:left w:type="dxa" w:w="90"/>
              <w:bottom w:type="dxa" w:w="60"/>
              <w:right w:type="dxa" w:w="90"/>
            </w:tcMar>
          </w:tcPr>
          <w:p>
            <w:r>
              <w:rPr>
                <w:color w:val="0F1B14"/>
                <w:sz w:val="20"/>
                <w:szCs w:val="20"/>
              </w:rPr>
              <w:t xml:space="preserve">Project Manager</w:t>
            </w:r>
          </w:p>
        </w:tc>
      </w:tr>
      <w:tr>
        <w:tc>
          <w:tcPr>
            <w:tcW w:type="pct" w:w="20%"/>
            <w:tcMar>
              <w:top w:type="dxa" w:w="60"/>
              <w:left w:type="dxa" w:w="90"/>
              <w:bottom w:type="dxa" w:w="60"/>
              <w:right w:type="dxa" w:w="90"/>
            </w:tcMar>
          </w:tcPr>
          <w:p>
            <w:r>
              <w:rPr>
                <w:color w:val="0F1B14"/>
                <w:sz w:val="20"/>
                <w:szCs w:val="20"/>
              </w:rPr>
              <w:t xml:space="preserve">ACTIVE</w:t>
            </w:r>
          </w:p>
        </w:tc>
        <w:tc>
          <w:tcPr>
            <w:tcW w:type="pct" w:w="52%"/>
            <w:tcMar>
              <w:top w:type="dxa" w:w="60"/>
              <w:left w:type="dxa" w:w="90"/>
              <w:bottom w:type="dxa" w:w="60"/>
              <w:right w:type="dxa" w:w="90"/>
            </w:tcMar>
          </w:tcPr>
          <w:p>
            <w:r>
              <w:rPr>
                <w:color w:val="0F1B14"/>
                <w:sz w:val="20"/>
                <w:szCs w:val="20"/>
              </w:rPr>
              <w:t xml:space="preserve">Project is running; timesheets &amp; expenses begin.</w:t>
            </w:r>
          </w:p>
        </w:tc>
        <w:tc>
          <w:tcPr>
            <w:tcW w:type="pct" w:w="28%"/>
            <w:tcMar>
              <w:top w:type="dxa" w:w="60"/>
              <w:left w:type="dxa" w:w="90"/>
              <w:bottom w:type="dxa" w:w="60"/>
              <w:right w:type="dxa" w:w="90"/>
            </w:tcMar>
          </w:tcPr>
          <w:p>
            <w:r>
              <w:rPr>
                <w:color w:val="0F1B14"/>
                <w:sz w:val="20"/>
                <w:szCs w:val="20"/>
              </w:rPr>
              <w:t xml:space="preserve">Delivery team</w:t>
            </w:r>
          </w:p>
        </w:tc>
      </w:tr>
      <w:tr>
        <w:tc>
          <w:tcPr>
            <w:tcW w:type="pct" w:w="20%"/>
            <w:shd w:fill="F1F6F2"/>
            <w:tcMar>
              <w:top w:type="dxa" w:w="60"/>
              <w:left w:type="dxa" w:w="90"/>
              <w:bottom w:type="dxa" w:w="60"/>
              <w:right w:type="dxa" w:w="90"/>
            </w:tcMar>
          </w:tcPr>
          <w:p>
            <w:r>
              <w:rPr>
                <w:color w:val="0F1B14"/>
                <w:sz w:val="20"/>
                <w:szCs w:val="20"/>
              </w:rPr>
              <w:t xml:space="preserve">PAUSE / COMPLETE</w:t>
            </w:r>
          </w:p>
        </w:tc>
        <w:tc>
          <w:tcPr>
            <w:tcW w:type="pct" w:w="52%"/>
            <w:shd w:fill="F1F6F2"/>
            <w:tcMar>
              <w:top w:type="dxa" w:w="60"/>
              <w:left w:type="dxa" w:w="90"/>
              <w:bottom w:type="dxa" w:w="60"/>
              <w:right w:type="dxa" w:w="90"/>
            </w:tcMar>
          </w:tcPr>
          <w:p>
            <w:r>
              <w:rPr>
                <w:color w:val="0F1B14"/>
                <w:sz w:val="20"/>
                <w:szCs w:val="20"/>
              </w:rPr>
              <w:t xml:space="preserve">Project is paused or finished.</w:t>
            </w:r>
          </w:p>
        </w:tc>
        <w:tc>
          <w:tcPr>
            <w:tcW w:type="pct" w:w="28%"/>
            <w:shd w:fill="F1F6F2"/>
            <w:tcMar>
              <w:top w:type="dxa" w:w="60"/>
              <w:left w:type="dxa" w:w="90"/>
              <w:bottom w:type="dxa" w:w="60"/>
              <w:right w:type="dxa" w:w="90"/>
            </w:tcMar>
          </w:tcPr>
          <w:p>
            <w:r>
              <w:rPr>
                <w:color w:val="0F1B14"/>
                <w:sz w:val="20"/>
                <w:szCs w:val="20"/>
              </w:rPr>
              <w:t xml:space="preserve">PM / Management</w:t>
            </w:r>
          </w:p>
        </w:tc>
      </w:tr>
      <w:tr>
        <w:tc>
          <w:tcPr>
            <w:tcW w:type="pct" w:w="20%"/>
            <w:tcMar>
              <w:top w:type="dxa" w:w="60"/>
              <w:left w:type="dxa" w:w="90"/>
              <w:bottom w:type="dxa" w:w="60"/>
              <w:right w:type="dxa" w:w="90"/>
            </w:tcMar>
          </w:tcPr>
          <w:p>
            <w:r>
              <w:rPr>
                <w:color w:val="0F1B14"/>
                <w:sz w:val="20"/>
                <w:szCs w:val="20"/>
              </w:rPr>
              <w:t xml:space="preserve">CLOSED</w:t>
            </w:r>
          </w:p>
        </w:tc>
        <w:tc>
          <w:tcPr>
            <w:tcW w:type="pct" w:w="52%"/>
            <w:tcMar>
              <w:top w:type="dxa" w:w="60"/>
              <w:left w:type="dxa" w:w="90"/>
              <w:bottom w:type="dxa" w:w="60"/>
              <w:right w:type="dxa" w:w="90"/>
            </w:tcMar>
          </w:tcPr>
          <w:p>
            <w:r>
              <w:rPr>
                <w:color w:val="0F1B14"/>
                <w:sz w:val="20"/>
                <w:szCs w:val="20"/>
              </w:rPr>
              <w:t xml:space="preserve">Project is fully closed.</w:t>
            </w:r>
          </w:p>
        </w:tc>
        <w:tc>
          <w:tcPr>
            <w:tcW w:type="pct" w:w="28%"/>
            <w:tcMar>
              <w:top w:type="dxa" w:w="60"/>
              <w:left w:type="dxa" w:w="90"/>
              <w:bottom w:type="dxa" w:w="60"/>
              <w:right w:type="dxa" w:w="90"/>
            </w:tcMar>
          </w:tcPr>
          <w:p>
            <w:r>
              <w:rPr>
                <w:color w:val="0F1B14"/>
                <w:sz w:val="20"/>
                <w:szCs w:val="20"/>
              </w:rPr>
              <w:t xml:space="preserve">Management</w:t>
            </w:r>
          </w:p>
        </w:tc>
      </w:tr>
    </w:tbl>
    <w:p>
      <w:pPr>
        <w:spacing w:after="120" w:line="276"/>
      </w:pPr>
      <w:r>
        <w:rPr>
          <w:b/>
          <w:bCs/>
          <w:sz w:val="22"/>
          <w:szCs w:val="22"/>
        </w:rPr>
        <w:t xml:space="preserve">New invoicing rule: </w:t>
      </w:r>
      <w:r>
        <w:rPr>
          <w:b w:val="false"/>
          <w:bCs w:val="false"/>
          <w:sz w:val="22"/>
          <w:szCs w:val="22"/>
        </w:rPr>
        <w:t xml:space="preserve">a project can only be invoiced once it is ACTIVE or later (ACTIVE, PAUSE, COMPLETE, CLOSED). Projects still in DRAFT or OBSERVATION — i.e. not yet running — cannot issue invoices, push to Xero, or be marked INVOICED/PAID.</w:t>
      </w:r>
    </w:p>
    <w:p>
      <w:pPr>
        <w:pStyle w:val="Heading3"/>
        <w:spacing w:after="70" w:before="160"/>
      </w:pPr>
      <w:r>
        <w:rPr>
          <w:b/>
          <w:bCs/>
          <w:color w:val="0F1B14"/>
          <w:sz w:val="23"/>
          <w:szCs w:val="23"/>
        </w:rPr>
        <w:t xml:space="preserve">Readiness gates between statuses</w:t>
      </w:r>
    </w:p>
    <w:p>
      <w:pPr>
        <w:spacing w:after="120" w:line="276"/>
      </w:pPr>
      <w:r>
        <w:rPr>
          <w:sz w:val="22"/>
          <w:szCs w:val="22"/>
        </w:rPr>
        <w:t xml:space="preserve">The server enforces a checklist at each promotion; if anything is missing, the status change is rejected with a clear list of what to complete:</w:t>
      </w:r>
    </w:p>
    <w:p>
      <w:pPr>
        <w:pStyle w:val="ListParagraph"/>
        <w:numPr>
          <w:ilvl w:val="0"/>
          <w:numId w:val="1"/>
        </w:numPr>
        <w:spacing w:after="60" w:line="268"/>
      </w:pPr>
      <w:r>
        <w:rPr>
          <w:b/>
          <w:bCs/>
          <w:sz w:val="22"/>
          <w:szCs w:val="22"/>
        </w:rPr>
        <w:t xml:space="preserve">To ACTIVE — </w:t>
      </w:r>
      <w:r>
        <w:rPr>
          <w:b w:val="false"/>
          <w:bCs w:val="false"/>
          <w:sz w:val="22"/>
          <w:szCs w:val="22"/>
        </w:rPr>
        <w:t xml:space="preserve">core Overview data filled (client, description, dates, contract value, planned mandays, estimated cost), a PM assigned, at least one resource, one task, one RAID item, and billing milestones totaling 100%.</w:t>
      </w:r>
    </w:p>
    <w:p>
      <w:pPr>
        <w:pStyle w:val="ListParagraph"/>
        <w:numPr>
          <w:ilvl w:val="0"/>
          <w:numId w:val="1"/>
        </w:numPr>
        <w:spacing w:after="60" w:line="268"/>
      </w:pPr>
      <w:r>
        <w:rPr>
          <w:b/>
          <w:bCs/>
          <w:sz w:val="22"/>
          <w:szCs w:val="22"/>
        </w:rPr>
        <w:t xml:space="preserve">To COMPLETE — </w:t>
      </w:r>
      <w:r>
        <w:rPr>
          <w:b w:val="false"/>
          <w:bCs w:val="false"/>
          <w:sz w:val="22"/>
          <w:szCs w:val="22"/>
        </w:rPr>
        <w:t xml:space="preserve">all tasks DONE, no timesheets or expenses still awaiting approval, no PLANNED billing milestone, no OPEN RAID item, and at least one BAST document. On completion the system automatically issues the client-survey link and creates 360° peer-feedback pairs (PM ↔ each team member).</w:t>
      </w:r>
    </w:p>
    <w:p>
      <w:pPr>
        <w:pStyle w:val="ListParagraph"/>
        <w:numPr>
          <w:ilvl w:val="0"/>
          <w:numId w:val="1"/>
        </w:numPr>
        <w:spacing w:after="60" w:line="268"/>
      </w:pPr>
      <w:r>
        <w:rPr>
          <w:b/>
          <w:bCs/>
          <w:sz w:val="22"/>
          <w:szCs w:val="22"/>
        </w:rPr>
        <w:t xml:space="preserve">To CLOSED — </w:t>
      </w:r>
      <w:r>
        <w:rPr>
          <w:b w:val="false"/>
          <w:bCs w:val="false"/>
          <w:sz w:val="22"/>
          <w:szCs w:val="22"/>
        </w:rPr>
        <w:t xml:space="preserve">all 360° feedback submitted, the lessons-learned note filled, and (for client projects) at least one client survey response. Closing-checklist items require their evidence before they can be marked done (signed BAST, final report, issued invoice).</w:t>
      </w:r>
    </w:p>
    <w:p>
      <w:pPr>
        <w:spacing w:after="120" w:line="276"/>
      </w:pPr>
      <w:r>
        <w:rPr>
          <w:b/>
          <w:bCs/>
          <w:sz w:val="22"/>
          <w:szCs w:val="22"/>
        </w:rPr>
        <w:t xml:space="preserve">Note: </w:t>
      </w:r>
      <w:r>
        <w:rPr>
          <w:b w:val="false"/>
          <w:bCs w:val="false"/>
          <w:sz w:val="22"/>
          <w:szCs w:val="22"/>
        </w:rPr>
        <w:t xml:space="preserve">non-client projects (Internal / Presales / Training) skip the billing, BAST, and survey requirements.</w:t>
      </w:r>
    </w:p>
    <w:p>
      <w:pPr>
        <w:pStyle w:val="Heading1"/>
        <w:spacing w:after="140" w:before="360"/>
      </w:pPr>
      <w:r>
        <w:rPr>
          <w:b/>
          <w:bCs/>
          <w:color w:val="1F7A4D"/>
          <w:sz w:val="30"/>
          <w:szCs w:val="30"/>
        </w:rPr>
        <w:t xml:space="preserve">5. Core Features by Module</w:t>
      </w:r>
    </w:p>
    <w:p>
      <w:pPr>
        <w:pStyle w:val="Heading2"/>
        <w:spacing w:after="90" w:before="220"/>
      </w:pPr>
      <w:r>
        <w:rPr>
          <w:b/>
          <w:bCs/>
          <w:color w:val="0F1B14"/>
          <w:sz w:val="26"/>
          <w:szCs w:val="26"/>
        </w:rPr>
        <w:t xml:space="preserve">5.1 Role-Based Dashboards</w:t>
      </w:r>
    </w:p>
    <w:p>
      <w:pPr>
        <w:spacing w:after="120" w:line="276"/>
      </w:pPr>
      <w:r>
        <w:rPr>
          <w:sz w:val="22"/>
          <w:szCs w:val="22"/>
        </w:rPr>
        <w:t xml:space="preserve">Each role gets a dashboard tailored to its needs:</w:t>
      </w:r>
    </w:p>
    <w:p>
      <w:pPr>
        <w:pStyle w:val="ListParagraph"/>
        <w:numPr>
          <w:ilvl w:val="0"/>
          <w:numId w:val="1"/>
        </w:numPr>
        <w:spacing w:after="60" w:line="268"/>
      </w:pPr>
      <w:r>
        <w:rPr>
          <w:sz w:val="22"/>
          <w:szCs w:val="22"/>
        </w:rPr>
        <w:t xml:space="preserve">Management: executive KPIs, profit trend, billing aging, at-risk projects, PM allocation.</w:t>
      </w:r>
    </w:p>
    <w:p>
      <w:pPr>
        <w:pStyle w:val="ListParagraph"/>
        <w:numPr>
          <w:ilvl w:val="0"/>
          <w:numId w:val="1"/>
        </w:numPr>
        <w:spacing w:after="60" w:line="268"/>
      </w:pPr>
      <w:r>
        <w:rPr>
          <w:sz w:val="22"/>
          <w:szCs w:val="22"/>
        </w:rPr>
        <w:t xml:space="preserve">Project Manager: active projects, approval inbox, utilization, revenue vs profit, alerts, and a personal My Tasks card.</w:t>
      </w:r>
    </w:p>
    <w:p>
      <w:pPr>
        <w:pStyle w:val="ListParagraph"/>
        <w:numPr>
          <w:ilvl w:val="0"/>
          <w:numId w:val="1"/>
        </w:numPr>
        <w:spacing w:after="60" w:line="268"/>
      </w:pPr>
      <w:r>
        <w:rPr>
          <w:sz w:val="22"/>
          <w:szCs w:val="22"/>
        </w:rPr>
        <w:t xml:space="preserve">Sales: pipeline, revenue per client, profitability trend.</w:t>
      </w:r>
    </w:p>
    <w:p>
      <w:pPr>
        <w:pStyle w:val="ListParagraph"/>
        <w:numPr>
          <w:ilvl w:val="0"/>
          <w:numId w:val="1"/>
        </w:numPr>
        <w:spacing w:after="60" w:line="268"/>
      </w:pPr>
      <w:r>
        <w:rPr>
          <w:sz w:val="22"/>
          <w:szCs w:val="22"/>
        </w:rPr>
        <w:t xml:space="preserve">Consultant/TW: log-time prompt, trend, and my-tasks list.</w:t>
      </w:r>
    </w:p>
    <w:p>
      <w:pPr>
        <w:pStyle w:val="ListParagraph"/>
        <w:numPr>
          <w:ilvl w:val="0"/>
          <w:numId w:val="1"/>
        </w:numPr>
        <w:spacing w:after="60" w:line="268"/>
      </w:pPr>
      <w:r>
        <w:rPr>
          <w:sz w:val="22"/>
          <w:szCs w:val="22"/>
        </w:rPr>
        <w:t xml:space="preserve">Project Admin: closing-document inbox.</w:t>
      </w:r>
    </w:p>
    <w:p>
      <w:pPr>
        <w:pStyle w:val="ListParagraph"/>
        <w:numPr>
          <w:ilvl w:val="0"/>
          <w:numId w:val="1"/>
        </w:numPr>
        <w:spacing w:after="60" w:line="268"/>
      </w:pPr>
      <w:r>
        <w:rPr>
          <w:sz w:val="22"/>
          <w:szCs w:val="22"/>
        </w:rPr>
        <w:t xml:space="preserve">HR: headcount, business-unit/role distribution, leave, bench, skill gaps.</w:t>
      </w:r>
    </w:p>
    <w:p>
      <w:pPr>
        <w:pStyle w:val="Heading2"/>
        <w:spacing w:after="90" w:before="220"/>
      </w:pPr>
      <w:r>
        <w:rPr>
          <w:b/>
          <w:bCs/>
          <w:color w:val="0F1B14"/>
          <w:sz w:val="26"/>
          <w:szCs w:val="26"/>
        </w:rPr>
        <w:t xml:space="preserve">5.2 Project Management &amp; Its Tabs</w:t>
      </w:r>
    </w:p>
    <w:p>
      <w:pPr>
        <w:spacing w:after="120" w:line="276"/>
      </w:pPr>
      <w:r>
        <w:rPr>
          <w:sz w:val="22"/>
          <w:szCs w:val="22"/>
        </w:rPr>
        <w:t xml:space="preserve">Each project has a detail page with the following functional tabs:</w:t>
      </w:r>
    </w:p>
    <w:p>
      <w:pPr>
        <w:pStyle w:val="ListParagraph"/>
        <w:numPr>
          <w:ilvl w:val="0"/>
          <w:numId w:val="1"/>
        </w:numPr>
        <w:spacing w:after="60" w:line="268"/>
      </w:pPr>
      <w:r>
        <w:rPr>
          <w:b/>
          <w:bCs/>
          <w:sz w:val="22"/>
          <w:szCs w:val="22"/>
        </w:rPr>
        <w:t xml:space="preserve">Overview — </w:t>
      </w:r>
      <w:r>
        <w:rPr>
          <w:b w:val="false"/>
          <w:bCs w:val="false"/>
          <w:sz w:val="22"/>
          <w:szCs w:val="22"/>
        </w:rPr>
        <w:t xml:space="preserve">summary &amp; editing of core data via a 'Review &amp; Save' dialog.</w:t>
      </w:r>
    </w:p>
    <w:p>
      <w:pPr>
        <w:pStyle w:val="ListParagraph"/>
        <w:numPr>
          <w:ilvl w:val="0"/>
          <w:numId w:val="1"/>
        </w:numPr>
        <w:spacing w:after="60" w:line="268"/>
      </w:pPr>
      <w:r>
        <w:rPr>
          <w:b/>
          <w:bCs/>
          <w:sz w:val="22"/>
          <w:szCs w:val="22"/>
        </w:rPr>
        <w:t xml:space="preserve">Timeline (Gantt) — </w:t>
      </w:r>
      <w:r>
        <w:rPr>
          <w:b w:val="false"/>
          <w:bCs w:val="false"/>
          <w:sz w:val="22"/>
          <w:szCs w:val="22"/>
        </w:rPr>
        <w:t xml:space="preserve">task scheduling with drag-and-drop, resize, and dependency arrows.</w:t>
      </w:r>
    </w:p>
    <w:p>
      <w:pPr>
        <w:pStyle w:val="ListParagraph"/>
        <w:numPr>
          <w:ilvl w:val="0"/>
          <w:numId w:val="1"/>
        </w:numPr>
        <w:spacing w:after="60" w:line="268"/>
      </w:pPr>
      <w:r>
        <w:rPr>
          <w:b/>
          <w:bCs/>
          <w:sz w:val="22"/>
          <w:szCs w:val="22"/>
        </w:rPr>
        <w:t xml:space="preserve">Tasks (WBS) — </w:t>
      </w:r>
      <w:r>
        <w:rPr>
          <w:b w:val="false"/>
          <w:bCs w:val="false"/>
          <w:sz w:val="22"/>
          <w:szCs w:val="22"/>
        </w:rPr>
        <w:t xml:space="preserve">hierarchical work breakdown, multi-assignee, finish-to-start dependencies, billable flag, and an optional planned-hours cap per task (logging beyond the cap is blocked).</w:t>
      </w:r>
    </w:p>
    <w:p>
      <w:pPr>
        <w:pStyle w:val="ListParagraph"/>
        <w:numPr>
          <w:ilvl w:val="0"/>
          <w:numId w:val="1"/>
        </w:numPr>
        <w:spacing w:after="60" w:line="268"/>
      </w:pPr>
      <w:r>
        <w:rPr>
          <w:b/>
          <w:bCs/>
          <w:sz w:val="22"/>
          <w:szCs w:val="22"/>
        </w:rPr>
        <w:t xml:space="preserve">Resources — </w:t>
      </w:r>
      <w:r>
        <w:rPr>
          <w:b w:val="false"/>
          <w:bCs w:val="false"/>
          <w:sz w:val="22"/>
          <w:szCs w:val="22"/>
        </w:rPr>
        <w:t xml:space="preserve">staffing of Consultant &amp; Technical Writer teams, Project Admin, and other resources.</w:t>
      </w:r>
    </w:p>
    <w:p>
      <w:pPr>
        <w:pStyle w:val="ListParagraph"/>
        <w:numPr>
          <w:ilvl w:val="0"/>
          <w:numId w:val="1"/>
        </w:numPr>
        <w:spacing w:after="60" w:line="268"/>
      </w:pPr>
      <w:r>
        <w:rPr>
          <w:b/>
          <w:bCs/>
          <w:sz w:val="22"/>
          <w:szCs w:val="22"/>
        </w:rPr>
        <w:t xml:space="preserve">RAID — </w:t>
      </w:r>
      <w:r>
        <w:rPr>
          <w:b w:val="false"/>
          <w:bCs w:val="false"/>
          <w:sz w:val="22"/>
          <w:szCs w:val="22"/>
        </w:rPr>
        <w:t xml:space="preserve">register of Risk, Assumption, Issue, Dependency (delivery team only).</w:t>
      </w:r>
    </w:p>
    <w:p>
      <w:pPr>
        <w:pStyle w:val="ListParagraph"/>
        <w:numPr>
          <w:ilvl w:val="0"/>
          <w:numId w:val="1"/>
        </w:numPr>
        <w:spacing w:after="60" w:line="268"/>
      </w:pPr>
      <w:r>
        <w:rPr>
          <w:b/>
          <w:bCs/>
          <w:sz w:val="22"/>
          <w:szCs w:val="22"/>
        </w:rPr>
        <w:t xml:space="preserve">Expenses — </w:t>
      </w:r>
      <w:r>
        <w:rPr>
          <w:b w:val="false"/>
          <w:bCs w:val="false"/>
          <w:sz w:val="22"/>
          <w:szCs w:val="22"/>
        </w:rPr>
        <w:t xml:space="preserve">non-resource costs with an approval flow; only APPROVED items add to actual cost.</w:t>
      </w:r>
    </w:p>
    <w:p>
      <w:pPr>
        <w:pStyle w:val="ListParagraph"/>
        <w:numPr>
          <w:ilvl w:val="0"/>
          <w:numId w:val="1"/>
        </w:numPr>
        <w:spacing w:after="60" w:line="268"/>
      </w:pPr>
      <w:r>
        <w:rPr>
          <w:b/>
          <w:bCs/>
          <w:sz w:val="22"/>
          <w:szCs w:val="22"/>
        </w:rPr>
        <w:t xml:space="preserve">Timesheets — </w:t>
      </w:r>
      <w:r>
        <w:rPr>
          <w:b w:val="false"/>
          <w:bCs w:val="false"/>
          <w:sz w:val="22"/>
          <w:szCs w:val="22"/>
        </w:rPr>
        <w:t xml:space="preserve">all time entries on the project, with KPIs and bulk approval.</w:t>
      </w:r>
    </w:p>
    <w:p>
      <w:pPr>
        <w:pStyle w:val="ListParagraph"/>
        <w:numPr>
          <w:ilvl w:val="0"/>
          <w:numId w:val="1"/>
        </w:numPr>
        <w:spacing w:after="60" w:line="268"/>
      </w:pPr>
      <w:r>
        <w:rPr>
          <w:b/>
          <w:bCs/>
          <w:sz w:val="22"/>
          <w:szCs w:val="22"/>
        </w:rPr>
        <w:t xml:space="preserve">Billing — </w:t>
      </w:r>
      <w:r>
        <w:rPr>
          <w:b w:val="false"/>
          <w:bCs w:val="false"/>
          <w:sz w:val="22"/>
          <w:szCs w:val="22"/>
        </w:rPr>
        <w:t xml:space="preserve">payment milestones with %, DPP, VAT, total, due date, and invoice status.</w:t>
      </w:r>
    </w:p>
    <w:p>
      <w:pPr>
        <w:pStyle w:val="ListParagraph"/>
        <w:numPr>
          <w:ilvl w:val="0"/>
          <w:numId w:val="1"/>
        </w:numPr>
        <w:spacing w:after="60" w:line="268"/>
      </w:pPr>
      <w:r>
        <w:rPr>
          <w:b/>
          <w:bCs/>
          <w:sz w:val="22"/>
          <w:szCs w:val="22"/>
        </w:rPr>
        <w:t xml:space="preserve">Financials — </w:t>
      </w:r>
      <w:r>
        <w:rPr>
          <w:b w:val="false"/>
          <w:bCs w:val="false"/>
          <w:sz w:val="22"/>
          <w:szCs w:val="22"/>
        </w:rPr>
        <w:t xml:space="preserve">cost, profit, margin, burn rate, forecast, Profit Outlook, project Health Score, and Earned Value (EVM) indicators against the project baseline.</w:t>
      </w:r>
    </w:p>
    <w:p>
      <w:pPr>
        <w:pStyle w:val="ListParagraph"/>
        <w:numPr>
          <w:ilvl w:val="0"/>
          <w:numId w:val="1"/>
        </w:numPr>
        <w:spacing w:after="60" w:line="268"/>
      </w:pPr>
      <w:r>
        <w:rPr>
          <w:b/>
          <w:bCs/>
          <w:sz w:val="22"/>
          <w:szCs w:val="22"/>
        </w:rPr>
        <w:t xml:space="preserve">Change Requests — </w:t>
      </w:r>
      <w:r>
        <w:rPr>
          <w:b w:val="false"/>
          <w:bCs w:val="false"/>
          <w:sz w:val="22"/>
          <w:szCs w:val="22"/>
        </w:rPr>
        <w:t xml:space="preserve">formal scope/schedule/cost changes with a DRAFT → APPROVED → APPLIED flow; applying a schedule or cost change updates the project and records a new baseline.</w:t>
      </w:r>
    </w:p>
    <w:p>
      <w:pPr>
        <w:pStyle w:val="ListParagraph"/>
        <w:numPr>
          <w:ilvl w:val="0"/>
          <w:numId w:val="1"/>
        </w:numPr>
        <w:spacing w:after="60" w:line="268"/>
      </w:pPr>
      <w:r>
        <w:rPr>
          <w:b/>
          <w:bCs/>
          <w:sz w:val="22"/>
          <w:szCs w:val="22"/>
        </w:rPr>
        <w:t xml:space="preserve">Documents, Closing, Report, Survey, Workstreams, Activity — </w:t>
      </w:r>
      <w:r>
        <w:rPr>
          <w:b w:val="false"/>
          <w:bCs w:val="false"/>
          <w:sz w:val="22"/>
          <w:szCs w:val="22"/>
        </w:rPr>
        <w:t xml:space="preserve">documents, closing, project reports, customer survey, workstreams, and audit trail.</w:t>
      </w:r>
    </w:p>
    <w:p>
      <w:pPr>
        <w:pStyle w:val="Heading2"/>
        <w:spacing w:after="90" w:before="220"/>
      </w:pPr>
      <w:r>
        <w:rPr>
          <w:b/>
          <w:bCs/>
          <w:color w:val="0F1B14"/>
          <w:sz w:val="26"/>
          <w:szCs w:val="26"/>
        </w:rPr>
        <w:t xml:space="preserve">5.3 Other Modules &amp; Pages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4%"/>
            <w:shd w:fill="1F7A4D"/>
            <w:tcMar>
              <w:top w:type="dxa" w:w="60"/>
              <w:left w:type="dxa" w:w="90"/>
              <w:bottom w:type="dxa" w:w="60"/>
              <w:right w:type="dxa" w:w="90"/>
            </w:tcMar>
          </w:tcPr>
          <w:p>
            <w:r>
              <w:rPr>
                <w:b/>
                <w:bCs/>
                <w:color w:val="FFFFFF"/>
                <w:sz w:val="20"/>
                <w:szCs w:val="20"/>
              </w:rPr>
              <w:t xml:space="preserve">Module</w:t>
            </w:r>
          </w:p>
        </w:tc>
        <w:tc>
          <w:tcPr>
            <w:tcW w:type="pct" w:w="66%"/>
            <w:shd w:fill="1F7A4D"/>
            <w:tcMar>
              <w:top w:type="dxa" w:w="60"/>
              <w:left w:type="dxa" w:w="90"/>
              <w:bottom w:type="dxa" w:w="60"/>
              <w:right w:type="dxa" w:w="90"/>
            </w:tcMar>
          </w:tcPr>
          <w:p>
            <w:r>
              <w:rPr>
                <w:b/>
                <w:bCs/>
                <w:color w:val="FFFFFF"/>
                <w:sz w:val="20"/>
                <w:szCs w:val="20"/>
              </w:rPr>
              <w:t xml:space="preserve">Function</w:t>
            </w:r>
          </w:p>
        </w:tc>
      </w:tr>
      <w:tr>
        <w:tc>
          <w:tcPr>
            <w:tcW w:type="pct" w:w="34%"/>
            <w:tcMar>
              <w:top w:type="dxa" w:w="60"/>
              <w:left w:type="dxa" w:w="90"/>
              <w:bottom w:type="dxa" w:w="60"/>
              <w:right w:type="dxa" w:w="90"/>
            </w:tcMar>
          </w:tcPr>
          <w:p>
            <w:r>
              <w:rPr>
                <w:color w:val="0F1B14"/>
                <w:sz w:val="20"/>
                <w:szCs w:val="20"/>
              </w:rPr>
              <w:t xml:space="preserve">Clients</w:t>
            </w:r>
          </w:p>
        </w:tc>
        <w:tc>
          <w:tcPr>
            <w:tcW w:type="pct" w:w="66%"/>
            <w:tcMar>
              <w:top w:type="dxa" w:w="60"/>
              <w:left w:type="dxa" w:w="90"/>
              <w:bottom w:type="dxa" w:w="60"/>
              <w:right w:type="dxa" w:w="90"/>
            </w:tcMar>
          </w:tcPr>
          <w:p>
            <w:r>
              <w:rPr>
                <w:color w:val="0F1B14"/>
                <w:sz w:val="20"/>
                <w:szCs w:val="20"/>
              </w:rPr>
              <w:t xml:space="preserve">Client data management.</w:t>
            </w:r>
          </w:p>
        </w:tc>
      </w:tr>
      <w:tr>
        <w:tc>
          <w:tcPr>
            <w:tcW w:type="pct" w:w="34%"/>
            <w:shd w:fill="F1F6F2"/>
            <w:tcMar>
              <w:top w:type="dxa" w:w="60"/>
              <w:left w:type="dxa" w:w="90"/>
              <w:bottom w:type="dxa" w:w="60"/>
              <w:right w:type="dxa" w:w="90"/>
            </w:tcMar>
          </w:tcPr>
          <w:p>
            <w:r>
              <w:rPr>
                <w:color w:val="0F1B14"/>
                <w:sz w:val="20"/>
                <w:szCs w:val="20"/>
              </w:rPr>
              <w:t xml:space="preserve">Timesheets (global) + bulk entry</w:t>
            </w:r>
          </w:p>
        </w:tc>
        <w:tc>
          <w:tcPr>
            <w:tcW w:type="pct" w:w="66%"/>
            <w:shd w:fill="F1F6F2"/>
            <w:tcMar>
              <w:top w:type="dxa" w:w="60"/>
              <w:left w:type="dxa" w:w="90"/>
              <w:bottom w:type="dxa" w:w="60"/>
              <w:right w:type="dxa" w:w="90"/>
            </w:tcMar>
          </w:tcPr>
          <w:p>
            <w:r>
              <w:rPr>
                <w:color w:val="0F1B14"/>
                <w:sz w:val="20"/>
                <w:szCs w:val="20"/>
              </w:rPr>
              <w:t xml:space="preserve">Time logging &amp; approval across projects; weekly bulk entry.</w:t>
            </w:r>
          </w:p>
        </w:tc>
      </w:tr>
      <w:tr>
        <w:tc>
          <w:tcPr>
            <w:tcW w:type="pct" w:w="34%"/>
            <w:tcMar>
              <w:top w:type="dxa" w:w="60"/>
              <w:left w:type="dxa" w:w="90"/>
              <w:bottom w:type="dxa" w:w="60"/>
              <w:right w:type="dxa" w:w="90"/>
            </w:tcMar>
          </w:tcPr>
          <w:p>
            <w:r>
              <w:rPr>
                <w:color w:val="0F1B14"/>
                <w:sz w:val="20"/>
                <w:szCs w:val="20"/>
              </w:rPr>
              <w:t xml:space="preserve">Reports</w:t>
            </w:r>
          </w:p>
        </w:tc>
        <w:tc>
          <w:tcPr>
            <w:tcW w:type="pct" w:w="66%"/>
            <w:tcMar>
              <w:top w:type="dxa" w:w="60"/>
              <w:left w:type="dxa" w:w="90"/>
              <w:bottom w:type="dxa" w:w="60"/>
              <w:right w:type="dxa" w:w="90"/>
            </w:tcMar>
          </w:tcPr>
          <w:p>
            <w:r>
              <w:rPr>
                <w:color w:val="0F1B14"/>
                <w:sz w:val="20"/>
                <w:szCs w:val="20"/>
              </w:rPr>
              <w:t xml:space="preserve">10 ready-made reports with CSV/XLSX/PDF export.</w:t>
            </w:r>
          </w:p>
        </w:tc>
      </w:tr>
      <w:tr>
        <w:tc>
          <w:tcPr>
            <w:tcW w:type="pct" w:w="34%"/>
            <w:shd w:fill="F1F6F2"/>
            <w:tcMar>
              <w:top w:type="dxa" w:w="60"/>
              <w:left w:type="dxa" w:w="90"/>
              <w:bottom w:type="dxa" w:w="60"/>
              <w:right w:type="dxa" w:w="90"/>
            </w:tcMar>
          </w:tcPr>
          <w:p>
            <w:r>
              <w:rPr>
                <w:color w:val="0F1B14"/>
                <w:sz w:val="20"/>
                <w:szCs w:val="20"/>
              </w:rPr>
              <w:t xml:space="preserve">Resource Planning</w:t>
            </w:r>
          </w:p>
        </w:tc>
        <w:tc>
          <w:tcPr>
            <w:tcW w:type="pct" w:w="66%"/>
            <w:shd w:fill="F1F6F2"/>
            <w:tcMar>
              <w:top w:type="dxa" w:w="60"/>
              <w:left w:type="dxa" w:w="90"/>
              <w:bottom w:type="dxa" w:w="60"/>
              <w:right w:type="dxa" w:w="90"/>
            </w:tcMar>
          </w:tcPr>
          <w:p>
            <w:r>
              <w:rPr>
                <w:color w:val="0F1B14"/>
                <w:sz w:val="20"/>
                <w:szCs w:val="20"/>
              </w:rPr>
              <w:t xml:space="preserve">Weekly manday load per business unit (with leave overlay).</w:t>
            </w:r>
          </w:p>
        </w:tc>
      </w:tr>
      <w:tr>
        <w:tc>
          <w:tcPr>
            <w:tcW w:type="pct" w:w="34%"/>
            <w:tcMar>
              <w:top w:type="dxa" w:w="60"/>
              <w:left w:type="dxa" w:w="90"/>
              <w:bottom w:type="dxa" w:w="60"/>
              <w:right w:type="dxa" w:w="90"/>
            </w:tcMar>
          </w:tcPr>
          <w:p>
            <w:r>
              <w:rPr>
                <w:color w:val="0F1B14"/>
                <w:sz w:val="20"/>
                <w:szCs w:val="20"/>
              </w:rPr>
              <w:t xml:space="preserve">Bench &amp; Capacity</w:t>
            </w:r>
          </w:p>
        </w:tc>
        <w:tc>
          <w:tcPr>
            <w:tcW w:type="pct" w:w="66%"/>
            <w:tcMar>
              <w:top w:type="dxa" w:w="60"/>
              <w:left w:type="dxa" w:w="90"/>
              <w:bottom w:type="dxa" w:w="60"/>
              <w:right w:type="dxa" w:w="90"/>
            </w:tcMar>
          </w:tcPr>
          <w:p>
            <w:r>
              <w:rPr>
                <w:color w:val="0F1B14"/>
                <w:sz w:val="20"/>
                <w:szCs w:val="20"/>
              </w:rPr>
              <w:t xml:space="preserve">Unallocated consultants and team capacity.</w:t>
            </w:r>
          </w:p>
        </w:tc>
      </w:tr>
      <w:tr>
        <w:tc>
          <w:tcPr>
            <w:tcW w:type="pct" w:w="34%"/>
            <w:shd w:fill="F1F6F2"/>
            <w:tcMar>
              <w:top w:type="dxa" w:w="60"/>
              <w:left w:type="dxa" w:w="90"/>
              <w:bottom w:type="dxa" w:w="60"/>
              <w:right w:type="dxa" w:w="90"/>
            </w:tcMar>
          </w:tcPr>
          <w:p>
            <w:r>
              <w:rPr>
                <w:color w:val="0F1B14"/>
                <w:sz w:val="20"/>
                <w:szCs w:val="20"/>
              </w:rPr>
              <w:t xml:space="preserve">Skill Matrix</w:t>
            </w:r>
          </w:p>
        </w:tc>
        <w:tc>
          <w:tcPr>
            <w:tcW w:type="pct" w:w="66%"/>
            <w:shd w:fill="F1F6F2"/>
            <w:tcMar>
              <w:top w:type="dxa" w:w="60"/>
              <w:left w:type="dxa" w:w="90"/>
              <w:bottom w:type="dxa" w:w="60"/>
              <w:right w:type="dxa" w:w="90"/>
            </w:tcMar>
          </w:tcPr>
          <w:p>
            <w:r>
              <w:rPr>
                <w:color w:val="0F1B14"/>
                <w:sz w:val="20"/>
                <w:szCs w:val="20"/>
              </w:rPr>
              <w:t xml:space="preserve">Mapping of team skills and gap identification.</w:t>
            </w:r>
          </w:p>
        </w:tc>
      </w:tr>
      <w:tr>
        <w:tc>
          <w:tcPr>
            <w:tcW w:type="pct" w:w="34%"/>
            <w:tcMar>
              <w:top w:type="dxa" w:w="60"/>
              <w:left w:type="dxa" w:w="90"/>
              <w:bottom w:type="dxa" w:w="60"/>
              <w:right w:type="dxa" w:w="90"/>
            </w:tcMar>
          </w:tcPr>
          <w:p>
            <w:r>
              <w:rPr>
                <w:color w:val="0F1B14"/>
                <w:sz w:val="20"/>
                <w:szCs w:val="20"/>
              </w:rPr>
              <w:t xml:space="preserve">Invoice Planning</w:t>
            </w:r>
          </w:p>
        </w:tc>
        <w:tc>
          <w:tcPr>
            <w:tcW w:type="pct" w:w="66%"/>
            <w:tcMar>
              <w:top w:type="dxa" w:w="60"/>
              <w:left w:type="dxa" w:w="90"/>
              <w:bottom w:type="dxa" w:w="60"/>
              <w:right w:type="dxa" w:w="90"/>
            </w:tcMar>
          </w:tcPr>
          <w:p>
            <w:r>
              <w:rPr>
                <w:color w:val="0F1B14"/>
                <w:sz w:val="20"/>
                <w:szCs w:val="20"/>
              </w:rPr>
              <w:t xml:space="preserve">Billing projection per period (week/month) per business unit.</w:t>
            </w:r>
          </w:p>
        </w:tc>
      </w:tr>
      <w:tr>
        <w:tc>
          <w:tcPr>
            <w:tcW w:type="pct" w:w="34%"/>
            <w:shd w:fill="F1F6F2"/>
            <w:tcMar>
              <w:top w:type="dxa" w:w="60"/>
              <w:left w:type="dxa" w:w="90"/>
              <w:bottom w:type="dxa" w:w="60"/>
              <w:right w:type="dxa" w:w="90"/>
            </w:tcMar>
          </w:tcPr>
          <w:p>
            <w:r>
              <w:rPr>
                <w:color w:val="0F1B14"/>
                <w:sz w:val="20"/>
                <w:szCs w:val="20"/>
              </w:rPr>
              <w:t xml:space="preserve">VAT Recap</w:t>
            </w:r>
          </w:p>
        </w:tc>
        <w:tc>
          <w:tcPr>
            <w:tcW w:type="pct" w:w="66%"/>
            <w:shd w:fill="F1F6F2"/>
            <w:tcMar>
              <w:top w:type="dxa" w:w="60"/>
              <w:left w:type="dxa" w:w="90"/>
              <w:bottom w:type="dxa" w:w="60"/>
              <w:right w:type="dxa" w:w="90"/>
            </w:tcMar>
          </w:tcPr>
          <w:p>
            <w:r>
              <w:rPr>
                <w:color w:val="0F1B14"/>
                <w:sz w:val="20"/>
                <w:szCs w:val="20"/>
              </w:rPr>
              <w:t xml:space="preserve">12-month + annual VAT recap from INVOICED/PAID invoices.</w:t>
            </w:r>
          </w:p>
        </w:tc>
      </w:tr>
      <w:tr>
        <w:tc>
          <w:tcPr>
            <w:tcW w:type="pct" w:w="34%"/>
            <w:tcMar>
              <w:top w:type="dxa" w:w="60"/>
              <w:left w:type="dxa" w:w="90"/>
              <w:bottom w:type="dxa" w:w="60"/>
              <w:right w:type="dxa" w:w="90"/>
            </w:tcMar>
          </w:tcPr>
          <w:p>
            <w:r>
              <w:rPr>
                <w:color w:val="0F1B14"/>
                <w:sz w:val="20"/>
                <w:szCs w:val="20"/>
              </w:rPr>
              <w:t xml:space="preserve">Performance Reviews</w:t>
            </w:r>
          </w:p>
        </w:tc>
        <w:tc>
          <w:tcPr>
            <w:tcW w:type="pct" w:w="66%"/>
            <w:tcMar>
              <w:top w:type="dxa" w:w="60"/>
              <w:left w:type="dxa" w:w="90"/>
              <w:bottom w:type="dxa" w:w="60"/>
              <w:right w:type="dxa" w:w="90"/>
            </w:tcMar>
          </w:tcPr>
          <w:p>
            <w:r>
              <w:rPr>
                <w:color w:val="0F1B14"/>
                <w:sz w:val="20"/>
                <w:szCs w:val="20"/>
              </w:rPr>
              <w:t xml:space="preserve">Performance appraisal with DRAFT -&gt; SUBMITTED -&gt; ACKNOWLEDGED flow.</w:t>
            </w:r>
          </w:p>
        </w:tc>
      </w:tr>
      <w:tr>
        <w:tc>
          <w:tcPr>
            <w:tcW w:type="pct" w:w="34%"/>
            <w:shd w:fill="F1F6F2"/>
            <w:tcMar>
              <w:top w:type="dxa" w:w="60"/>
              <w:left w:type="dxa" w:w="90"/>
              <w:bottom w:type="dxa" w:w="60"/>
              <w:right w:type="dxa" w:w="90"/>
            </w:tcMar>
          </w:tcPr>
          <w:p>
            <w:r>
              <w:rPr>
                <w:color w:val="0F1B14"/>
                <w:sz w:val="20"/>
                <w:szCs w:val="20"/>
              </w:rPr>
              <w:t xml:space="preserve">Leaves &amp; Org Chart</w:t>
            </w:r>
          </w:p>
        </w:tc>
        <w:tc>
          <w:tcPr>
            <w:tcW w:type="pct" w:w="66%"/>
            <w:shd w:fill="F1F6F2"/>
            <w:tcMar>
              <w:top w:type="dxa" w:w="60"/>
              <w:left w:type="dxa" w:w="90"/>
              <w:bottom w:type="dxa" w:w="60"/>
              <w:right w:type="dxa" w:w="90"/>
            </w:tcMar>
          </w:tcPr>
          <w:p>
            <w:r>
              <w:rPr>
                <w:color w:val="0F1B14"/>
                <w:sz w:val="20"/>
                <w:szCs w:val="20"/>
              </w:rPr>
              <w:t xml:space="preserve">Leave management and organization chart.</w:t>
            </w:r>
          </w:p>
        </w:tc>
      </w:tr>
      <w:tr>
        <w:tc>
          <w:tcPr>
            <w:tcW w:type="pct" w:w="34%"/>
            <w:tcMar>
              <w:top w:type="dxa" w:w="60"/>
              <w:left w:type="dxa" w:w="90"/>
              <w:bottom w:type="dxa" w:w="60"/>
              <w:right w:type="dxa" w:w="90"/>
            </w:tcMar>
          </w:tcPr>
          <w:p>
            <w:r>
              <w:rPr>
                <w:color w:val="0F1B14"/>
                <w:sz w:val="20"/>
                <w:szCs w:val="20"/>
              </w:rPr>
              <w:t xml:space="preserve">Task &amp; Project Templates</w:t>
            </w:r>
          </w:p>
        </w:tc>
        <w:tc>
          <w:tcPr>
            <w:tcW w:type="pct" w:w="66%"/>
            <w:tcMar>
              <w:top w:type="dxa" w:w="60"/>
              <w:left w:type="dxa" w:w="90"/>
              <w:bottom w:type="dxa" w:w="60"/>
              <w:right w:type="dxa" w:w="90"/>
            </w:tcMar>
          </w:tcPr>
          <w:p>
            <w:r>
              <w:rPr>
                <w:color w:val="0F1B14"/>
                <w:sz w:val="20"/>
                <w:szCs w:val="20"/>
              </w:rPr>
              <w:t xml:space="preserve">Reusable WBS and project templates applied to new projects.</w:t>
            </w:r>
          </w:p>
        </w:tc>
      </w:tr>
      <w:tr>
        <w:tc>
          <w:tcPr>
            <w:tcW w:type="pct" w:w="34%"/>
            <w:shd w:fill="F1F6F2"/>
            <w:tcMar>
              <w:top w:type="dxa" w:w="60"/>
              <w:left w:type="dxa" w:w="90"/>
              <w:bottom w:type="dxa" w:w="60"/>
              <w:right w:type="dxa" w:w="90"/>
            </w:tcMar>
          </w:tcPr>
          <w:p>
            <w:r>
              <w:rPr>
                <w:color w:val="0F1B14"/>
                <w:sz w:val="20"/>
                <w:szCs w:val="20"/>
              </w:rPr>
              <w:t xml:space="preserve">Sales Pipeline (Leads)</w:t>
            </w:r>
          </w:p>
        </w:tc>
        <w:tc>
          <w:tcPr>
            <w:tcW w:type="pct" w:w="66%"/>
            <w:shd w:fill="F1F6F2"/>
            <w:tcMar>
              <w:top w:type="dxa" w:w="60"/>
              <w:left w:type="dxa" w:w="90"/>
              <w:bottom w:type="dxa" w:w="60"/>
              <w:right w:type="dxa" w:w="90"/>
            </w:tcMar>
          </w:tcPr>
          <w:p>
            <w:r>
              <w:rPr>
                <w:color w:val="0F1B14"/>
                <w:sz w:val="20"/>
                <w:szCs w:val="20"/>
              </w:rPr>
              <w:t xml:space="preserve">Lead kanban from first contact to conversion into a project; open deals can be imported one-way from Pipedrive CRM.</w:t>
            </w:r>
          </w:p>
        </w:tc>
      </w:tr>
      <w:tr>
        <w:tc>
          <w:tcPr>
            <w:tcW w:type="pct" w:w="34%"/>
            <w:tcMar>
              <w:top w:type="dxa" w:w="60"/>
              <w:left w:type="dxa" w:w="90"/>
              <w:bottom w:type="dxa" w:w="60"/>
              <w:right w:type="dxa" w:w="90"/>
            </w:tcMar>
          </w:tcPr>
          <w:p>
            <w:r>
              <w:rPr>
                <w:color w:val="0F1B14"/>
                <w:sz w:val="20"/>
                <w:szCs w:val="20"/>
              </w:rPr>
              <w:t xml:space="preserve">AI Executive Copilot</w:t>
            </w:r>
          </w:p>
        </w:tc>
        <w:tc>
          <w:tcPr>
            <w:tcW w:type="pct" w:w="66%"/>
            <w:tcMar>
              <w:top w:type="dxa" w:w="60"/>
              <w:left w:type="dxa" w:w="90"/>
              <w:bottom w:type="dxa" w:w="60"/>
              <w:right w:type="dxa" w:w="90"/>
            </w:tcMar>
          </w:tcPr>
          <w:p>
            <w:r>
              <w:rPr>
                <w:color w:val="0F1B14"/>
                <w:sz w:val="20"/>
                <w:szCs w:val="20"/>
              </w:rPr>
              <w:t xml:space="preserve">Management-only AI briefing: portfolio health, risk highlights, and Top 5 actions. Numbers are system-computed; the AI only narrates.</w:t>
            </w:r>
          </w:p>
        </w:tc>
      </w:tr>
      <w:tr>
        <w:tc>
          <w:tcPr>
            <w:tcW w:type="pct" w:w="34%"/>
            <w:shd w:fill="F1F6F2"/>
            <w:tcMar>
              <w:top w:type="dxa" w:w="60"/>
              <w:left w:type="dxa" w:w="90"/>
              <w:bottom w:type="dxa" w:w="60"/>
              <w:right w:type="dxa" w:w="90"/>
            </w:tcMar>
          </w:tcPr>
          <w:p>
            <w:r>
              <w:rPr>
                <w:color w:val="0F1B14"/>
                <w:sz w:val="20"/>
                <w:szCs w:val="20"/>
              </w:rPr>
              <w:t xml:space="preserve">Portfolio Monitor &amp; PM Dashboards</w:t>
            </w:r>
          </w:p>
        </w:tc>
        <w:tc>
          <w:tcPr>
            <w:tcW w:type="pct" w:w="66%"/>
            <w:shd w:fill="F1F6F2"/>
            <w:tcMar>
              <w:top w:type="dxa" w:w="60"/>
              <w:left w:type="dxa" w:w="90"/>
              <w:bottom w:type="dxa" w:w="60"/>
              <w:right w:type="dxa" w:w="90"/>
            </w:tcMar>
          </w:tcPr>
          <w:p>
            <w:r>
              <w:rPr>
                <w:color w:val="0F1B14"/>
                <w:sz w:val="20"/>
                <w:szCs w:val="20"/>
              </w:rPr>
              <w:t xml:space="preserve">PMO-wide read-only monitoring of every commercial project, plus a per-PM portfolio view.</w:t>
            </w:r>
          </w:p>
        </w:tc>
      </w:tr>
      <w:tr>
        <w:tc>
          <w:tcPr>
            <w:tcW w:type="pct" w:w="34%"/>
            <w:tcMar>
              <w:top w:type="dxa" w:w="60"/>
              <w:left w:type="dxa" w:w="90"/>
              <w:bottom w:type="dxa" w:w="60"/>
              <w:right w:type="dxa" w:w="90"/>
            </w:tcMar>
          </w:tcPr>
          <w:p>
            <w:r>
              <w:rPr>
                <w:color w:val="0F1B14"/>
                <w:sz w:val="20"/>
                <w:szCs w:val="20"/>
              </w:rPr>
              <w:t xml:space="preserve">Business Intelligence &amp; Top Performers</w:t>
            </w:r>
          </w:p>
        </w:tc>
        <w:tc>
          <w:tcPr>
            <w:tcW w:type="pct" w:w="66%"/>
            <w:tcMar>
              <w:top w:type="dxa" w:w="60"/>
              <w:left w:type="dxa" w:w="90"/>
              <w:bottom w:type="dxa" w:w="60"/>
              <w:right w:type="dxa" w:w="90"/>
            </w:tcMar>
          </w:tcPr>
          <w:p>
            <w:r>
              <w:rPr>
                <w:color w:val="0F1B14"/>
                <w:sz w:val="20"/>
                <w:szCs w:val="20"/>
              </w:rPr>
              <w:t xml:space="preserve">Advanced management analytics and a ranking of top-performing team members.</w:t>
            </w:r>
          </w:p>
        </w:tc>
      </w:tr>
      <w:tr>
        <w:tc>
          <w:tcPr>
            <w:tcW w:type="pct" w:w="34%"/>
            <w:shd w:fill="F1F6F2"/>
            <w:tcMar>
              <w:top w:type="dxa" w:w="60"/>
              <w:left w:type="dxa" w:w="90"/>
              <w:bottom w:type="dxa" w:w="60"/>
              <w:right w:type="dxa" w:w="90"/>
            </w:tcMar>
          </w:tcPr>
          <w:p>
            <w:r>
              <w:rPr>
                <w:color w:val="0F1B14"/>
                <w:sz w:val="20"/>
                <w:szCs w:val="20"/>
              </w:rPr>
              <w:t xml:space="preserve">Work Hours</w:t>
            </w:r>
          </w:p>
        </w:tc>
        <w:tc>
          <w:tcPr>
            <w:tcW w:type="pct" w:w="66%"/>
            <w:shd w:fill="F1F6F2"/>
            <w:tcMar>
              <w:top w:type="dxa" w:w="60"/>
              <w:left w:type="dxa" w:w="90"/>
              <w:bottom w:type="dxa" w:w="60"/>
              <w:right w:type="dxa" w:w="90"/>
            </w:tcMar>
          </w:tcPr>
          <w:p>
            <w:r>
              <w:rPr>
                <w:color w:val="0F1B14"/>
                <w:sz w:val="20"/>
                <w:szCs w:val="20"/>
              </w:rPr>
              <w:t xml:space="preserve">40-hours-per-week compliance tracking; approved leave lowers the weekly target.</w:t>
            </w:r>
          </w:p>
        </w:tc>
      </w:tr>
      <w:tr>
        <w:tc>
          <w:tcPr>
            <w:tcW w:type="pct" w:w="34%"/>
            <w:tcMar>
              <w:top w:type="dxa" w:w="60"/>
              <w:left w:type="dxa" w:w="90"/>
              <w:bottom w:type="dxa" w:w="60"/>
              <w:right w:type="dxa" w:w="90"/>
            </w:tcMar>
          </w:tcPr>
          <w:p>
            <w:r>
              <w:rPr>
                <w:color w:val="0F1B14"/>
                <w:sz w:val="20"/>
                <w:szCs w:val="20"/>
              </w:rPr>
              <w:t xml:space="preserve">Survey Results &amp; Template</w:t>
            </w:r>
          </w:p>
        </w:tc>
        <w:tc>
          <w:tcPr>
            <w:tcW w:type="pct" w:w="66%"/>
            <w:tcMar>
              <w:top w:type="dxa" w:w="60"/>
              <w:left w:type="dxa" w:w="90"/>
              <w:bottom w:type="dxa" w:w="60"/>
              <w:right w:type="dxa" w:w="90"/>
            </w:tcMar>
          </w:tcPr>
          <w:p>
            <w:r>
              <w:rPr>
                <w:color w:val="0F1B14"/>
                <w:sz w:val="20"/>
                <w:szCs w:val="20"/>
              </w:rPr>
              <w:t xml:space="preserve">Client satisfaction (CSAT) survey results and the editable question template.</w:t>
            </w:r>
          </w:p>
        </w:tc>
      </w:tr>
      <w:tr>
        <w:tc>
          <w:tcPr>
            <w:tcW w:type="pct" w:w="34%"/>
            <w:shd w:fill="F1F6F2"/>
            <w:tcMar>
              <w:top w:type="dxa" w:w="60"/>
              <w:left w:type="dxa" w:w="90"/>
              <w:bottom w:type="dxa" w:w="60"/>
              <w:right w:type="dxa" w:w="90"/>
            </w:tcMar>
          </w:tcPr>
          <w:p>
            <w:r>
              <w:rPr>
                <w:color w:val="0F1B14"/>
                <w:sz w:val="20"/>
                <w:szCs w:val="20"/>
              </w:rPr>
              <w:t xml:space="preserve">Notifications</w:t>
            </w:r>
          </w:p>
        </w:tc>
        <w:tc>
          <w:tcPr>
            <w:tcW w:type="pct" w:w="66%"/>
            <w:shd w:fill="F1F6F2"/>
            <w:tcMar>
              <w:top w:type="dxa" w:w="60"/>
              <w:left w:type="dxa" w:w="90"/>
              <w:bottom w:type="dxa" w:w="60"/>
              <w:right w:type="dxa" w:w="90"/>
            </w:tcMar>
          </w:tcPr>
          <w:p>
            <w:r>
              <w:rPr>
                <w:color w:val="0F1B14"/>
                <w:sz w:val="20"/>
                <w:szCs w:val="20"/>
              </w:rPr>
              <w:t xml:space="preserve">In-app notification bell for all roles; important events can also be emailed (global switch controlled by Management).</w:t>
            </w:r>
          </w:p>
        </w:tc>
      </w:tr>
      <w:tr>
        <w:tc>
          <w:tcPr>
            <w:tcW w:type="pct" w:w="34%"/>
            <w:tcMar>
              <w:top w:type="dxa" w:w="60"/>
              <w:left w:type="dxa" w:w="90"/>
              <w:bottom w:type="dxa" w:w="60"/>
              <w:right w:type="dxa" w:w="90"/>
            </w:tcMar>
          </w:tcPr>
          <w:p>
            <w:r>
              <w:rPr>
                <w:color w:val="0F1B14"/>
                <w:sz w:val="20"/>
                <w:szCs w:val="20"/>
              </w:rPr>
              <w:t xml:space="preserve">Mobile app</w:t>
            </w:r>
          </w:p>
        </w:tc>
        <w:tc>
          <w:tcPr>
            <w:tcW w:type="pct" w:w="66%"/>
            <w:tcMar>
              <w:top w:type="dxa" w:w="60"/>
              <w:left w:type="dxa" w:w="90"/>
              <w:bottom w:type="dxa" w:w="60"/>
              <w:right w:type="dxa" w:w="90"/>
            </w:tcMar>
          </w:tcPr>
          <w:p>
            <w:r>
              <w:rPr>
                <w:color w:val="0F1B14"/>
                <w:sz w:val="20"/>
                <w:szCs w:val="20"/>
              </w:rPr>
              <w:t xml:space="preserve">Expo-based companion app for consultants: log timesheets and expenses from a phone.</w:t>
            </w:r>
          </w:p>
        </w:tc>
      </w:tr>
    </w:tbl>
    <w:p>
      <w:r>
        <w:br w:type="page"/>
      </w:r>
    </w:p>
    <w:p>
      <w:pPr>
        <w:pStyle w:val="Heading1"/>
        <w:spacing w:after="140" w:before="360"/>
      </w:pPr>
      <w:r>
        <w:rPr>
          <w:b/>
          <w:bCs/>
          <w:color w:val="1F7A4D"/>
          <w:sz w:val="30"/>
          <w:szCs w:val="30"/>
        </w:rPr>
        <w:t xml:space="preserve">6. Calculations in the Application</w:t>
      </w:r>
    </w:p>
    <w:p>
      <w:pPr>
        <w:spacing w:after="120" w:line="276"/>
      </w:pPr>
      <w:r>
        <w:rPr>
          <w:sz w:val="22"/>
          <w:szCs w:val="22"/>
        </w:rPr>
        <w:t xml:space="preserve">This section explains all core formulas the application uses to compute cost, profit, margin, tax, and billing. All currency values are in Rupiah (Rp).</w:t>
      </w:r>
    </w:p>
    <w:p>
      <w:pPr>
        <w:pStyle w:val="Heading2"/>
        <w:spacing w:after="90" w:before="220"/>
      </w:pPr>
      <w:r>
        <w:rPr>
          <w:b/>
          <w:bCs/>
          <w:color w:val="0F1B14"/>
          <w:sz w:val="26"/>
          <w:szCs w:val="26"/>
        </w:rPr>
        <w:t xml:space="preserve">6.1 Resource Cost</w:t>
      </w:r>
    </w:p>
    <w:p>
      <w:pPr>
        <w:spacing w:after="120" w:line="276"/>
      </w:pPr>
      <w:r>
        <w:rPr>
          <w:sz w:val="22"/>
          <w:szCs w:val="22"/>
        </w:rPr>
        <w:t xml:space="preserve">Labor cost is computed from APPROVED timesheets. Logged hours are converted to days (mandays) on an 8-hour-per-day basis, then multiplied by the resource's daily rate.</w:t>
      </w:r>
    </w:p>
    <w:p>
      <w:pPr>
        <w:pBdr>
          <w:left w:val="single" w:color="1F7A4D" w:sz="18" w:space="8"/>
        </w:pBdr>
        <w:shd w:fill="F1F6F2"/>
        <w:spacing w:after="120" w:before="60"/>
      </w:pPr>
      <w:r>
        <w:rPr>
          <w:rFonts w:ascii="Consolas" w:cs="Consolas" w:eastAsia="Consolas" w:hAnsi="Consolas"/>
          <w:color w:val="0F1B14"/>
          <w:sz w:val="21"/>
          <w:szCs w:val="21"/>
        </w:rPr>
        <w:t xml:space="preserve">days (manday) = timesheet hours / 8</w:t>
      </w:r>
    </w:p>
    <w:p>
      <w:pPr>
        <w:pBdr>
          <w:left w:val="single" w:color="1F7A4D" w:sz="18" w:space="8"/>
        </w:pBdr>
        <w:shd w:fill="F1F6F2"/>
        <w:spacing w:after="120" w:before="60"/>
      </w:pPr>
      <w:r>
        <w:rPr>
          <w:rFonts w:ascii="Consolas" w:cs="Consolas" w:eastAsia="Consolas" w:hAnsi="Consolas"/>
          <w:color w:val="0F1B14"/>
          <w:sz w:val="21"/>
          <w:szCs w:val="21"/>
        </w:rPr>
        <w:t xml:space="preserve">resourceCost = SUM( days x daily_rate ) for all APPROVED timesheets</w:t>
      </w:r>
    </w:p>
    <w:p>
      <w:pPr>
        <w:spacing w:after="120" w:line="276"/>
      </w:pPr>
      <w:r>
        <w:rPr>
          <w:b/>
          <w:bCs/>
          <w:sz w:val="22"/>
          <w:szCs w:val="22"/>
        </w:rPr>
        <w:t xml:space="preserve">Note: </w:t>
      </w:r>
      <w:r>
        <w:rPr>
          <w:b w:val="false"/>
          <w:bCs w:val="false"/>
          <w:sz w:val="22"/>
          <w:szCs w:val="22"/>
        </w:rPr>
        <w:t xml:space="preserve">each project assignment keeps a rate history (rate periods with an effective-from date). A timesheet is costed at the rate in effect on its work date, so changing a rate mid-project never reprices past work. If no rate period exists, the assignment's daily rate is used.</w:t>
      </w:r>
    </w:p>
    <w:p>
      <w:pPr>
        <w:pStyle w:val="Heading2"/>
        <w:spacing w:after="90" w:before="220"/>
      </w:pPr>
      <w:r>
        <w:rPr>
          <w:b/>
          <w:bCs/>
          <w:color w:val="0F1B14"/>
          <w:sz w:val="26"/>
          <w:szCs w:val="26"/>
        </w:rPr>
        <w:t xml:space="preserve">6.2 Additional Cost</w:t>
      </w:r>
    </w:p>
    <w:p>
      <w:pPr>
        <w:spacing w:after="120" w:line="276"/>
      </w:pPr>
      <w:r>
        <w:rPr>
          <w:sz w:val="22"/>
          <w:szCs w:val="22"/>
        </w:rPr>
        <w:t xml:space="preserve">Non-labor costs (software, hardware, license, travel, other). Only APPROVED expenses count; PENDING/REJECTED items remain visible for transparency but do not add to cost.</w:t>
      </w:r>
    </w:p>
    <w:p>
      <w:pPr>
        <w:pBdr>
          <w:left w:val="single" w:color="1F7A4D" w:sz="18" w:space="8"/>
        </w:pBdr>
        <w:shd w:fill="F1F6F2"/>
        <w:spacing w:after="120" w:before="60"/>
      </w:pPr>
      <w:r>
        <w:rPr>
          <w:rFonts w:ascii="Consolas" w:cs="Consolas" w:eastAsia="Consolas" w:hAnsi="Consolas"/>
          <w:color w:val="0F1B14"/>
          <w:sz w:val="21"/>
          <w:szCs w:val="21"/>
        </w:rPr>
        <w:t xml:space="preserve">additionalCost = SUM( amount ) for all APPROVED ProjectExpense</w:t>
      </w:r>
    </w:p>
    <w:p>
      <w:pPr>
        <w:spacing w:after="120" w:line="276"/>
      </w:pPr>
      <w:r>
        <w:rPr>
          <w:b/>
          <w:bCs/>
          <w:sz w:val="22"/>
          <w:szCs w:val="22"/>
        </w:rPr>
        <w:t xml:space="preserve">Cash advance: </w:t>
      </w:r>
      <w:r>
        <w:rPr>
          <w:b w:val="false"/>
          <w:bCs w:val="false"/>
          <w:sz w:val="22"/>
          <w:szCs w:val="22"/>
        </w:rPr>
        <w:t xml:space="preserve">a cash-advance expense is later settled against actual receipts; once settled, the settled amount (not the original advance) is what counts toward cost. Purchase-order expenses carry a PO number.</w:t>
      </w:r>
    </w:p>
    <w:p>
      <w:pPr>
        <w:pStyle w:val="Heading2"/>
        <w:spacing w:after="90" w:before="220"/>
      </w:pPr>
      <w:r>
        <w:rPr>
          <w:b/>
          <w:bCs/>
          <w:color w:val="0F1B14"/>
          <w:sz w:val="26"/>
          <w:szCs w:val="26"/>
        </w:rPr>
        <w:t xml:space="preserve">6.3 Actual Cost, Profit, and Margin</w:t>
      </w:r>
    </w:p>
    <w:p>
      <w:pPr>
        <w:pBdr>
          <w:left w:val="single" w:color="1F7A4D" w:sz="18" w:space="8"/>
        </w:pBdr>
        <w:shd w:fill="F1F6F2"/>
        <w:spacing w:after="120" w:before="60"/>
      </w:pPr>
      <w:r>
        <w:rPr>
          <w:rFonts w:ascii="Consolas" w:cs="Consolas" w:eastAsia="Consolas" w:hAnsi="Consolas"/>
          <w:color w:val="0F1B14"/>
          <w:sz w:val="21"/>
          <w:szCs w:val="21"/>
        </w:rPr>
        <w:t xml:space="preserve">actualCost   = 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actualProfit = contractValue - actualCost</w:t>
      </w:r>
    </w:p>
    <w:p>
      <w:pPr>
        <w:pBdr>
          <w:left w:val="single" w:color="1F7A4D" w:sz="18" w:space="8"/>
        </w:pBdr>
        <w:shd w:fill="F1F6F2"/>
        <w:spacing w:after="120" w:before="60"/>
      </w:pPr>
      <w:r>
        <w:rPr>
          <w:rFonts w:ascii="Consolas" w:cs="Consolas" w:eastAsia="Consolas" w:hAnsi="Consolas"/>
          <w:color w:val="0F1B14"/>
          <w:sz w:val="21"/>
          <w:szCs w:val="21"/>
        </w:rPr>
        <w:t xml:space="preserve">marginPct    = (actualProfit / contractValue) x 100</w:t>
      </w:r>
    </w:p>
    <w:p>
      <w:pPr>
        <w:spacing w:after="120" w:line="276"/>
      </w:pPr>
      <w:r>
        <w:rPr>
          <w:sz w:val="22"/>
          <w:szCs w:val="22"/>
        </w:rPr>
        <w:t xml:space="preserve">contractValue is the project's contract value. Margin is expressed as a percentage.</w:t>
      </w:r>
    </w:p>
    <w:p>
      <w:pPr>
        <w:pStyle w:val="Heading2"/>
        <w:spacing w:after="90" w:before="220"/>
      </w:pPr>
      <w:r>
        <w:rPr>
          <w:b/>
          <w:bCs/>
          <w:color w:val="0F1B14"/>
          <w:sz w:val="26"/>
          <w:szCs w:val="26"/>
        </w:rPr>
        <w:t xml:space="preserve">6.4 Accrued Cost</w:t>
      </w:r>
    </w:p>
    <w:p>
      <w:pPr>
        <w:spacing w:after="120" w:line="276"/>
      </w:pPr>
      <w:r>
        <w:rPr>
          <w:sz w:val="22"/>
          <w:szCs w:val="22"/>
        </w:rPr>
        <w:t xml:space="preserve">To monitor cost in flight, the application also computes accrued cost, which includes labor that is SUBMITTED but not yet approved.</w:t>
      </w:r>
    </w:p>
    <w:p>
      <w:pPr>
        <w:pBdr>
          <w:left w:val="single" w:color="1F7A4D" w:sz="18" w:space="8"/>
        </w:pBdr>
        <w:shd w:fill="F1F6F2"/>
        <w:spacing w:after="120" w:before="60"/>
      </w:pPr>
      <w:r>
        <w:rPr>
          <w:rFonts w:ascii="Consolas" w:cs="Consolas" w:eastAsia="Consolas" w:hAnsi="Consolas"/>
          <w:color w:val="0F1B14"/>
          <w:sz w:val="21"/>
          <w:szCs w:val="21"/>
        </w:rPr>
        <w:t xml:space="preserve">accruedResourceCost = SUM( days x rate ) for APPROVED + SUBMITTED timesheets</w:t>
      </w:r>
    </w:p>
    <w:p>
      <w:pPr>
        <w:pBdr>
          <w:left w:val="single" w:color="1F7A4D" w:sz="18" w:space="8"/>
        </w:pBdr>
        <w:shd w:fill="F1F6F2"/>
        <w:spacing w:after="120" w:before="60"/>
      </w:pPr>
      <w:r>
        <w:rPr>
          <w:rFonts w:ascii="Consolas" w:cs="Consolas" w:eastAsia="Consolas" w:hAnsi="Consolas"/>
          <w:color w:val="0F1B14"/>
          <w:sz w:val="21"/>
          <w:szCs w:val="21"/>
        </w:rPr>
        <w:t xml:space="preserve">accruedCost = accruedResourceCost + additionalCost</w:t>
      </w:r>
    </w:p>
    <w:p>
      <w:pPr>
        <w:pStyle w:val="Heading2"/>
        <w:spacing w:after="90" w:before="220"/>
      </w:pPr>
      <w:r>
        <w:rPr>
          <w:b/>
          <w:bCs/>
          <w:color w:val="0F1B14"/>
          <w:sz w:val="26"/>
          <w:szCs w:val="26"/>
        </w:rPr>
        <w:t xml:space="preserve">6.5 Fully-Loaded Cost (Overhead)</w:t>
      </w:r>
    </w:p>
    <w:p>
      <w:pPr>
        <w:spacing w:after="120" w:line="276"/>
      </w:pPr>
      <w:r>
        <w:rPr>
          <w:sz w:val="22"/>
          <w:szCs w:val="22"/>
        </w:rPr>
        <w:t xml:space="preserve">To reflect the company's indirect (overhead) cost, resource cost can be multiplied by a configurable overhead multiplier. This yields a more conservative 'net' cost and margin.</w:t>
      </w:r>
    </w:p>
    <w:p>
      <w:pPr>
        <w:pBdr>
          <w:left w:val="single" w:color="1F7A4D" w:sz="18" w:space="8"/>
        </w:pBdr>
        <w:shd w:fill="F1F6F2"/>
        <w:spacing w:after="120" w:before="60"/>
      </w:pPr>
      <w:r>
        <w:rPr>
          <w:rFonts w:ascii="Consolas" w:cs="Consolas" w:eastAsia="Consolas" w:hAnsi="Consolas"/>
          <w:color w:val="0F1B14"/>
          <w:sz w:val="21"/>
          <w:szCs w:val="21"/>
        </w:rPr>
        <w:t xml:space="preserve">loadedResourceCost = resourceCost x overheadMultiplier</w:t>
      </w:r>
    </w:p>
    <w:p>
      <w:pPr>
        <w:pBdr>
          <w:left w:val="single" w:color="1F7A4D" w:sz="18" w:space="8"/>
        </w:pBdr>
        <w:shd w:fill="F1F6F2"/>
        <w:spacing w:after="120" w:before="60"/>
      </w:pPr>
      <w:r>
        <w:rPr>
          <w:rFonts w:ascii="Consolas" w:cs="Consolas" w:eastAsia="Consolas" w:hAnsi="Consolas"/>
          <w:color w:val="0F1B14"/>
          <w:sz w:val="21"/>
          <w:szCs w:val="21"/>
        </w:rPr>
        <w:t xml:space="preserve">netActualCost   = loadedResourceCost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netActualProfit = revenueNet - netActualCost</w:t>
      </w:r>
    </w:p>
    <w:p>
      <w:pPr>
        <w:pBdr>
          <w:left w:val="single" w:color="1F7A4D" w:sz="18" w:space="8"/>
        </w:pBdr>
        <w:shd w:fill="F1F6F2"/>
        <w:spacing w:after="120" w:before="60"/>
      </w:pPr>
      <w:r>
        <w:rPr>
          <w:rFonts w:ascii="Consolas" w:cs="Consolas" w:eastAsia="Consolas" w:hAnsi="Consolas"/>
          <w:color w:val="0F1B14"/>
          <w:sz w:val="21"/>
          <w:szCs w:val="21"/>
        </w:rPr>
        <w:t xml:space="preserve">netMarginPct    = (netActualProfit / revenueNet) x 100</w:t>
      </w:r>
    </w:p>
    <w:p>
      <w:pPr>
        <w:pStyle w:val="Heading2"/>
        <w:spacing w:after="90" w:before="220"/>
      </w:pPr>
      <w:r>
        <w:rPr>
          <w:b/>
          <w:bCs/>
          <w:color w:val="0F1B14"/>
          <w:sz w:val="26"/>
          <w:szCs w:val="26"/>
        </w:rPr>
        <w:t xml:space="preserve">6.6 Burn Rate &amp; Revenue Recognition</w:t>
      </w:r>
    </w:p>
    <w:p>
      <w:pPr>
        <w:spacing w:after="120" w:line="276"/>
      </w:pPr>
      <w:r>
        <w:rPr>
          <w:sz w:val="22"/>
          <w:szCs w:val="22"/>
        </w:rPr>
        <w:t xml:space="preserve">Completion (burn rate) is measured from actual mandays versus planned mandays, capped at 100%. Revenue is recognized proportionally (following the percentage-of-completion principle / PSAK 72).</w:t>
      </w:r>
    </w:p>
    <w:p>
      <w:pPr>
        <w:pBdr>
          <w:left w:val="single" w:color="1F7A4D" w:sz="18" w:space="8"/>
        </w:pBdr>
        <w:shd w:fill="F1F6F2"/>
        <w:spacing w:after="120" w:before="60"/>
      </w:pPr>
      <w:r>
        <w:rPr>
          <w:rFonts w:ascii="Consolas" w:cs="Consolas" w:eastAsia="Consolas" w:hAnsi="Consolas"/>
          <w:color w:val="0F1B14"/>
          <w:sz w:val="21"/>
          <w:szCs w:val="21"/>
        </w:rPr>
        <w:t xml:space="preserve">burnRatePct = min( (actualMandays / plannedMandays) x 100 , 100 )</w:t>
      </w:r>
    </w:p>
    <w:p>
      <w:pPr>
        <w:pBdr>
          <w:left w:val="single" w:color="1F7A4D" w:sz="18" w:space="8"/>
        </w:pBdr>
        <w:shd w:fill="F1F6F2"/>
        <w:spacing w:after="120" w:before="60"/>
      </w:pPr>
      <w:r>
        <w:rPr>
          <w:rFonts w:ascii="Consolas" w:cs="Consolas" w:eastAsia="Consolas" w:hAnsi="Consolas"/>
          <w:color w:val="0F1B14"/>
          <w:sz w:val="21"/>
          <w:szCs w:val="21"/>
        </w:rPr>
        <w:t xml:space="preserve">recognizedRevenue = (burnRatePct / 100) x revenueNet</w:t>
      </w:r>
    </w:p>
    <w:p>
      <w:pPr>
        <w:pStyle w:val="Heading2"/>
        <w:spacing w:after="90" w:before="220"/>
      </w:pPr>
      <w:r>
        <w:rPr>
          <w:b/>
          <w:bCs/>
          <w:color w:val="0F1B14"/>
          <w:sz w:val="26"/>
          <w:szCs w:val="26"/>
        </w:rPr>
        <w:t xml:space="preserve">6.7 DPP &amp; VAT (Tax Split)</w:t>
      </w:r>
    </w:p>
    <w:p>
      <w:pPr>
        <w:spacing w:after="120" w:line="276"/>
      </w:pPr>
      <w:r>
        <w:rPr>
          <w:sz w:val="22"/>
          <w:szCs w:val="22"/>
        </w:rPr>
        <w:t xml:space="preserve">The contract value may be VAT-inclusive or VAT-exclusive. DPP is the taxable base (net value), and VAT is computed from it. Default rate is 11%.</w:t>
      </w:r>
    </w:p>
    <w:p>
      <w:pPr>
        <w:pStyle w:val="Heading3"/>
        <w:spacing w:after="70" w:before="160"/>
      </w:pPr>
      <w:r>
        <w:rPr>
          <w:b/>
          <w:bCs/>
          <w:color w:val="0F1B14"/>
          <w:sz w:val="23"/>
          <w:szCs w:val="23"/>
        </w:rPr>
        <w:t xml:space="preserve">If the value IS VAT-inclusive:</w:t>
      </w:r>
    </w:p>
    <w:p>
      <w:pPr>
        <w:pBdr>
          <w:left w:val="single" w:color="1F7A4D" w:sz="18" w:space="8"/>
        </w:pBdr>
        <w:shd w:fill="F1F6F2"/>
        <w:spacing w:after="120" w:before="60"/>
      </w:pPr>
      <w:r>
        <w:rPr>
          <w:rFonts w:ascii="Consolas" w:cs="Consolas" w:eastAsia="Consolas" w:hAnsi="Consolas"/>
          <w:color w:val="0F1B14"/>
          <w:sz w:val="21"/>
          <w:szCs w:val="21"/>
        </w:rPr>
        <w:t xml:space="preserve">DPP   = value / (1 + vatRate/100)
VAT   = value - DPP
Total = value</w:t>
      </w:r>
    </w:p>
    <w:p>
      <w:pPr>
        <w:pStyle w:val="Heading3"/>
        <w:spacing w:after="70" w:before="160"/>
      </w:pPr>
      <w:r>
        <w:rPr>
          <w:b/>
          <w:bCs/>
          <w:color w:val="0F1B14"/>
          <w:sz w:val="23"/>
          <w:szCs w:val="23"/>
        </w:rPr>
        <w:t xml:space="preserve">If the value is VAT-exclusive:</w:t>
      </w:r>
    </w:p>
    <w:p>
      <w:pPr>
        <w:pBdr>
          <w:left w:val="single" w:color="1F7A4D" w:sz="18" w:space="8"/>
        </w:pBdr>
        <w:shd w:fill="F1F6F2"/>
        <w:spacing w:after="120" w:before="60"/>
      </w:pPr>
      <w:r>
        <w:rPr>
          <w:rFonts w:ascii="Consolas" w:cs="Consolas" w:eastAsia="Consolas" w:hAnsi="Consolas"/>
          <w:color w:val="0F1B14"/>
          <w:sz w:val="21"/>
          <w:szCs w:val="21"/>
        </w:rPr>
        <w:t xml:space="preserve">DPP   = value
VAT   = value x (vatRate/100)
Total = value + VAT</w:t>
      </w:r>
    </w:p>
    <w:p>
      <w:pPr>
        <w:pStyle w:val="Heading2"/>
        <w:spacing w:after="90" w:before="220"/>
      </w:pPr>
      <w:r>
        <w:rPr>
          <w:b/>
          <w:bCs/>
          <w:color w:val="0F1B14"/>
          <w:sz w:val="26"/>
          <w:szCs w:val="26"/>
        </w:rPr>
        <w:t xml:space="preserve">6.8 Payment Milestones (Billing)</w:t>
      </w:r>
    </w:p>
    <w:p>
      <w:pPr>
        <w:spacing w:after="120" w:line="276"/>
      </w:pPr>
      <w:r>
        <w:rPr>
          <w:sz w:val="22"/>
          <w:szCs w:val="22"/>
        </w:rPr>
        <w:t xml:space="preserve">Each project can be split into several milestones (Terms of Payment). Each milestone carries a percentage of the contract value (or a fixed amount), then split into DPP, VAT, and Total using the formulas in 6.7.</w:t>
      </w:r>
    </w:p>
    <w:p>
      <w:pPr>
        <w:pBdr>
          <w:left w:val="single" w:color="1F7A4D" w:sz="18" w:space="8"/>
        </w:pBdr>
        <w:shd w:fill="F1F6F2"/>
        <w:spacing w:after="120" w:before="60"/>
      </w:pPr>
      <w:r>
        <w:rPr>
          <w:rFonts w:ascii="Consolas" w:cs="Consolas" w:eastAsia="Consolas" w:hAnsi="Consolas"/>
          <w:color w:val="0F1B14"/>
          <w:sz w:val="21"/>
          <w:szCs w:val="21"/>
        </w:rPr>
        <w:t xml:space="preserve">milestone_value = (percentage / 100) x contractValue   (or fixed amount if provided)</w:t>
      </w:r>
    </w:p>
    <w:p>
      <w:pPr>
        <w:spacing w:after="120" w:line="276"/>
      </w:pPr>
      <w:r>
        <w:rPr>
          <w:b/>
          <w:bCs/>
          <w:sz w:val="22"/>
          <w:szCs w:val="22"/>
        </w:rPr>
        <w:t xml:space="preserve">Validation: </w:t>
      </w:r>
      <w:r>
        <w:rPr>
          <w:b w:val="false"/>
          <w:bCs w:val="false"/>
          <w:sz w:val="22"/>
          <w:szCs w:val="22"/>
        </w:rPr>
        <w:t xml:space="preserve">the application warns when the milestone percentages do not total 100%.</w:t>
      </w:r>
    </w:p>
    <w:p>
      <w:pPr>
        <w:pStyle w:val="Heading2"/>
        <w:spacing w:after="90" w:before="220"/>
      </w:pPr>
      <w:r>
        <w:rPr>
          <w:b/>
          <w:bCs/>
          <w:color w:val="0F1B14"/>
          <w:sz w:val="26"/>
          <w:szCs w:val="26"/>
        </w:rPr>
        <w:t xml:space="preserve">6.9 Invoice Numbering</w:t>
      </w:r>
    </w:p>
    <w:p>
      <w:pPr>
        <w:spacing w:after="120" w:line="276"/>
      </w:pPr>
      <w:r>
        <w:rPr>
          <w:sz w:val="22"/>
          <w:szCs w:val="22"/>
        </w:rPr>
        <w:t xml:space="preserve">Invoice numbers are allocated sequentially and uniquely with a year/month format, then a 4-digit sequence, for example:</w:t>
      </w:r>
    </w:p>
    <w:p>
      <w:pPr>
        <w:pBdr>
          <w:left w:val="single" w:color="1F7A4D" w:sz="18" w:space="8"/>
        </w:pBdr>
        <w:shd w:fill="F1F6F2"/>
        <w:spacing w:after="120" w:before="60"/>
      </w:pPr>
      <w:r>
        <w:rPr>
          <w:rFonts w:ascii="Consolas" w:cs="Consolas" w:eastAsia="Consolas" w:hAnsi="Consolas"/>
          <w:color w:val="0F1B14"/>
          <w:sz w:val="21"/>
          <w:szCs w:val="21"/>
        </w:rPr>
        <w:t xml:space="preserve">INV/2026/06/0001 , INV/2026/06/0002 , ...</w:t>
      </w:r>
    </w:p>
    <w:p>
      <w:pPr>
        <w:spacing w:after="120" w:line="276"/>
      </w:pPr>
      <w:r>
        <w:rPr>
          <w:sz w:val="22"/>
          <w:szCs w:val="22"/>
        </w:rPr>
        <w:t xml:space="preserve">Numbers are allocated inside a race-safe transaction, so no duplicate numbers occur even when several invoices are created at once.</w:t>
      </w:r>
    </w:p>
    <w:p>
      <w:pPr>
        <w:pStyle w:val="Heading2"/>
        <w:spacing w:after="90" w:before="220"/>
      </w:pPr>
      <w:r>
        <w:rPr>
          <w:b/>
          <w:bCs/>
          <w:color w:val="0F1B14"/>
          <w:sz w:val="26"/>
          <w:szCs w:val="26"/>
        </w:rPr>
        <w:t xml:space="preserve">6.10 Cost Forecast &amp; Profit Outlook</w:t>
      </w:r>
    </w:p>
    <w:p>
      <w:pPr>
        <w:spacing w:after="120" w:line="276"/>
      </w:pPr>
      <w:r>
        <w:rPr>
          <w:sz w:val="22"/>
          <w:szCs w:val="22"/>
        </w:rPr>
        <w:t xml:space="preserve">A single burn-rate engine projects the final cost from the pace of approved work so far: it derives the average cost per manday and extends it to the planned total. When no work has been approved yet, the forecast falls back to the intake estimate so the numbers never disappear on a young project.</w:t>
      </w:r>
    </w:p>
    <w:p>
      <w:pPr>
        <w:pBdr>
          <w:left w:val="single" w:color="1F7A4D" w:sz="18" w:space="8"/>
        </w:pBdr>
        <w:shd w:fill="F1F6F2"/>
        <w:spacing w:after="120" w:before="60"/>
      </w:pPr>
      <w:r>
        <w:rPr>
          <w:rFonts w:ascii="Consolas" w:cs="Consolas" w:eastAsia="Consolas" w:hAnsi="Consolas"/>
          <w:color w:val="0F1B14"/>
          <w:sz w:val="21"/>
          <w:szCs w:val="21"/>
        </w:rPr>
        <w:t xml:space="preserve">forecastFinalCost = plannedMandays x avgCostPerManday + approvedExpenses
(fallback: intake estimated cost when no approved work yet)</w:t>
      </w:r>
    </w:p>
    <w:p>
      <w:pPr>
        <w:spacing w:after="120" w:line="276"/>
      </w:pPr>
      <w:r>
        <w:rPr>
          <w:b/>
          <w:bCs/>
          <w:sz w:val="22"/>
          <w:szCs w:val="22"/>
        </w:rPr>
        <w:t xml:space="preserve">Profit Outlook: </w:t>
      </w:r>
      <w:r>
        <w:rPr>
          <w:b w:val="false"/>
          <w:bCs w:val="false"/>
          <w:sz w:val="22"/>
          <w:szCs w:val="22"/>
        </w:rPr>
        <w:t xml:space="preserve">the Financials tab shows three figures side by side — Initial Estimate (from intake), Actual so far, and Projected at completion — with a status flag of EARLY, PROFIT, THIN, or LOSS RISK. Margin/Health read actuals-so-far while the Outlook projects to completion, so a young project can legitimately show a high current margin and a projected loss at the same time.</w:t>
      </w:r>
    </w:p>
    <w:p>
      <w:pPr>
        <w:pStyle w:val="Heading2"/>
        <w:spacing w:after="90" w:before="220"/>
      </w:pPr>
      <w:r>
        <w:rPr>
          <w:b/>
          <w:bCs/>
          <w:color w:val="0F1B14"/>
          <w:sz w:val="26"/>
          <w:szCs w:val="26"/>
        </w:rPr>
        <w:t xml:space="preserve">6.11 VAT Recap</w:t>
      </w:r>
    </w:p>
    <w:p>
      <w:pPr>
        <w:spacing w:after="120" w:line="276"/>
      </w:pPr>
      <w:r>
        <w:rPr>
          <w:sz w:val="22"/>
          <w:szCs w:val="22"/>
        </w:rPr>
        <w:t xml:space="preserve">The VAT recap sums all INVOICED and PAID invoices into a 12-month + annual breakdown for tax reporting.</w:t>
      </w:r>
    </w:p>
    <w:p>
      <w:pPr>
        <w:pStyle w:val="Heading2"/>
        <w:spacing w:after="90" w:before="220"/>
      </w:pPr>
      <w:r>
        <w:rPr>
          <w:b/>
          <w:bCs/>
          <w:color w:val="0F1B14"/>
          <w:sz w:val="26"/>
          <w:szCs w:val="26"/>
        </w:rPr>
        <w:t xml:space="preserve">6.12 Resource Utilization</w:t>
      </w:r>
    </w:p>
    <w:p>
      <w:pPr>
        <w:spacing w:after="120" w:line="276"/>
      </w:pPr>
      <w:r>
        <w:rPr>
          <w:sz w:val="22"/>
          <w:szCs w:val="22"/>
        </w:rPr>
        <w:t xml:space="preserve">Resource planning shows the manday load per week per person/business unit, accounting for leave (UserLeave). This is used to track consultant utilization and identify bench (idle capacity).</w:t>
      </w:r>
    </w:p>
    <w:p>
      <w:pPr>
        <w:pStyle w:val="Heading2"/>
        <w:spacing w:after="90" w:before="220"/>
      </w:pPr>
      <w:r>
        <w:rPr>
          <w:b/>
          <w:bCs/>
          <w:color w:val="0F1B14"/>
          <w:sz w:val="26"/>
          <w:szCs w:val="26"/>
        </w:rPr>
        <w:t xml:space="preserve">6.13 Earned Value (EVM) &amp; Baseline</w:t>
      </w:r>
    </w:p>
    <w:p>
      <w:pPr>
        <w:spacing w:after="120" w:line="276"/>
      </w:pPr>
      <w:r>
        <w:rPr>
          <w:sz w:val="22"/>
          <w:szCs w:val="22"/>
        </w:rPr>
        <w:t xml:space="preserve">When a project is activated, the system captures a baseline (planned dates, value, mandays). Approved change requests record a new baseline version. Against the current baseline, the application computes standard earned-value indicators:</w:t>
      </w:r>
    </w:p>
    <w:p>
      <w:pPr>
        <w:pBdr>
          <w:left w:val="single" w:color="1F7A4D" w:sz="18" w:space="8"/>
        </w:pBdr>
        <w:shd w:fill="F1F6F2"/>
        <w:spacing w:after="120" w:before="60"/>
      </w:pPr>
      <w:r>
        <w:rPr>
          <w:rFonts w:ascii="Consolas" w:cs="Consolas" w:eastAsia="Consolas" w:hAnsi="Consolas"/>
          <w:color w:val="0F1B14"/>
          <w:sz w:val="21"/>
          <w:szCs w:val="21"/>
        </w:rPr>
        <w:t xml:space="preserve">CPI = earned value / actual cost      (&gt;1 = under budget)
SPI = earned value / planned value    (&gt;1 = ahead of schedule)
EAC = projected total cost at completion</w:t>
      </w:r>
    </w:p>
    <w:p>
      <w:pPr>
        <w:pStyle w:val="Heading2"/>
        <w:spacing w:after="90" w:before="220"/>
      </w:pPr>
      <w:r>
        <w:rPr>
          <w:b/>
          <w:bCs/>
          <w:color w:val="0F1B14"/>
          <w:sz w:val="26"/>
          <w:szCs w:val="26"/>
        </w:rPr>
        <w:t xml:space="preserve">6.14 Project Health Score</w:t>
      </w:r>
    </w:p>
    <w:p>
      <w:pPr>
        <w:spacing w:after="120" w:line="276"/>
      </w:pPr>
      <w:r>
        <w:rPr>
          <w:sz w:val="22"/>
          <w:szCs w:val="22"/>
        </w:rPr>
        <w:t xml:space="preserve">Each running project gets a 0-100 health score built from five weighted components: margin erosion versus the initial estimate, open RAID items weighted by impact, expenses awaiting approval, overdue billing milestones, and days past the planned end date. The score is withheld while a project is still in DRAFT/OBSERVATION or already CLOSED. It powers the at-risk lists on the Management dashboard, PM Dashboards, and Portfolio Monitor.</w:t>
      </w:r>
    </w:p>
    <w:p>
      <w:r>
        <w:br w:type="page"/>
      </w:r>
    </w:p>
    <w:p>
      <w:pPr>
        <w:pStyle w:val="Heading1"/>
        <w:spacing w:after="140" w:before="360"/>
      </w:pPr>
      <w:r>
        <w:rPr>
          <w:b/>
          <w:bCs/>
          <w:color w:val="1F7A4D"/>
          <w:sz w:val="30"/>
          <w:szCs w:val="30"/>
        </w:rPr>
        <w:t xml:space="preserve">7. End-to-End Worked Example</w:t>
      </w:r>
    </w:p>
    <w:p>
      <w:pPr>
        <w:spacing w:after="120" w:line="276"/>
      </w:pPr>
      <w:r>
        <w:rPr>
          <w:sz w:val="22"/>
          <w:szCs w:val="22"/>
        </w:rPr>
        <w:t xml:space="preserve">Below is an illustrative set of numbers showing how all the formulas connect on a single project.</w:t>
      </w:r>
    </w:p>
    <w:p>
      <w:pPr>
        <w:pStyle w:val="Heading3"/>
        <w:spacing w:after="70" w:before="160"/>
      </w:pPr>
      <w:r>
        <w:rPr>
          <w:b/>
          <w:bCs/>
          <w:color w:val="0F1B14"/>
          <w:sz w:val="23"/>
          <w:szCs w:val="23"/>
        </w:rPr>
        <w:t xml:space="preserve">Project assumptions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60%"/>
            <w:shd w:fill="1F7A4D"/>
            <w:tcMar>
              <w:top w:type="dxa" w:w="60"/>
              <w:left w:type="dxa" w:w="90"/>
              <w:bottom w:type="dxa" w:w="60"/>
              <w:right w:type="dxa" w:w="90"/>
            </w:tcMar>
          </w:tcPr>
          <w:p>
            <w:r>
              <w:rPr>
                <w:b/>
                <w:bCs/>
                <w:color w:val="FFFFFF"/>
                <w:sz w:val="20"/>
                <w:szCs w:val="20"/>
              </w:rPr>
              <w:t xml:space="preserve">Parameter</w:t>
            </w:r>
          </w:p>
        </w:tc>
        <w:tc>
          <w:tcPr>
            <w:tcW w:type="pct" w:w="40%"/>
            <w:shd w:fill="1F7A4D"/>
            <w:tcMar>
              <w:top w:type="dxa" w:w="60"/>
              <w:left w:type="dxa" w:w="90"/>
              <w:bottom w:type="dxa" w:w="60"/>
              <w:right w:type="dxa" w:w="90"/>
            </w:tcMar>
          </w:tcPr>
          <w:p>
            <w:r>
              <w:rPr>
                <w:b/>
                <w:bCs/>
                <w:color w:val="FFFFFF"/>
                <w:sz w:val="20"/>
                <w:szCs w:val="20"/>
              </w:rPr>
              <w:t xml:space="preserve">Value</w:t>
            </w:r>
          </w:p>
        </w:tc>
      </w:tr>
      <w:tr>
        <w:tc>
          <w:tcPr>
            <w:tcW w:type="pct" w:w="60%"/>
            <w:tcMar>
              <w:top w:type="dxa" w:w="60"/>
              <w:left w:type="dxa" w:w="90"/>
              <w:bottom w:type="dxa" w:w="60"/>
              <w:right w:type="dxa" w:w="90"/>
            </w:tcMar>
          </w:tcPr>
          <w:p>
            <w:r>
              <w:rPr>
                <w:color w:val="0F1B14"/>
                <w:sz w:val="20"/>
                <w:szCs w:val="20"/>
              </w:rPr>
              <w:t xml:space="preserve">Contract value (VAT-inclusive, 11%)</w:t>
            </w:r>
          </w:p>
        </w:tc>
        <w:tc>
          <w:tcPr>
            <w:tcW w:type="pct" w:w="40%"/>
            <w:tcMar>
              <w:top w:type="dxa" w:w="60"/>
              <w:left w:type="dxa" w:w="90"/>
              <w:bottom w:type="dxa" w:w="60"/>
              <w:right w:type="dxa" w:w="90"/>
            </w:tcMar>
          </w:tcPr>
          <w:p>
            <w:r>
              <w:rPr>
                <w:color w:val="0F1B14"/>
                <w:sz w:val="20"/>
                <w:szCs w:val="20"/>
              </w:rPr>
              <w:t xml:space="preserve">Rp 1,000,000,000</w:t>
            </w:r>
          </w:p>
        </w:tc>
      </w:tr>
      <w:tr>
        <w:tc>
          <w:tcPr>
            <w:tcW w:type="pct" w:w="60%"/>
            <w:shd w:fill="F1F6F2"/>
            <w:tcMar>
              <w:top w:type="dxa" w:w="60"/>
              <w:left w:type="dxa" w:w="90"/>
              <w:bottom w:type="dxa" w:w="60"/>
              <w:right w:type="dxa" w:w="90"/>
            </w:tcMar>
          </w:tcPr>
          <w:p>
            <w:r>
              <w:rPr>
                <w:color w:val="0F1B14"/>
                <w:sz w:val="20"/>
                <w:szCs w:val="20"/>
              </w:rPr>
              <w:t xml:space="preserve">Planned mandays</w:t>
            </w:r>
          </w:p>
        </w:tc>
        <w:tc>
          <w:tcPr>
            <w:tcW w:type="pct" w:w="40%"/>
            <w:shd w:fill="F1F6F2"/>
            <w:tcMar>
              <w:top w:type="dxa" w:w="60"/>
              <w:left w:type="dxa" w:w="90"/>
              <w:bottom w:type="dxa" w:w="60"/>
              <w:right w:type="dxa" w:w="90"/>
            </w:tcMar>
          </w:tcPr>
          <w:p>
            <w:r>
              <w:rPr>
                <w:color w:val="0F1B14"/>
                <w:sz w:val="20"/>
                <w:szCs w:val="20"/>
              </w:rPr>
              <w:t xml:space="preserve">100 days</w:t>
            </w:r>
          </w:p>
        </w:tc>
      </w:tr>
      <w:tr>
        <w:tc>
          <w:tcPr>
            <w:tcW w:type="pct" w:w="60%"/>
            <w:tcMar>
              <w:top w:type="dxa" w:w="60"/>
              <w:left w:type="dxa" w:w="90"/>
              <w:bottom w:type="dxa" w:w="60"/>
              <w:right w:type="dxa" w:w="90"/>
            </w:tcMar>
          </w:tcPr>
          <w:p>
            <w:r>
              <w:rPr>
                <w:color w:val="0F1B14"/>
                <w:sz w:val="20"/>
                <w:szCs w:val="20"/>
              </w:rPr>
              <w:t xml:space="preserve">Consultant A — daily rate</w:t>
            </w:r>
          </w:p>
        </w:tc>
        <w:tc>
          <w:tcPr>
            <w:tcW w:type="pct" w:w="40%"/>
            <w:tcMar>
              <w:top w:type="dxa" w:w="60"/>
              <w:left w:type="dxa" w:w="90"/>
              <w:bottom w:type="dxa" w:w="60"/>
              <w:right w:type="dxa" w:w="90"/>
            </w:tcMar>
          </w:tcPr>
          <w:p>
            <w:r>
              <w:rPr>
                <w:color w:val="0F1B14"/>
                <w:sz w:val="20"/>
                <w:szCs w:val="20"/>
              </w:rPr>
              <w:t xml:space="preserve">Rp 2,000,000</w:t>
            </w:r>
          </w:p>
        </w:tc>
      </w:tr>
      <w:tr>
        <w:tc>
          <w:tcPr>
            <w:tcW w:type="pct" w:w="60%"/>
            <w:shd w:fill="F1F6F2"/>
            <w:tcMar>
              <w:top w:type="dxa" w:w="60"/>
              <w:left w:type="dxa" w:w="90"/>
              <w:bottom w:type="dxa" w:w="60"/>
              <w:right w:type="dxa" w:w="90"/>
            </w:tcMar>
          </w:tcPr>
          <w:p>
            <w:r>
              <w:rPr>
                <w:color w:val="0F1B14"/>
                <w:sz w:val="20"/>
                <w:szCs w:val="20"/>
              </w:rPr>
              <w:t xml:space="preserve">Consultant A — approved timesheet</w:t>
            </w:r>
          </w:p>
        </w:tc>
        <w:tc>
          <w:tcPr>
            <w:tcW w:type="pct" w:w="40%"/>
            <w:shd w:fill="F1F6F2"/>
            <w:tcMar>
              <w:top w:type="dxa" w:w="60"/>
              <w:left w:type="dxa" w:w="90"/>
              <w:bottom w:type="dxa" w:w="60"/>
              <w:right w:type="dxa" w:w="90"/>
            </w:tcMar>
          </w:tcPr>
          <w:p>
            <w:r>
              <w:rPr>
                <w:color w:val="0F1B14"/>
                <w:sz w:val="20"/>
                <w:szCs w:val="20"/>
              </w:rPr>
              <w:t xml:space="preserve">320 hours (= 40 days)</w:t>
            </w:r>
          </w:p>
        </w:tc>
      </w:tr>
      <w:tr>
        <w:tc>
          <w:tcPr>
            <w:tcW w:type="pct" w:w="60%"/>
            <w:tcMar>
              <w:top w:type="dxa" w:w="60"/>
              <w:left w:type="dxa" w:w="90"/>
              <w:bottom w:type="dxa" w:w="60"/>
              <w:right w:type="dxa" w:w="90"/>
            </w:tcMar>
          </w:tcPr>
          <w:p>
            <w:r>
              <w:rPr>
                <w:color w:val="0F1B14"/>
                <w:sz w:val="20"/>
                <w:szCs w:val="20"/>
              </w:rPr>
              <w:t xml:space="preserve">Consultant B — daily rate</w:t>
            </w:r>
          </w:p>
        </w:tc>
        <w:tc>
          <w:tcPr>
            <w:tcW w:type="pct" w:w="40%"/>
            <w:tcMar>
              <w:top w:type="dxa" w:w="60"/>
              <w:left w:type="dxa" w:w="90"/>
              <w:bottom w:type="dxa" w:w="60"/>
              <w:right w:type="dxa" w:w="90"/>
            </w:tcMar>
          </w:tcPr>
          <w:p>
            <w:r>
              <w:rPr>
                <w:color w:val="0F1B14"/>
                <w:sz w:val="20"/>
                <w:szCs w:val="20"/>
              </w:rPr>
              <w:t xml:space="preserve">Rp 1,500,000</w:t>
            </w:r>
          </w:p>
        </w:tc>
      </w:tr>
      <w:tr>
        <w:tc>
          <w:tcPr>
            <w:tcW w:type="pct" w:w="60%"/>
            <w:shd w:fill="F1F6F2"/>
            <w:tcMar>
              <w:top w:type="dxa" w:w="60"/>
              <w:left w:type="dxa" w:w="90"/>
              <w:bottom w:type="dxa" w:w="60"/>
              <w:right w:type="dxa" w:w="90"/>
            </w:tcMar>
          </w:tcPr>
          <w:p>
            <w:r>
              <w:rPr>
                <w:color w:val="0F1B14"/>
                <w:sz w:val="20"/>
                <w:szCs w:val="20"/>
              </w:rPr>
              <w:t xml:space="preserve">Consultant B — approved timesheet</w:t>
            </w:r>
          </w:p>
        </w:tc>
        <w:tc>
          <w:tcPr>
            <w:tcW w:type="pct" w:w="40%"/>
            <w:shd w:fill="F1F6F2"/>
            <w:tcMar>
              <w:top w:type="dxa" w:w="60"/>
              <w:left w:type="dxa" w:w="90"/>
              <w:bottom w:type="dxa" w:w="60"/>
              <w:right w:type="dxa" w:w="90"/>
            </w:tcMar>
          </w:tcPr>
          <w:p>
            <w:r>
              <w:rPr>
                <w:color w:val="0F1B14"/>
                <w:sz w:val="20"/>
                <w:szCs w:val="20"/>
              </w:rPr>
              <w:t xml:space="preserve">160 hours (= 20 days)</w:t>
            </w:r>
          </w:p>
        </w:tc>
      </w:tr>
      <w:tr>
        <w:tc>
          <w:tcPr>
            <w:tcW w:type="pct" w:w="60%"/>
            <w:tcMar>
              <w:top w:type="dxa" w:w="60"/>
              <w:left w:type="dxa" w:w="90"/>
              <w:bottom w:type="dxa" w:w="60"/>
              <w:right w:type="dxa" w:w="90"/>
            </w:tcMar>
          </w:tcPr>
          <w:p>
            <w:r>
              <w:rPr>
                <w:color w:val="0F1B14"/>
                <w:sz w:val="20"/>
                <w:szCs w:val="20"/>
              </w:rPr>
              <w:t xml:space="preserve">Approved additional cost (license)</w:t>
            </w:r>
          </w:p>
        </w:tc>
        <w:tc>
          <w:tcPr>
            <w:tcW w:type="pct" w:w="40%"/>
            <w:tcMar>
              <w:top w:type="dxa" w:w="60"/>
              <w:left w:type="dxa" w:w="90"/>
              <w:bottom w:type="dxa" w:w="60"/>
              <w:right w:type="dxa" w:w="90"/>
            </w:tcMar>
          </w:tcPr>
          <w:p>
            <w:r>
              <w:rPr>
                <w:color w:val="0F1B14"/>
                <w:sz w:val="20"/>
                <w:szCs w:val="20"/>
              </w:rPr>
              <w:t xml:space="preserve">Rp 20,000,000</w:t>
            </w:r>
          </w:p>
        </w:tc>
      </w:tr>
      <w:tr>
        <w:tc>
          <w:tcPr>
            <w:tcW w:type="pct" w:w="60%"/>
            <w:shd w:fill="F1F6F2"/>
            <w:tcMar>
              <w:top w:type="dxa" w:w="60"/>
              <w:left w:type="dxa" w:w="90"/>
              <w:bottom w:type="dxa" w:w="60"/>
              <w:right w:type="dxa" w:w="90"/>
            </w:tcMar>
          </w:tcPr>
          <w:p>
            <w:r>
              <w:rPr>
                <w:color w:val="0F1B14"/>
                <w:sz w:val="20"/>
                <w:szCs w:val="20"/>
              </w:rPr>
              <w:t xml:space="preserve">Overhead multiplier (illustrative)</w:t>
            </w:r>
          </w:p>
        </w:tc>
        <w:tc>
          <w:tcPr>
            <w:tcW w:type="pct" w:w="40%"/>
            <w:shd w:fill="F1F6F2"/>
            <w:tcMar>
              <w:top w:type="dxa" w:w="60"/>
              <w:left w:type="dxa" w:w="90"/>
              <w:bottom w:type="dxa" w:w="60"/>
              <w:right w:type="dxa" w:w="90"/>
            </w:tcMar>
          </w:tcPr>
          <w:p>
            <w:r>
              <w:rPr>
                <w:color w:val="0F1B14"/>
                <w:sz w:val="20"/>
                <w:szCs w:val="20"/>
              </w:rPr>
              <w:t xml:space="preserve">1.30</w:t>
            </w:r>
          </w:p>
        </w:tc>
      </w:tr>
    </w:tbl>
    <w:p>
      <w:pPr>
        <w:pStyle w:val="Heading3"/>
        <w:spacing w:after="70" w:before="160"/>
      </w:pPr>
      <w:r>
        <w:rPr>
          <w:b/>
          <w:bCs/>
          <w:color w:val="0F1B14"/>
          <w:sz w:val="23"/>
          <w:szCs w:val="23"/>
        </w:rPr>
        <w:t xml:space="preserve">Computed results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4%"/>
            <w:shd w:fill="1F7A4D"/>
            <w:tcMar>
              <w:top w:type="dxa" w:w="60"/>
              <w:left w:type="dxa" w:w="90"/>
              <w:bottom w:type="dxa" w:w="60"/>
              <w:right w:type="dxa" w:w="90"/>
            </w:tcMar>
          </w:tcPr>
          <w:p>
            <w:r>
              <w:rPr>
                <w:b/>
                <w:bCs/>
                <w:color w:val="FFFFFF"/>
                <w:sz w:val="20"/>
                <w:szCs w:val="20"/>
              </w:rPr>
              <w:t xml:space="preserve">Component</w:t>
            </w:r>
          </w:p>
        </w:tc>
        <w:tc>
          <w:tcPr>
            <w:tcW w:type="pct" w:w="46%"/>
            <w:shd w:fill="1F7A4D"/>
            <w:tcMar>
              <w:top w:type="dxa" w:w="60"/>
              <w:left w:type="dxa" w:w="90"/>
              <w:bottom w:type="dxa" w:w="60"/>
              <w:right w:type="dxa" w:w="90"/>
            </w:tcMar>
          </w:tcPr>
          <w:p>
            <w:r>
              <w:rPr>
                <w:b/>
                <w:bCs/>
                <w:color w:val="FFFFFF"/>
                <w:sz w:val="20"/>
                <w:szCs w:val="20"/>
              </w:rPr>
              <w:t xml:space="preserve">Calculation</w:t>
            </w:r>
          </w:p>
        </w:tc>
        <w:tc>
          <w:tcPr>
            <w:tcW w:type="pct" w:w="30%"/>
            <w:shd w:fill="1F7A4D"/>
            <w:tcMar>
              <w:top w:type="dxa" w:w="60"/>
              <w:left w:type="dxa" w:w="90"/>
              <w:bottom w:type="dxa" w:w="60"/>
              <w:right w:type="dxa" w:w="90"/>
            </w:tcMar>
          </w:tcPr>
          <w:p>
            <w:r>
              <w:rPr>
                <w:b/>
                <w:bCs/>
                <w:color w:val="FFFFFF"/>
                <w:sz w:val="20"/>
                <w:szCs w:val="20"/>
              </w:rPr>
              <w:t xml:space="preserve">Result</w:t>
            </w:r>
          </w:p>
        </w:tc>
      </w:tr>
      <w:tr>
        <w:tc>
          <w:tcPr>
            <w:tcW w:type="pct" w:w="24%"/>
            <w:tcMar>
              <w:top w:type="dxa" w:w="60"/>
              <w:left w:type="dxa" w:w="90"/>
              <w:bottom w:type="dxa" w:w="60"/>
              <w:right w:type="dxa" w:w="90"/>
            </w:tcMar>
          </w:tcPr>
          <w:p>
            <w:r>
              <w:rPr>
                <w:color w:val="0F1B14"/>
                <w:sz w:val="20"/>
                <w:szCs w:val="20"/>
              </w:rPr>
              <w:t xml:space="preserve">resourceCost</w:t>
            </w:r>
          </w:p>
        </w:tc>
        <w:tc>
          <w:tcPr>
            <w:tcW w:type="pct" w:w="46%"/>
            <w:tcMar>
              <w:top w:type="dxa" w:w="60"/>
              <w:left w:type="dxa" w:w="90"/>
              <w:bottom w:type="dxa" w:w="60"/>
              <w:right w:type="dxa" w:w="90"/>
            </w:tcMar>
          </w:tcPr>
          <w:p>
            <w:r>
              <w:rPr>
                <w:color w:val="0F1B14"/>
                <w:sz w:val="20"/>
                <w:szCs w:val="20"/>
              </w:rPr>
              <w:t xml:space="preserve">(40 x 2,000,000) + (20 x 1,500,000)</w:t>
            </w:r>
          </w:p>
        </w:tc>
        <w:tc>
          <w:tcPr>
            <w:tcW w:type="pct" w:w="30%"/>
            <w:tcMar>
              <w:top w:type="dxa" w:w="60"/>
              <w:left w:type="dxa" w:w="90"/>
              <w:bottom w:type="dxa" w:w="60"/>
              <w:right w:type="dxa" w:w="90"/>
            </w:tcMar>
          </w:tcPr>
          <w:p>
            <w:r>
              <w:rPr>
                <w:color w:val="0F1B14"/>
                <w:sz w:val="20"/>
                <w:szCs w:val="20"/>
              </w:rPr>
              <w:t xml:space="preserve">Rp 110,000,000</w:t>
            </w:r>
          </w:p>
        </w:tc>
      </w:tr>
      <w:tr>
        <w:tc>
          <w:tcPr>
            <w:tcW w:type="pct" w:w="24%"/>
            <w:shd w:fill="F1F6F2"/>
            <w:tcMar>
              <w:top w:type="dxa" w:w="60"/>
              <w:left w:type="dxa" w:w="90"/>
              <w:bottom w:type="dxa" w:w="60"/>
              <w:right w:type="dxa" w:w="90"/>
            </w:tcMar>
          </w:tcPr>
          <w:p>
            <w:r>
              <w:rPr>
                <w:color w:val="0F1B14"/>
                <w:sz w:val="20"/>
                <w:szCs w:val="20"/>
              </w:rPr>
              <w:t xml:space="preserve">additionalCost</w:t>
            </w:r>
          </w:p>
        </w:tc>
        <w:tc>
          <w:tcPr>
            <w:tcW w:type="pct" w:w="46%"/>
            <w:shd w:fill="F1F6F2"/>
            <w:tcMar>
              <w:top w:type="dxa" w:w="60"/>
              <w:left w:type="dxa" w:w="90"/>
              <w:bottom w:type="dxa" w:w="60"/>
              <w:right w:type="dxa" w:w="90"/>
            </w:tcMar>
          </w:tcPr>
          <w:p>
            <w:r>
              <w:rPr>
                <w:color w:val="0F1B14"/>
                <w:sz w:val="20"/>
                <w:szCs w:val="20"/>
              </w:rPr>
              <w:t xml:space="preserve">approved license</w:t>
            </w:r>
          </w:p>
        </w:tc>
        <w:tc>
          <w:tcPr>
            <w:tcW w:type="pct" w:w="30%"/>
            <w:shd w:fill="F1F6F2"/>
            <w:tcMar>
              <w:top w:type="dxa" w:w="60"/>
              <w:left w:type="dxa" w:w="90"/>
              <w:bottom w:type="dxa" w:w="60"/>
              <w:right w:type="dxa" w:w="90"/>
            </w:tcMar>
          </w:tcPr>
          <w:p>
            <w:r>
              <w:rPr>
                <w:color w:val="0F1B14"/>
                <w:sz w:val="20"/>
                <w:szCs w:val="20"/>
              </w:rPr>
              <w:t xml:space="preserve">Rp 20,000,000</w:t>
            </w:r>
          </w:p>
        </w:tc>
      </w:tr>
      <w:tr>
        <w:tc>
          <w:tcPr>
            <w:tcW w:type="pct" w:w="24%"/>
            <w:tcMar>
              <w:top w:type="dxa" w:w="60"/>
              <w:left w:type="dxa" w:w="90"/>
              <w:bottom w:type="dxa" w:w="60"/>
              <w:right w:type="dxa" w:w="90"/>
            </w:tcMar>
          </w:tcPr>
          <w:p>
            <w:r>
              <w:rPr>
                <w:color w:val="0F1B14"/>
                <w:sz w:val="20"/>
                <w:szCs w:val="20"/>
              </w:rPr>
              <w:t xml:space="preserve">actualCost</w:t>
            </w:r>
          </w:p>
        </w:tc>
        <w:tc>
          <w:tcPr>
            <w:tcW w:type="pct" w:w="46%"/>
            <w:tcMar>
              <w:top w:type="dxa" w:w="60"/>
              <w:left w:type="dxa" w:w="90"/>
              <w:bottom w:type="dxa" w:w="60"/>
              <w:right w:type="dxa" w:w="90"/>
            </w:tcMar>
          </w:tcPr>
          <w:p>
            <w:r>
              <w:rPr>
                <w:color w:val="0F1B14"/>
                <w:sz w:val="20"/>
                <w:szCs w:val="20"/>
              </w:rPr>
              <w:t xml:space="preserve">110,000,000 + 20,000,000</w:t>
            </w:r>
          </w:p>
        </w:tc>
        <w:tc>
          <w:tcPr>
            <w:tcW w:type="pct" w:w="30%"/>
            <w:tcMar>
              <w:top w:type="dxa" w:w="60"/>
              <w:left w:type="dxa" w:w="90"/>
              <w:bottom w:type="dxa" w:w="60"/>
              <w:right w:type="dxa" w:w="90"/>
            </w:tcMar>
          </w:tcPr>
          <w:p>
            <w:r>
              <w:rPr>
                <w:color w:val="0F1B14"/>
                <w:sz w:val="20"/>
                <w:szCs w:val="20"/>
              </w:rPr>
              <w:t xml:space="preserve">Rp 130,000,000</w:t>
            </w:r>
          </w:p>
        </w:tc>
      </w:tr>
      <w:tr>
        <w:tc>
          <w:tcPr>
            <w:tcW w:type="pct" w:w="24%"/>
            <w:shd w:fill="F1F6F2"/>
            <w:tcMar>
              <w:top w:type="dxa" w:w="60"/>
              <w:left w:type="dxa" w:w="90"/>
              <w:bottom w:type="dxa" w:w="60"/>
              <w:right w:type="dxa" w:w="90"/>
            </w:tcMar>
          </w:tcPr>
          <w:p>
            <w:r>
              <w:rPr>
                <w:color w:val="0F1B14"/>
                <w:sz w:val="20"/>
                <w:szCs w:val="20"/>
              </w:rPr>
              <w:t xml:space="preserve">actualProfit</w:t>
            </w:r>
          </w:p>
        </w:tc>
        <w:tc>
          <w:tcPr>
            <w:tcW w:type="pct" w:w="46%"/>
            <w:shd w:fill="F1F6F2"/>
            <w:tcMar>
              <w:top w:type="dxa" w:w="60"/>
              <w:left w:type="dxa" w:w="90"/>
              <w:bottom w:type="dxa" w:w="60"/>
              <w:right w:type="dxa" w:w="90"/>
            </w:tcMar>
          </w:tcPr>
          <w:p>
            <w:r>
              <w:rPr>
                <w:color w:val="0F1B14"/>
                <w:sz w:val="20"/>
                <w:szCs w:val="20"/>
              </w:rPr>
              <w:t xml:space="preserve">1,000,000,000 - 130,000,000</w:t>
            </w:r>
          </w:p>
        </w:tc>
        <w:tc>
          <w:tcPr>
            <w:tcW w:type="pct" w:w="30%"/>
            <w:shd w:fill="F1F6F2"/>
            <w:tcMar>
              <w:top w:type="dxa" w:w="60"/>
              <w:left w:type="dxa" w:w="90"/>
              <w:bottom w:type="dxa" w:w="60"/>
              <w:right w:type="dxa" w:w="90"/>
            </w:tcMar>
          </w:tcPr>
          <w:p>
            <w:r>
              <w:rPr>
                <w:color w:val="0F1B14"/>
                <w:sz w:val="20"/>
                <w:szCs w:val="20"/>
              </w:rPr>
              <w:t xml:space="preserve">Rp 870,000,000</w:t>
            </w:r>
          </w:p>
        </w:tc>
      </w:tr>
      <w:tr>
        <w:tc>
          <w:tcPr>
            <w:tcW w:type="pct" w:w="24%"/>
            <w:tcMar>
              <w:top w:type="dxa" w:w="60"/>
              <w:left w:type="dxa" w:w="90"/>
              <w:bottom w:type="dxa" w:w="60"/>
              <w:right w:type="dxa" w:w="90"/>
            </w:tcMar>
          </w:tcPr>
          <w:p>
            <w:r>
              <w:rPr>
                <w:color w:val="0F1B14"/>
                <w:sz w:val="20"/>
                <w:szCs w:val="20"/>
              </w:rPr>
              <w:t xml:space="preserve">marginPct</w:t>
            </w:r>
          </w:p>
        </w:tc>
        <w:tc>
          <w:tcPr>
            <w:tcW w:type="pct" w:w="46%"/>
            <w:tcMar>
              <w:top w:type="dxa" w:w="60"/>
              <w:left w:type="dxa" w:w="90"/>
              <w:bottom w:type="dxa" w:w="60"/>
              <w:right w:type="dxa" w:w="90"/>
            </w:tcMar>
          </w:tcPr>
          <w:p>
            <w:r>
              <w:rPr>
                <w:color w:val="0F1B14"/>
                <w:sz w:val="20"/>
                <w:szCs w:val="20"/>
              </w:rPr>
              <w:t xml:space="preserve">870,000,000 / 1,000,000,000 x 100</w:t>
            </w:r>
          </w:p>
        </w:tc>
        <w:tc>
          <w:tcPr>
            <w:tcW w:type="pct" w:w="30%"/>
            <w:tcMar>
              <w:top w:type="dxa" w:w="60"/>
              <w:left w:type="dxa" w:w="90"/>
              <w:bottom w:type="dxa" w:w="60"/>
              <w:right w:type="dxa" w:w="90"/>
            </w:tcMar>
          </w:tcPr>
          <w:p>
            <w:r>
              <w:rPr>
                <w:color w:val="0F1B14"/>
                <w:sz w:val="20"/>
                <w:szCs w:val="20"/>
              </w:rPr>
              <w:t xml:space="preserve">87.0%</w:t>
            </w:r>
          </w:p>
        </w:tc>
      </w:tr>
      <w:tr>
        <w:tc>
          <w:tcPr>
            <w:tcW w:type="pct" w:w="24%"/>
            <w:shd w:fill="F1F6F2"/>
            <w:tcMar>
              <w:top w:type="dxa" w:w="60"/>
              <w:left w:type="dxa" w:w="90"/>
              <w:bottom w:type="dxa" w:w="60"/>
              <w:right w:type="dxa" w:w="90"/>
            </w:tcMar>
          </w:tcPr>
          <w:p>
            <w:r>
              <w:rPr>
                <w:color w:val="0F1B14"/>
                <w:sz w:val="20"/>
                <w:szCs w:val="20"/>
              </w:rPr>
              <w:t xml:space="preserve">DPP (revenueNet)</w:t>
            </w:r>
          </w:p>
        </w:tc>
        <w:tc>
          <w:tcPr>
            <w:tcW w:type="pct" w:w="46%"/>
            <w:shd w:fill="F1F6F2"/>
            <w:tcMar>
              <w:top w:type="dxa" w:w="60"/>
              <w:left w:type="dxa" w:w="90"/>
              <w:bottom w:type="dxa" w:w="60"/>
              <w:right w:type="dxa" w:w="90"/>
            </w:tcMar>
          </w:tcPr>
          <w:p>
            <w:r>
              <w:rPr>
                <w:color w:val="0F1B14"/>
                <w:sz w:val="20"/>
                <w:szCs w:val="20"/>
              </w:rPr>
              <w:t xml:space="preserve">1,000,000,000 / 1.11</w:t>
            </w:r>
          </w:p>
        </w:tc>
        <w:tc>
          <w:tcPr>
            <w:tcW w:type="pct" w:w="30%"/>
            <w:shd w:fill="F1F6F2"/>
            <w:tcMar>
              <w:top w:type="dxa" w:w="60"/>
              <w:left w:type="dxa" w:w="90"/>
              <w:bottom w:type="dxa" w:w="60"/>
              <w:right w:type="dxa" w:w="90"/>
            </w:tcMar>
          </w:tcPr>
          <w:p>
            <w:r>
              <w:rPr>
                <w:color w:val="0F1B14"/>
                <w:sz w:val="20"/>
                <w:szCs w:val="20"/>
              </w:rPr>
              <w:t xml:space="preserve">Rp 900,900,900.90</w:t>
            </w:r>
          </w:p>
        </w:tc>
      </w:tr>
      <w:tr>
        <w:tc>
          <w:tcPr>
            <w:tcW w:type="pct" w:w="24%"/>
            <w:tcMar>
              <w:top w:type="dxa" w:w="60"/>
              <w:left w:type="dxa" w:w="90"/>
              <w:bottom w:type="dxa" w:w="60"/>
              <w:right w:type="dxa" w:w="90"/>
            </w:tcMar>
          </w:tcPr>
          <w:p>
            <w:r>
              <w:rPr>
                <w:color w:val="0F1B14"/>
                <w:sz w:val="20"/>
                <w:szCs w:val="20"/>
              </w:rPr>
              <w:t xml:space="preserve">VAT</w:t>
            </w:r>
          </w:p>
        </w:tc>
        <w:tc>
          <w:tcPr>
            <w:tcW w:type="pct" w:w="46%"/>
            <w:tcMar>
              <w:top w:type="dxa" w:w="60"/>
              <w:left w:type="dxa" w:w="90"/>
              <w:bottom w:type="dxa" w:w="60"/>
              <w:right w:type="dxa" w:w="90"/>
            </w:tcMar>
          </w:tcPr>
          <w:p>
            <w:r>
              <w:rPr>
                <w:color w:val="0F1B14"/>
                <w:sz w:val="20"/>
                <w:szCs w:val="20"/>
              </w:rPr>
              <w:t xml:space="preserve">1,000,000,000 - 900,900,900.90</w:t>
            </w:r>
          </w:p>
        </w:tc>
        <w:tc>
          <w:tcPr>
            <w:tcW w:type="pct" w:w="30%"/>
            <w:tcMar>
              <w:top w:type="dxa" w:w="60"/>
              <w:left w:type="dxa" w:w="90"/>
              <w:bottom w:type="dxa" w:w="60"/>
              <w:right w:type="dxa" w:w="90"/>
            </w:tcMar>
          </w:tcPr>
          <w:p>
            <w:r>
              <w:rPr>
                <w:color w:val="0F1B14"/>
                <w:sz w:val="20"/>
                <w:szCs w:val="20"/>
              </w:rPr>
              <w:t xml:space="preserve">Rp 99,099,099.10</w:t>
            </w:r>
          </w:p>
        </w:tc>
      </w:tr>
      <w:tr>
        <w:tc>
          <w:tcPr>
            <w:tcW w:type="pct" w:w="24%"/>
            <w:shd w:fill="F1F6F2"/>
            <w:tcMar>
              <w:top w:type="dxa" w:w="60"/>
              <w:left w:type="dxa" w:w="90"/>
              <w:bottom w:type="dxa" w:w="60"/>
              <w:right w:type="dxa" w:w="90"/>
            </w:tcMar>
          </w:tcPr>
          <w:p>
            <w:r>
              <w:rPr>
                <w:color w:val="0F1B14"/>
                <w:sz w:val="20"/>
                <w:szCs w:val="20"/>
              </w:rPr>
              <w:t xml:space="preserve">burnRatePct</w:t>
            </w:r>
          </w:p>
        </w:tc>
        <w:tc>
          <w:tcPr>
            <w:tcW w:type="pct" w:w="46%"/>
            <w:shd w:fill="F1F6F2"/>
            <w:tcMar>
              <w:top w:type="dxa" w:w="60"/>
              <w:left w:type="dxa" w:w="90"/>
              <w:bottom w:type="dxa" w:w="60"/>
              <w:right w:type="dxa" w:w="90"/>
            </w:tcMar>
          </w:tcPr>
          <w:p>
            <w:r>
              <w:rPr>
                <w:color w:val="0F1B14"/>
                <w:sz w:val="20"/>
                <w:szCs w:val="20"/>
              </w:rPr>
              <w:t xml:space="preserve">(60 / 100) x 100</w:t>
            </w:r>
          </w:p>
        </w:tc>
        <w:tc>
          <w:tcPr>
            <w:tcW w:type="pct" w:w="30%"/>
            <w:shd w:fill="F1F6F2"/>
            <w:tcMar>
              <w:top w:type="dxa" w:w="60"/>
              <w:left w:type="dxa" w:w="90"/>
              <w:bottom w:type="dxa" w:w="60"/>
              <w:right w:type="dxa" w:w="90"/>
            </w:tcMar>
          </w:tcPr>
          <w:p>
            <w:r>
              <w:rPr>
                <w:color w:val="0F1B14"/>
                <w:sz w:val="20"/>
                <w:szCs w:val="20"/>
              </w:rPr>
              <w:t xml:space="preserve">60%</w:t>
            </w:r>
          </w:p>
        </w:tc>
      </w:tr>
      <w:tr>
        <w:tc>
          <w:tcPr>
            <w:tcW w:type="pct" w:w="24%"/>
            <w:tcMar>
              <w:top w:type="dxa" w:w="60"/>
              <w:left w:type="dxa" w:w="90"/>
              <w:bottom w:type="dxa" w:w="60"/>
              <w:right w:type="dxa" w:w="90"/>
            </w:tcMar>
          </w:tcPr>
          <w:p>
            <w:r>
              <w:rPr>
                <w:color w:val="0F1B14"/>
                <w:sz w:val="20"/>
                <w:szCs w:val="20"/>
              </w:rPr>
              <w:t xml:space="preserve">recognizedRevenue</w:t>
            </w:r>
          </w:p>
        </w:tc>
        <w:tc>
          <w:tcPr>
            <w:tcW w:type="pct" w:w="46%"/>
            <w:tcMar>
              <w:top w:type="dxa" w:w="60"/>
              <w:left w:type="dxa" w:w="90"/>
              <w:bottom w:type="dxa" w:w="60"/>
              <w:right w:type="dxa" w:w="90"/>
            </w:tcMar>
          </w:tcPr>
          <w:p>
            <w:r>
              <w:rPr>
                <w:color w:val="0F1B14"/>
                <w:sz w:val="20"/>
                <w:szCs w:val="20"/>
              </w:rPr>
              <w:t xml:space="preserve">60% x 900,900,900.90</w:t>
            </w:r>
          </w:p>
        </w:tc>
        <w:tc>
          <w:tcPr>
            <w:tcW w:type="pct" w:w="30%"/>
            <w:tcMar>
              <w:top w:type="dxa" w:w="60"/>
              <w:left w:type="dxa" w:w="90"/>
              <w:bottom w:type="dxa" w:w="60"/>
              <w:right w:type="dxa" w:w="90"/>
            </w:tcMar>
          </w:tcPr>
          <w:p>
            <w:r>
              <w:rPr>
                <w:color w:val="0F1B14"/>
                <w:sz w:val="20"/>
                <w:szCs w:val="20"/>
              </w:rPr>
              <w:t xml:space="preserve">Rp 540,540,540.54</w:t>
            </w:r>
          </w:p>
        </w:tc>
      </w:tr>
      <w:tr>
        <w:tc>
          <w:tcPr>
            <w:tcW w:type="pct" w:w="24%"/>
            <w:shd w:fill="F1F6F2"/>
            <w:tcMar>
              <w:top w:type="dxa" w:w="60"/>
              <w:left w:type="dxa" w:w="90"/>
              <w:bottom w:type="dxa" w:w="60"/>
              <w:right w:type="dxa" w:w="90"/>
            </w:tcMar>
          </w:tcPr>
          <w:p>
            <w:r>
              <w:rPr>
                <w:color w:val="0F1B14"/>
                <w:sz w:val="20"/>
                <w:szCs w:val="20"/>
              </w:rPr>
              <w:t xml:space="preserve">loadedResourceCost</w:t>
            </w:r>
          </w:p>
        </w:tc>
        <w:tc>
          <w:tcPr>
            <w:tcW w:type="pct" w:w="46%"/>
            <w:shd w:fill="F1F6F2"/>
            <w:tcMar>
              <w:top w:type="dxa" w:w="60"/>
              <w:left w:type="dxa" w:w="90"/>
              <w:bottom w:type="dxa" w:w="60"/>
              <w:right w:type="dxa" w:w="90"/>
            </w:tcMar>
          </w:tcPr>
          <w:p>
            <w:r>
              <w:rPr>
                <w:color w:val="0F1B14"/>
                <w:sz w:val="20"/>
                <w:szCs w:val="20"/>
              </w:rPr>
              <w:t xml:space="preserve">110,000,000 x 1.30</w:t>
            </w:r>
          </w:p>
        </w:tc>
        <w:tc>
          <w:tcPr>
            <w:tcW w:type="pct" w:w="30%"/>
            <w:shd w:fill="F1F6F2"/>
            <w:tcMar>
              <w:top w:type="dxa" w:w="60"/>
              <w:left w:type="dxa" w:w="90"/>
              <w:bottom w:type="dxa" w:w="60"/>
              <w:right w:type="dxa" w:w="90"/>
            </w:tcMar>
          </w:tcPr>
          <w:p>
            <w:r>
              <w:rPr>
                <w:color w:val="0F1B14"/>
                <w:sz w:val="20"/>
                <w:szCs w:val="20"/>
              </w:rPr>
              <w:t xml:space="preserve">Rp 143,000,000</w:t>
            </w:r>
          </w:p>
        </w:tc>
      </w:tr>
      <w:tr>
        <w:tc>
          <w:tcPr>
            <w:tcW w:type="pct" w:w="24%"/>
            <w:tcMar>
              <w:top w:type="dxa" w:w="60"/>
              <w:left w:type="dxa" w:w="90"/>
              <w:bottom w:type="dxa" w:w="60"/>
              <w:right w:type="dxa" w:w="90"/>
            </w:tcMar>
          </w:tcPr>
          <w:p>
            <w:r>
              <w:rPr>
                <w:color w:val="0F1B14"/>
                <w:sz w:val="20"/>
                <w:szCs w:val="20"/>
              </w:rPr>
              <w:t xml:space="preserve">netActualCost</w:t>
            </w:r>
          </w:p>
        </w:tc>
        <w:tc>
          <w:tcPr>
            <w:tcW w:type="pct" w:w="46%"/>
            <w:tcMar>
              <w:top w:type="dxa" w:w="60"/>
              <w:left w:type="dxa" w:w="90"/>
              <w:bottom w:type="dxa" w:w="60"/>
              <w:right w:type="dxa" w:w="90"/>
            </w:tcMar>
          </w:tcPr>
          <w:p>
            <w:r>
              <w:rPr>
                <w:color w:val="0F1B14"/>
                <w:sz w:val="20"/>
                <w:szCs w:val="20"/>
              </w:rPr>
              <w:t xml:space="preserve">143,000,000 + 20,000,000</w:t>
            </w:r>
          </w:p>
        </w:tc>
        <w:tc>
          <w:tcPr>
            <w:tcW w:type="pct" w:w="30%"/>
            <w:tcMar>
              <w:top w:type="dxa" w:w="60"/>
              <w:left w:type="dxa" w:w="90"/>
              <w:bottom w:type="dxa" w:w="60"/>
              <w:right w:type="dxa" w:w="90"/>
            </w:tcMar>
          </w:tcPr>
          <w:p>
            <w:r>
              <w:rPr>
                <w:color w:val="0F1B14"/>
                <w:sz w:val="20"/>
                <w:szCs w:val="20"/>
              </w:rPr>
              <w:t xml:space="preserve">Rp 163,000,000</w:t>
            </w:r>
          </w:p>
        </w:tc>
      </w:tr>
      <w:tr>
        <w:tc>
          <w:tcPr>
            <w:tcW w:type="pct" w:w="24%"/>
            <w:shd w:fill="F1F6F2"/>
            <w:tcMar>
              <w:top w:type="dxa" w:w="60"/>
              <w:left w:type="dxa" w:w="90"/>
              <w:bottom w:type="dxa" w:w="60"/>
              <w:right w:type="dxa" w:w="90"/>
            </w:tcMar>
          </w:tcPr>
          <w:p>
            <w:r>
              <w:rPr>
                <w:color w:val="0F1B14"/>
                <w:sz w:val="20"/>
                <w:szCs w:val="20"/>
              </w:rPr>
              <w:t xml:space="preserve">netActualProfit</w:t>
            </w:r>
          </w:p>
        </w:tc>
        <w:tc>
          <w:tcPr>
            <w:tcW w:type="pct" w:w="46%"/>
            <w:shd w:fill="F1F6F2"/>
            <w:tcMar>
              <w:top w:type="dxa" w:w="60"/>
              <w:left w:type="dxa" w:w="90"/>
              <w:bottom w:type="dxa" w:w="60"/>
              <w:right w:type="dxa" w:w="90"/>
            </w:tcMar>
          </w:tcPr>
          <w:p>
            <w:r>
              <w:rPr>
                <w:color w:val="0F1B14"/>
                <w:sz w:val="20"/>
                <w:szCs w:val="20"/>
              </w:rPr>
              <w:t xml:space="preserve">900,900,900.90 - 163,000,000</w:t>
            </w:r>
          </w:p>
        </w:tc>
        <w:tc>
          <w:tcPr>
            <w:tcW w:type="pct" w:w="30%"/>
            <w:shd w:fill="F1F6F2"/>
            <w:tcMar>
              <w:top w:type="dxa" w:w="60"/>
              <w:left w:type="dxa" w:w="90"/>
              <w:bottom w:type="dxa" w:w="60"/>
              <w:right w:type="dxa" w:w="90"/>
            </w:tcMar>
          </w:tcPr>
          <w:p>
            <w:r>
              <w:rPr>
                <w:color w:val="0F1B14"/>
                <w:sz w:val="20"/>
                <w:szCs w:val="20"/>
              </w:rPr>
              <w:t xml:space="preserve">Rp 737,900,900.90</w:t>
            </w:r>
          </w:p>
        </w:tc>
      </w:tr>
      <w:tr>
        <w:tc>
          <w:tcPr>
            <w:tcW w:type="pct" w:w="24%"/>
            <w:tcMar>
              <w:top w:type="dxa" w:w="60"/>
              <w:left w:type="dxa" w:w="90"/>
              <w:bottom w:type="dxa" w:w="60"/>
              <w:right w:type="dxa" w:w="90"/>
            </w:tcMar>
          </w:tcPr>
          <w:p>
            <w:r>
              <w:rPr>
                <w:color w:val="0F1B14"/>
                <w:sz w:val="20"/>
                <w:szCs w:val="20"/>
              </w:rPr>
              <w:t xml:space="preserve">netMarginPct</w:t>
            </w:r>
          </w:p>
        </w:tc>
        <w:tc>
          <w:tcPr>
            <w:tcW w:type="pct" w:w="46%"/>
            <w:tcMar>
              <w:top w:type="dxa" w:w="60"/>
              <w:left w:type="dxa" w:w="90"/>
              <w:bottom w:type="dxa" w:w="60"/>
              <w:right w:type="dxa" w:w="90"/>
            </w:tcMar>
          </w:tcPr>
          <w:p>
            <w:r>
              <w:rPr>
                <w:color w:val="0F1B14"/>
                <w:sz w:val="20"/>
                <w:szCs w:val="20"/>
              </w:rPr>
              <w:t xml:space="preserve">737,900,900.90 / 900,900,900.90 x 100</w:t>
            </w:r>
          </w:p>
        </w:tc>
        <w:tc>
          <w:tcPr>
            <w:tcW w:type="pct" w:w="30%"/>
            <w:tcMar>
              <w:top w:type="dxa" w:w="60"/>
              <w:left w:type="dxa" w:w="90"/>
              <w:bottom w:type="dxa" w:w="60"/>
              <w:right w:type="dxa" w:w="90"/>
            </w:tcMar>
          </w:tcPr>
          <w:p>
            <w:r>
              <w:rPr>
                <w:color w:val="0F1B14"/>
                <w:sz w:val="20"/>
                <w:szCs w:val="20"/>
              </w:rPr>
              <w:t xml:space="preserve">81.9%</w:t>
            </w:r>
          </w:p>
        </w:tc>
      </w:tr>
    </w:tbl>
    <w:p>
      <w:pPr>
        <w:pStyle w:val="Heading3"/>
        <w:spacing w:after="70" w:before="160"/>
      </w:pPr>
      <w:r>
        <w:rPr>
          <w:b/>
          <w:bCs/>
          <w:color w:val="0F1B14"/>
          <w:sz w:val="23"/>
          <w:szCs w:val="23"/>
        </w:rPr>
        <w:t xml:space="preserve">Billing milestone example</w:t>
      </w:r>
    </w:p>
    <w:p>
      <w:pPr>
        <w:spacing w:after="120" w:line="276"/>
      </w:pPr>
      <w:r>
        <w:rPr>
          <w:sz w:val="22"/>
          <w:szCs w:val="22"/>
        </w:rPr>
        <w:t xml:space="preserve">Milestone 1 = 30% of the contract value (VAT-inclusive):</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30%"/>
            <w:shd w:fill="1F7A4D"/>
            <w:tcMar>
              <w:top w:type="dxa" w:w="60"/>
              <w:left w:type="dxa" w:w="90"/>
              <w:bottom w:type="dxa" w:w="60"/>
              <w:right w:type="dxa" w:w="90"/>
            </w:tcMar>
          </w:tcPr>
          <w:p>
            <w:r>
              <w:rPr>
                <w:b/>
                <w:bCs/>
                <w:color w:val="FFFFFF"/>
                <w:sz w:val="20"/>
                <w:szCs w:val="20"/>
              </w:rPr>
              <w:t xml:space="preserve">Component</w:t>
            </w:r>
          </w:p>
        </w:tc>
        <w:tc>
          <w:tcPr>
            <w:tcW w:type="pct" w:w="40%"/>
            <w:shd w:fill="1F7A4D"/>
            <w:tcMar>
              <w:top w:type="dxa" w:w="60"/>
              <w:left w:type="dxa" w:w="90"/>
              <w:bottom w:type="dxa" w:w="60"/>
              <w:right w:type="dxa" w:w="90"/>
            </w:tcMar>
          </w:tcPr>
          <w:p>
            <w:r>
              <w:rPr>
                <w:b/>
                <w:bCs/>
                <w:color w:val="FFFFFF"/>
                <w:sz w:val="20"/>
                <w:szCs w:val="20"/>
              </w:rPr>
              <w:t xml:space="preserve">Calculation</w:t>
            </w:r>
          </w:p>
        </w:tc>
        <w:tc>
          <w:tcPr>
            <w:tcW w:type="pct" w:w="30%"/>
            <w:shd w:fill="1F7A4D"/>
            <w:tcMar>
              <w:top w:type="dxa" w:w="60"/>
              <w:left w:type="dxa" w:w="90"/>
              <w:bottom w:type="dxa" w:w="60"/>
              <w:right w:type="dxa" w:w="90"/>
            </w:tcMar>
          </w:tcPr>
          <w:p>
            <w:r>
              <w:rPr>
                <w:b/>
                <w:bCs/>
                <w:color w:val="FFFFFF"/>
                <w:sz w:val="20"/>
                <w:szCs w:val="20"/>
              </w:rPr>
              <w:t xml:space="preserve">Result</w:t>
            </w:r>
          </w:p>
        </w:tc>
      </w:tr>
      <w:tr>
        <w:tc>
          <w:tcPr>
            <w:tcW w:type="pct" w:w="30%"/>
            <w:tcMar>
              <w:top w:type="dxa" w:w="60"/>
              <w:left w:type="dxa" w:w="90"/>
              <w:bottom w:type="dxa" w:w="60"/>
              <w:right w:type="dxa" w:w="90"/>
            </w:tcMar>
          </w:tcPr>
          <w:p>
            <w:r>
              <w:rPr>
                <w:color w:val="0F1B14"/>
                <w:sz w:val="20"/>
                <w:szCs w:val="20"/>
              </w:rPr>
              <w:t xml:space="preserve">Milestone value (Total)</w:t>
            </w:r>
          </w:p>
        </w:tc>
        <w:tc>
          <w:tcPr>
            <w:tcW w:type="pct" w:w="40%"/>
            <w:tcMar>
              <w:top w:type="dxa" w:w="60"/>
              <w:left w:type="dxa" w:w="90"/>
              <w:bottom w:type="dxa" w:w="60"/>
              <w:right w:type="dxa" w:w="90"/>
            </w:tcMar>
          </w:tcPr>
          <w:p>
            <w:r>
              <w:rPr>
                <w:color w:val="0F1B14"/>
                <w:sz w:val="20"/>
                <w:szCs w:val="20"/>
              </w:rPr>
              <w:t xml:space="preserve">30% x 1,000,000,000</w:t>
            </w:r>
          </w:p>
        </w:tc>
        <w:tc>
          <w:tcPr>
            <w:tcW w:type="pct" w:w="30%"/>
            <w:tcMar>
              <w:top w:type="dxa" w:w="60"/>
              <w:left w:type="dxa" w:w="90"/>
              <w:bottom w:type="dxa" w:w="60"/>
              <w:right w:type="dxa" w:w="90"/>
            </w:tcMar>
          </w:tcPr>
          <w:p>
            <w:r>
              <w:rPr>
                <w:color w:val="0F1B14"/>
                <w:sz w:val="20"/>
                <w:szCs w:val="20"/>
              </w:rPr>
              <w:t xml:space="preserve">Rp 300,000,000</w:t>
            </w:r>
          </w:p>
        </w:tc>
      </w:tr>
      <w:tr>
        <w:tc>
          <w:tcPr>
            <w:tcW w:type="pct" w:w="30%"/>
            <w:shd w:fill="F1F6F2"/>
            <w:tcMar>
              <w:top w:type="dxa" w:w="60"/>
              <w:left w:type="dxa" w:w="90"/>
              <w:bottom w:type="dxa" w:w="60"/>
              <w:right w:type="dxa" w:w="90"/>
            </w:tcMar>
          </w:tcPr>
          <w:p>
            <w:r>
              <w:rPr>
                <w:color w:val="0F1B14"/>
                <w:sz w:val="20"/>
                <w:szCs w:val="20"/>
              </w:rPr>
              <w:t xml:space="preserve">DPP</w:t>
            </w:r>
          </w:p>
        </w:tc>
        <w:tc>
          <w:tcPr>
            <w:tcW w:type="pct" w:w="40%"/>
            <w:shd w:fill="F1F6F2"/>
            <w:tcMar>
              <w:top w:type="dxa" w:w="60"/>
              <w:left w:type="dxa" w:w="90"/>
              <w:bottom w:type="dxa" w:w="60"/>
              <w:right w:type="dxa" w:w="90"/>
            </w:tcMar>
          </w:tcPr>
          <w:p>
            <w:r>
              <w:rPr>
                <w:color w:val="0F1B14"/>
                <w:sz w:val="20"/>
                <w:szCs w:val="20"/>
              </w:rPr>
              <w:t xml:space="preserve">300,000,000 / 1.11</w:t>
            </w:r>
          </w:p>
        </w:tc>
        <w:tc>
          <w:tcPr>
            <w:tcW w:type="pct" w:w="30%"/>
            <w:shd w:fill="F1F6F2"/>
            <w:tcMar>
              <w:top w:type="dxa" w:w="60"/>
              <w:left w:type="dxa" w:w="90"/>
              <w:bottom w:type="dxa" w:w="60"/>
              <w:right w:type="dxa" w:w="90"/>
            </w:tcMar>
          </w:tcPr>
          <w:p>
            <w:r>
              <w:rPr>
                <w:color w:val="0F1B14"/>
                <w:sz w:val="20"/>
                <w:szCs w:val="20"/>
              </w:rPr>
              <w:t xml:space="preserve">Rp 270,270,270.27</w:t>
            </w:r>
          </w:p>
        </w:tc>
      </w:tr>
      <w:tr>
        <w:tc>
          <w:tcPr>
            <w:tcW w:type="pct" w:w="30%"/>
            <w:tcMar>
              <w:top w:type="dxa" w:w="60"/>
              <w:left w:type="dxa" w:w="90"/>
              <w:bottom w:type="dxa" w:w="60"/>
              <w:right w:type="dxa" w:w="90"/>
            </w:tcMar>
          </w:tcPr>
          <w:p>
            <w:r>
              <w:rPr>
                <w:color w:val="0F1B14"/>
                <w:sz w:val="20"/>
                <w:szCs w:val="20"/>
              </w:rPr>
              <w:t xml:space="preserve">VAT</w:t>
            </w:r>
          </w:p>
        </w:tc>
        <w:tc>
          <w:tcPr>
            <w:tcW w:type="pct" w:w="40%"/>
            <w:tcMar>
              <w:top w:type="dxa" w:w="60"/>
              <w:left w:type="dxa" w:w="90"/>
              <w:bottom w:type="dxa" w:w="60"/>
              <w:right w:type="dxa" w:w="90"/>
            </w:tcMar>
          </w:tcPr>
          <w:p>
            <w:r>
              <w:rPr>
                <w:color w:val="0F1B14"/>
                <w:sz w:val="20"/>
                <w:szCs w:val="20"/>
              </w:rPr>
              <w:t xml:space="preserve">300,000,000 - 270,270,270.27</w:t>
            </w:r>
          </w:p>
        </w:tc>
        <w:tc>
          <w:tcPr>
            <w:tcW w:type="pct" w:w="30%"/>
            <w:tcMar>
              <w:top w:type="dxa" w:w="60"/>
              <w:left w:type="dxa" w:w="90"/>
              <w:bottom w:type="dxa" w:w="60"/>
              <w:right w:type="dxa" w:w="90"/>
            </w:tcMar>
          </w:tcPr>
          <w:p>
            <w:r>
              <w:rPr>
                <w:color w:val="0F1B14"/>
                <w:sz w:val="20"/>
                <w:szCs w:val="20"/>
              </w:rPr>
              <w:t xml:space="preserve">Rp 29,729,729.73</w:t>
            </w:r>
          </w:p>
        </w:tc>
      </w:tr>
    </w:tbl>
    <w:p>
      <w:pPr>
        <w:pStyle w:val="Heading1"/>
        <w:spacing w:after="140" w:before="360"/>
      </w:pPr>
      <w:r>
        <w:rPr>
          <w:b/>
          <w:bCs/>
          <w:color w:val="1F7A4D"/>
          <w:sz w:val="30"/>
          <w:szCs w:val="30"/>
        </w:rPr>
        <w:t xml:space="preserve">8. Accounting Integration (Xero)</w:t>
      </w:r>
    </w:p>
    <w:p>
      <w:pPr>
        <w:spacing w:after="120" w:line="276"/>
      </w:pPr>
      <w:r>
        <w:rPr>
          <w:sz w:val="22"/>
          <w:szCs w:val="22"/>
        </w:rPr>
        <w:t xml:space="preserve">The application connects one-way to Xero (accounting software) to automate billing:</w:t>
      </w:r>
    </w:p>
    <w:p>
      <w:pPr>
        <w:pStyle w:val="ListParagraph"/>
        <w:numPr>
          <w:ilvl w:val="0"/>
          <w:numId w:val="1"/>
        </w:numPr>
        <w:spacing w:after="60" w:line="268"/>
      </w:pPr>
      <w:r>
        <w:rPr>
          <w:b/>
          <w:bCs/>
          <w:sz w:val="22"/>
          <w:szCs w:val="22"/>
        </w:rPr>
        <w:t xml:space="preserve">Invoice issuance — </w:t>
      </w:r>
      <w:r>
        <w:rPr>
          <w:b w:val="false"/>
          <w:bCs w:val="false"/>
          <w:sz w:val="22"/>
          <w:szCs w:val="22"/>
        </w:rPr>
        <w:t xml:space="preserve">billing milestones are pushed as sales invoices (ACCREC) in Xero, including number, due date, and amount.</w:t>
      </w:r>
    </w:p>
    <w:p>
      <w:pPr>
        <w:pStyle w:val="ListParagraph"/>
        <w:numPr>
          <w:ilvl w:val="0"/>
          <w:numId w:val="1"/>
        </w:numPr>
        <w:spacing w:after="60" w:line="268"/>
      </w:pPr>
      <w:r>
        <w:rPr>
          <w:b/>
          <w:bCs/>
          <w:sz w:val="22"/>
          <w:szCs w:val="22"/>
        </w:rPr>
        <w:t xml:space="preserve">Contact sync — </w:t>
      </w:r>
      <w:r>
        <w:rPr>
          <w:b w:val="false"/>
          <w:bCs w:val="false"/>
          <w:sz w:val="22"/>
          <w:szCs w:val="22"/>
        </w:rPr>
        <w:t xml:space="preserve">client data is automatically created as a Xero Contact if it does not yet exist.</w:t>
      </w:r>
    </w:p>
    <w:p>
      <w:pPr>
        <w:pStyle w:val="ListParagraph"/>
        <w:numPr>
          <w:ilvl w:val="0"/>
          <w:numId w:val="1"/>
        </w:numPr>
        <w:spacing w:after="60" w:line="268"/>
      </w:pPr>
      <w:r>
        <w:rPr>
          <w:b/>
          <w:bCs/>
          <w:sz w:val="22"/>
          <w:szCs w:val="22"/>
        </w:rPr>
        <w:t xml:space="preserve">Payment sync — </w:t>
      </w:r>
      <w:r>
        <w:rPr>
          <w:b w:val="false"/>
          <w:bCs w:val="false"/>
          <w:sz w:val="22"/>
          <w:szCs w:val="22"/>
        </w:rPr>
        <w:t xml:space="preserve">payment status is pulled from Xero; a milestone is marked PAID only when Xero reports status 'PAID'.</w:t>
      </w:r>
    </w:p>
    <w:p>
      <w:pPr>
        <w:spacing w:after="120" w:line="276"/>
      </w:pPr>
      <w:r>
        <w:rPr>
          <w:b/>
          <w:bCs/>
          <w:sz w:val="22"/>
          <w:szCs w:val="22"/>
        </w:rPr>
        <w:t xml:space="preserve">Value accuracy: </w:t>
      </w:r>
      <w:r>
        <w:rPr>
          <w:b w:val="false"/>
          <w:bCs w:val="false"/>
          <w:sz w:val="22"/>
          <w:szCs w:val="22"/>
        </w:rPr>
        <w:t xml:space="preserve">invoices are pushed tax-inclusive so the invoice total exactly matches the milestone value down to the cent (avoiding the 1-cent rounding drift seen previously).</w:t>
      </w:r>
    </w:p>
    <w:p>
      <w:pPr>
        <w:pStyle w:val="Heading1"/>
        <w:spacing w:after="140" w:before="360"/>
      </w:pPr>
      <w:r>
        <w:rPr>
          <w:b/>
          <w:bCs/>
          <w:color w:val="1F7A4D"/>
          <w:sz w:val="30"/>
          <w:szCs w:val="30"/>
        </w:rPr>
        <w:t xml:space="preserve">9. Security &amp; Access Control</w:t>
      </w:r>
    </w:p>
    <w:p>
      <w:pPr>
        <w:pStyle w:val="ListParagraph"/>
        <w:numPr>
          <w:ilvl w:val="0"/>
          <w:numId w:val="1"/>
        </w:numPr>
        <w:spacing w:after="60" w:line="268"/>
      </w:pPr>
      <w:r>
        <w:rPr>
          <w:sz w:val="22"/>
          <w:szCs w:val="22"/>
        </w:rPr>
        <w:t xml:space="preserve">Token-based authentication (JWT) with hashed passwords (bcrypt).</w:t>
      </w:r>
    </w:p>
    <w:p>
      <w:pPr>
        <w:pStyle w:val="ListParagraph"/>
        <w:numPr>
          <w:ilvl w:val="0"/>
          <w:numId w:val="1"/>
        </w:numPr>
        <w:spacing w:after="60" w:line="268"/>
      </w:pPr>
      <w:r>
        <w:rPr>
          <w:sz w:val="22"/>
          <w:szCs w:val="22"/>
        </w:rPr>
        <w:t xml:space="preserve">Role-based access control (RBAC) enforced on the server — not merely hidden in the UI.</w:t>
      </w:r>
    </w:p>
    <w:p>
      <w:pPr>
        <w:pStyle w:val="ListParagraph"/>
        <w:numPr>
          <w:ilvl w:val="0"/>
          <w:numId w:val="1"/>
        </w:numPr>
        <w:spacing w:after="60" w:line="268"/>
      </w:pPr>
      <w:r>
        <w:rPr>
          <w:sz w:val="22"/>
          <w:szCs w:val="22"/>
        </w:rPr>
        <w:t xml:space="preserve">Data filtered by role (e.g. a PM only sees own projects; delivery roles see no financial figures).</w:t>
      </w:r>
    </w:p>
    <w:p>
      <w:pPr>
        <w:pStyle w:val="ListParagraph"/>
        <w:numPr>
          <w:ilvl w:val="0"/>
          <w:numId w:val="1"/>
        </w:numPr>
        <w:spacing w:after="60" w:line="268"/>
      </w:pPr>
      <w:r>
        <w:rPr>
          <w:sz w:val="22"/>
          <w:szCs w:val="22"/>
        </w:rPr>
        <w:t xml:space="preserve">An audit trail (Activity) records important changes to projects and billing.</w:t>
      </w:r>
    </w:p>
    <w:p>
      <w:pPr>
        <w:pStyle w:val="ListParagraph"/>
        <w:numPr>
          <w:ilvl w:val="0"/>
          <w:numId w:val="1"/>
        </w:numPr>
        <w:spacing w:after="60" w:line="268"/>
      </w:pPr>
      <w:r>
        <w:rPr>
          <w:sz w:val="22"/>
          <w:szCs w:val="22"/>
        </w:rPr>
        <w:t xml:space="preserve">The Xero integration uses OAuth2 with a signed state; invoice numbering is duplicate-safe.</w:t>
      </w:r>
    </w:p>
    <w:p>
      <w:r>
        <w:br w:type="page"/>
      </w:r>
    </w:p>
    <w:p>
      <w:pPr>
        <w:pStyle w:val="Heading1"/>
        <w:spacing w:after="140" w:before="360"/>
      </w:pPr>
      <w:r>
        <w:rPr>
          <w:b/>
          <w:bCs/>
          <w:color w:val="1F7A4D"/>
          <w:sz w:val="30"/>
          <w:szCs w:val="30"/>
        </w:rPr>
        <w:t xml:space="preserve">10. Presentation Preparation &amp; Demo Flow</w:t>
      </w:r>
    </w:p>
    <w:p>
      <w:pPr>
        <w:pStyle w:val="Heading3"/>
        <w:spacing w:after="70" w:before="160"/>
      </w:pPr>
      <w:r>
        <w:rPr>
          <w:b/>
          <w:bCs/>
          <w:color w:val="0F1B14"/>
          <w:sz w:val="23"/>
          <w:szCs w:val="23"/>
        </w:rPr>
        <w:t xml:space="preserve">What to prepare</w:t>
      </w:r>
    </w:p>
    <w:p>
      <w:pPr>
        <w:pStyle w:val="ListParagraph"/>
        <w:numPr>
          <w:ilvl w:val="0"/>
          <w:numId w:val="2"/>
        </w:numPr>
        <w:spacing w:after="60" w:line="268"/>
      </w:pPr>
      <w:r>
        <w:rPr>
          <w:sz w:val="22"/>
          <w:szCs w:val="22"/>
        </w:rPr>
        <w:t xml:space="preserve">A login account for each role you will demo (Management, PM, Sales, Consultant).</w:t>
      </w:r>
    </w:p>
    <w:p>
      <w:pPr>
        <w:pStyle w:val="ListParagraph"/>
        <w:numPr>
          <w:ilvl w:val="0"/>
          <w:numId w:val="2"/>
        </w:numPr>
        <w:spacing w:after="60" w:line="268"/>
      </w:pPr>
      <w:r>
        <w:rPr>
          <w:sz w:val="22"/>
          <w:szCs w:val="22"/>
        </w:rPr>
        <w:t xml:space="preserve">One sample project already ACTIVE with timesheets, expenses, and billing milestones filled in.</w:t>
      </w:r>
    </w:p>
    <w:p>
      <w:pPr>
        <w:pStyle w:val="ListParagraph"/>
        <w:numPr>
          <w:ilvl w:val="0"/>
          <w:numId w:val="2"/>
        </w:numPr>
        <w:spacing w:after="60" w:line="268"/>
      </w:pPr>
      <w:r>
        <w:rPr>
          <w:sz w:val="22"/>
          <w:szCs w:val="22"/>
        </w:rPr>
        <w:t xml:space="preserve">A storyline: from Sales intake -&gt; PM planning -&gt; consultant execution -&gt; billing &amp; Xero.</w:t>
      </w:r>
    </w:p>
    <w:p>
      <w:pPr>
        <w:pStyle w:val="ListParagraph"/>
        <w:numPr>
          <w:ilvl w:val="0"/>
          <w:numId w:val="2"/>
        </w:numPr>
        <w:spacing w:after="60" w:line="268"/>
      </w:pPr>
      <w:r>
        <w:rPr>
          <w:sz w:val="22"/>
          <w:szCs w:val="22"/>
        </w:rPr>
        <w:t xml:space="preserve">This document as a handout, and an internet connection for the Xero demo (optional).</w:t>
      </w:r>
    </w:p>
    <w:p>
      <w:pPr>
        <w:pStyle w:val="Heading3"/>
        <w:spacing w:after="70" w:before="160"/>
      </w:pPr>
      <w:r>
        <w:rPr>
          <w:b/>
          <w:bCs/>
          <w:color w:val="0F1B14"/>
          <w:sz w:val="23"/>
          <w:szCs w:val="23"/>
        </w:rPr>
        <w:t xml:space="preserve">Suggested demo flow (~15 minutes)</w:t>
      </w:r>
    </w:p>
    <w:p>
      <w:pPr>
        <w:pStyle w:val="ListParagraph"/>
        <w:numPr>
          <w:ilvl w:val="0"/>
          <w:numId w:val="3"/>
        </w:numPr>
        <w:spacing w:after="60" w:line="268"/>
      </w:pPr>
      <w:r>
        <w:rPr>
          <w:sz w:val="22"/>
          <w:szCs w:val="22"/>
        </w:rPr>
        <w:t xml:space="preserve">Log in as Management — show the executive dashboard (KPIs, profit trend, at-risk projects).</w:t>
      </w:r>
    </w:p>
    <w:p>
      <w:pPr>
        <w:pStyle w:val="ListParagraph"/>
        <w:numPr>
          <w:ilvl w:val="0"/>
          <w:numId w:val="3"/>
        </w:numPr>
        <w:spacing w:after="60" w:line="268"/>
      </w:pPr>
      <w:r>
        <w:rPr>
          <w:sz w:val="22"/>
          <w:szCs w:val="22"/>
        </w:rPr>
        <w:t xml:space="preserve">Open a project — walk through the Overview, Tasks (WBS/Gantt), and Resources tabs.</w:t>
      </w:r>
    </w:p>
    <w:p>
      <w:pPr>
        <w:pStyle w:val="ListParagraph"/>
        <w:numPr>
          <w:ilvl w:val="0"/>
          <w:numId w:val="3"/>
        </w:numPr>
        <w:spacing w:after="60" w:line="268"/>
      </w:pPr>
      <w:r>
        <w:rPr>
          <w:sz w:val="22"/>
          <w:szCs w:val="22"/>
        </w:rPr>
        <w:t xml:space="preserve">Timesheets &amp; Expenses tabs — show the approval flow and its effect on cost.</w:t>
      </w:r>
    </w:p>
    <w:p>
      <w:pPr>
        <w:pStyle w:val="ListParagraph"/>
        <w:numPr>
          <w:ilvl w:val="0"/>
          <w:numId w:val="3"/>
        </w:numPr>
        <w:spacing w:after="60" w:line="268"/>
      </w:pPr>
      <w:r>
        <w:rPr>
          <w:sz w:val="22"/>
          <w:szCs w:val="22"/>
        </w:rPr>
        <w:t xml:space="preserve">Financials tab — show cost, margin, burn rate, and forecast updating automatically.</w:t>
      </w:r>
    </w:p>
    <w:p>
      <w:pPr>
        <w:pStyle w:val="ListParagraph"/>
        <w:numPr>
          <w:ilvl w:val="0"/>
          <w:numId w:val="3"/>
        </w:numPr>
        <w:spacing w:after="60" w:line="268"/>
      </w:pPr>
      <w:r>
        <w:rPr>
          <w:sz w:val="22"/>
          <w:szCs w:val="22"/>
        </w:rPr>
        <w:t xml:space="preserve">Billing tab — create/view a milestone, then 'Send to Xero' to issue an invoice.</w:t>
      </w:r>
    </w:p>
    <w:p>
      <w:pPr>
        <w:pStyle w:val="ListParagraph"/>
        <w:numPr>
          <w:ilvl w:val="0"/>
          <w:numId w:val="3"/>
        </w:numPr>
        <w:spacing w:after="60" w:line="268"/>
      </w:pPr>
      <w:r>
        <w:rPr>
          <w:sz w:val="22"/>
          <w:szCs w:val="22"/>
        </w:rPr>
        <w:t xml:space="preserve">Close with cross-project modules: Resource Planning, Reports, and VAT Recap.</w:t>
      </w:r>
    </w:p>
    <w:p>
      <w:pPr>
        <w:pStyle w:val="Heading3"/>
        <w:spacing w:after="70" w:before="160"/>
      </w:pPr>
      <w:r>
        <w:rPr>
          <w:b/>
          <w:bCs/>
          <w:color w:val="0F1B14"/>
          <w:sz w:val="23"/>
          <w:szCs w:val="23"/>
        </w:rPr>
        <w:t xml:space="preserve">Key talking points</w:t>
      </w:r>
    </w:p>
    <w:p>
      <w:pPr>
        <w:pStyle w:val="ListParagraph"/>
        <w:numPr>
          <w:ilvl w:val="0"/>
          <w:numId w:val="1"/>
        </w:numPr>
        <w:spacing w:after="60" w:line="268"/>
      </w:pPr>
      <w:r>
        <w:rPr>
          <w:sz w:val="22"/>
          <w:szCs w:val="22"/>
        </w:rPr>
        <w:t xml:space="preserve">"Margin is visible from day one, not only after the project ends."</w:t>
      </w:r>
    </w:p>
    <w:p>
      <w:pPr>
        <w:pStyle w:val="ListParagraph"/>
        <w:numPr>
          <w:ilvl w:val="0"/>
          <w:numId w:val="1"/>
        </w:numPr>
        <w:spacing w:after="60" w:line="268"/>
      </w:pPr>
      <w:r>
        <w:rPr>
          <w:sz w:val="22"/>
          <w:szCs w:val="22"/>
        </w:rPr>
        <w:t xml:space="preserve">"Every cost figure comes from approved timesheets &amp; expenses — not manual estimates."</w:t>
      </w:r>
    </w:p>
    <w:p>
      <w:pPr>
        <w:pStyle w:val="ListParagraph"/>
        <w:numPr>
          <w:ilvl w:val="0"/>
          <w:numId w:val="1"/>
        </w:numPr>
        <w:spacing w:after="60" w:line="268"/>
      </w:pPr>
      <w:r>
        <w:rPr>
          <w:sz w:val="22"/>
          <w:szCs w:val="22"/>
        </w:rPr>
        <w:t xml:space="preserve">"Billing and VAT are automated, connected directly to accounting (Xero)."</w:t>
      </w:r>
    </w:p>
    <w:p>
      <w:pPr>
        <w:pStyle w:val="ListParagraph"/>
        <w:numPr>
          <w:ilvl w:val="0"/>
          <w:numId w:val="1"/>
        </w:numPr>
        <w:spacing w:after="60" w:line="268"/>
      </w:pPr>
      <w:r>
        <w:rPr>
          <w:sz w:val="22"/>
          <w:szCs w:val="22"/>
        </w:rPr>
        <w:t xml:space="preserve">"Each role only sees what is relevant — financials are protected from the delivery team."</w:t>
      </w:r>
    </w:p>
    <w:p>
      <w:r>
        <w:br w:type="page"/>
      </w:r>
    </w:p>
    <w:p>
      <w:pPr>
        <w:pStyle w:val="Heading1"/>
        <w:spacing w:after="140" w:before="360"/>
      </w:pPr>
      <w:r>
        <w:rPr>
          <w:b/>
          <w:bCs/>
          <w:color w:val="1F7A4D"/>
          <w:sz w:val="30"/>
          <w:szCs w:val="30"/>
        </w:rPr>
        <w:t xml:space="preserve">Appendix A — Calculation Glossary</w:t>
      </w:r>
    </w:p>
    <w:p>
      <w:pPr>
        <w:spacing w:after="120" w:line="276"/>
      </w:pPr>
      <w:r>
        <w:rPr>
          <w:sz w:val="22"/>
          <w:szCs w:val="22"/>
        </w:rPr>
        <w:t xml:space="preserve">A concise explanation of each financial metric, its formula, and an example figure (referencing the sample project in Section 7: contract value Rp 1,000,000,000 VAT-inclusive at 11%).</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gridCol w:w="100"/>
      </w:tblGrid>
      <w:tr>
        <w:trPr>
          <w:tblHeader/>
        </w:trPr>
        <w:tc>
          <w:tcPr>
            <w:tcW w:type="pct" w:w="17%"/>
            <w:shd w:fill="1F7A4D"/>
            <w:tcMar>
              <w:top w:type="dxa" w:w="60"/>
              <w:left w:type="dxa" w:w="90"/>
              <w:bottom w:type="dxa" w:w="60"/>
              <w:right w:type="dxa" w:w="90"/>
            </w:tcMar>
          </w:tcPr>
          <w:p>
            <w:r>
              <w:rPr>
                <w:b/>
                <w:bCs/>
                <w:color w:val="FFFFFF"/>
                <w:sz w:val="20"/>
                <w:szCs w:val="20"/>
              </w:rPr>
              <w:t xml:space="preserve">Term</w:t>
            </w:r>
          </w:p>
        </w:tc>
        <w:tc>
          <w:tcPr>
            <w:tcW w:type="pct" w:w="33%"/>
            <w:shd w:fill="1F7A4D"/>
            <w:tcMar>
              <w:top w:type="dxa" w:w="60"/>
              <w:left w:type="dxa" w:w="90"/>
              <w:bottom w:type="dxa" w:w="60"/>
              <w:right w:type="dxa" w:w="90"/>
            </w:tcMar>
          </w:tcPr>
          <w:p>
            <w:r>
              <w:rPr>
                <w:b/>
                <w:bCs/>
                <w:color w:val="FFFFFF"/>
                <w:sz w:val="20"/>
                <w:szCs w:val="20"/>
              </w:rPr>
              <w:t xml:space="preserve">Meaning</w:t>
            </w:r>
          </w:p>
        </w:tc>
        <w:tc>
          <w:tcPr>
            <w:tcW w:type="pct" w:w="30%"/>
            <w:shd w:fill="1F7A4D"/>
            <w:tcMar>
              <w:top w:type="dxa" w:w="60"/>
              <w:left w:type="dxa" w:w="90"/>
              <w:bottom w:type="dxa" w:w="60"/>
              <w:right w:type="dxa" w:w="90"/>
            </w:tcMar>
          </w:tcPr>
          <w:p>
            <w:r>
              <w:rPr>
                <w:b/>
                <w:bCs/>
                <w:color w:val="FFFFFF"/>
                <w:sz w:val="20"/>
                <w:szCs w:val="20"/>
              </w:rPr>
              <w:t xml:space="preserve">Formula</w:t>
            </w:r>
          </w:p>
        </w:tc>
        <w:tc>
          <w:tcPr>
            <w:tcW w:type="pct" w:w="20%"/>
            <w:shd w:fill="1F7A4D"/>
            <w:tcMar>
              <w:top w:type="dxa" w:w="60"/>
              <w:left w:type="dxa" w:w="90"/>
              <w:bottom w:type="dxa" w:w="60"/>
              <w:right w:type="dxa" w:w="90"/>
            </w:tcMar>
          </w:tcPr>
          <w:p>
            <w:r>
              <w:rPr>
                <w:b/>
                <w:bCs/>
                <w:color w:val="FFFFFF"/>
                <w:sz w:val="20"/>
                <w:szCs w:val="20"/>
              </w:rPr>
              <w:t xml:space="preserve">Example</w:t>
            </w:r>
          </w:p>
        </w:tc>
      </w:tr>
      <w:tr>
        <w:tc>
          <w:tcPr>
            <w:tcW w:type="pct" w:w="17%"/>
            <w:tcMar>
              <w:top w:type="dxa" w:w="60"/>
              <w:left w:type="dxa" w:w="90"/>
              <w:bottom w:type="dxa" w:w="60"/>
              <w:right w:type="dxa" w:w="90"/>
            </w:tcMar>
          </w:tcPr>
          <w:p>
            <w:r>
              <w:rPr>
                <w:color w:val="0F1B14"/>
                <w:sz w:val="20"/>
                <w:szCs w:val="20"/>
              </w:rPr>
              <w:t xml:space="preserve">resourceCost</w:t>
            </w:r>
          </w:p>
        </w:tc>
        <w:tc>
          <w:tcPr>
            <w:tcW w:type="pct" w:w="33%"/>
            <w:tcMar>
              <w:top w:type="dxa" w:w="60"/>
              <w:left w:type="dxa" w:w="90"/>
              <w:bottom w:type="dxa" w:w="60"/>
              <w:right w:type="dxa" w:w="90"/>
            </w:tcMar>
          </w:tcPr>
          <w:p>
            <w:r>
              <w:rPr>
                <w:color w:val="0F1B14"/>
                <w:sz w:val="20"/>
                <w:szCs w:val="20"/>
              </w:rPr>
              <w:t xml:space="preserve">Approved consultant labor cost</w:t>
            </w:r>
          </w:p>
        </w:tc>
        <w:tc>
          <w:tcPr>
            <w:tcW w:type="pct" w:w="30%"/>
            <w:tcMar>
              <w:top w:type="dxa" w:w="60"/>
              <w:left w:type="dxa" w:w="90"/>
              <w:bottom w:type="dxa" w:w="60"/>
              <w:right w:type="dxa" w:w="90"/>
            </w:tcMar>
          </w:tcPr>
          <w:p>
            <w:r>
              <w:rPr>
                <w:color w:val="0F1B14"/>
                <w:sz w:val="20"/>
                <w:szCs w:val="20"/>
              </w:rPr>
              <w:t xml:space="preserve">SUM(hours / 8 x daily rate)</w:t>
            </w:r>
          </w:p>
        </w:tc>
        <w:tc>
          <w:tcPr>
            <w:tcW w:type="pct" w:w="20%"/>
            <w:tcMar>
              <w:top w:type="dxa" w:w="60"/>
              <w:left w:type="dxa" w:w="90"/>
              <w:bottom w:type="dxa" w:w="60"/>
              <w:right w:type="dxa" w:w="90"/>
            </w:tcMar>
          </w:tcPr>
          <w:p>
            <w:r>
              <w:rPr>
                <w:color w:val="0F1B14"/>
                <w:sz w:val="20"/>
                <w:szCs w:val="20"/>
              </w:rPr>
              <w:t xml:space="preserve">Rp 110,000,000</w:t>
            </w:r>
          </w:p>
        </w:tc>
      </w:tr>
      <w:tr>
        <w:tc>
          <w:tcPr>
            <w:tcW w:type="pct" w:w="17%"/>
            <w:shd w:fill="F1F6F2"/>
            <w:tcMar>
              <w:top w:type="dxa" w:w="60"/>
              <w:left w:type="dxa" w:w="90"/>
              <w:bottom w:type="dxa" w:w="60"/>
              <w:right w:type="dxa" w:w="90"/>
            </w:tcMar>
          </w:tcPr>
          <w:p>
            <w:r>
              <w:rPr>
                <w:color w:val="0F1B14"/>
                <w:sz w:val="20"/>
                <w:szCs w:val="20"/>
              </w:rPr>
              <w:t xml:space="preserve">additionalCost</w:t>
            </w:r>
          </w:p>
        </w:tc>
        <w:tc>
          <w:tcPr>
            <w:tcW w:type="pct" w:w="33%"/>
            <w:shd w:fill="F1F6F2"/>
            <w:tcMar>
              <w:top w:type="dxa" w:w="60"/>
              <w:left w:type="dxa" w:w="90"/>
              <w:bottom w:type="dxa" w:w="60"/>
              <w:right w:type="dxa" w:w="90"/>
            </w:tcMar>
          </w:tcPr>
          <w:p>
            <w:r>
              <w:rPr>
                <w:color w:val="0F1B14"/>
                <w:sz w:val="20"/>
                <w:szCs w:val="20"/>
              </w:rPr>
              <w:t xml:space="preserve">Approved non-labor cost (license, software, etc.)</w:t>
            </w:r>
          </w:p>
        </w:tc>
        <w:tc>
          <w:tcPr>
            <w:tcW w:type="pct" w:w="30%"/>
            <w:shd w:fill="F1F6F2"/>
            <w:tcMar>
              <w:top w:type="dxa" w:w="60"/>
              <w:left w:type="dxa" w:w="90"/>
              <w:bottom w:type="dxa" w:w="60"/>
              <w:right w:type="dxa" w:w="90"/>
            </w:tcMar>
          </w:tcPr>
          <w:p>
            <w:r>
              <w:rPr>
                <w:color w:val="0F1B14"/>
                <w:sz w:val="20"/>
                <w:szCs w:val="20"/>
              </w:rPr>
              <w:t xml:space="preserve">SUM(amount) APPROVED</w:t>
            </w:r>
          </w:p>
        </w:tc>
        <w:tc>
          <w:tcPr>
            <w:tcW w:type="pct" w:w="20%"/>
            <w:shd w:fill="F1F6F2"/>
            <w:tcMar>
              <w:top w:type="dxa" w:w="60"/>
              <w:left w:type="dxa" w:w="90"/>
              <w:bottom w:type="dxa" w:w="60"/>
              <w:right w:type="dxa" w:w="90"/>
            </w:tcMar>
          </w:tcPr>
          <w:p>
            <w:r>
              <w:rPr>
                <w:color w:val="0F1B14"/>
                <w:sz w:val="20"/>
                <w:szCs w:val="20"/>
              </w:rPr>
              <w:t xml:space="preserve">Rp 20,000,000</w:t>
            </w:r>
          </w:p>
        </w:tc>
      </w:tr>
      <w:tr>
        <w:tc>
          <w:tcPr>
            <w:tcW w:type="pct" w:w="17%"/>
            <w:tcMar>
              <w:top w:type="dxa" w:w="60"/>
              <w:left w:type="dxa" w:w="90"/>
              <w:bottom w:type="dxa" w:w="60"/>
              <w:right w:type="dxa" w:w="90"/>
            </w:tcMar>
          </w:tcPr>
          <w:p>
            <w:r>
              <w:rPr>
                <w:color w:val="0F1B14"/>
                <w:sz w:val="20"/>
                <w:szCs w:val="20"/>
              </w:rPr>
              <w:t xml:space="preserve">actualCost</w:t>
            </w:r>
          </w:p>
        </w:tc>
        <w:tc>
          <w:tcPr>
            <w:tcW w:type="pct" w:w="33%"/>
            <w:tcMar>
              <w:top w:type="dxa" w:w="60"/>
              <w:left w:type="dxa" w:w="90"/>
              <w:bottom w:type="dxa" w:w="60"/>
              <w:right w:type="dxa" w:w="90"/>
            </w:tcMar>
          </w:tcPr>
          <w:p>
            <w:r>
              <w:rPr>
                <w:color w:val="0F1B14"/>
                <w:sz w:val="20"/>
                <w:szCs w:val="20"/>
              </w:rPr>
              <w:t xml:space="preserve">Total real project cost</w:t>
            </w:r>
          </w:p>
        </w:tc>
        <w:tc>
          <w:tcPr>
            <w:tcW w:type="pct" w:w="30%"/>
            <w:tcMar>
              <w:top w:type="dxa" w:w="60"/>
              <w:left w:type="dxa" w:w="90"/>
              <w:bottom w:type="dxa" w:w="60"/>
              <w:right w:type="dxa" w:w="90"/>
            </w:tcMar>
          </w:tcPr>
          <w:p>
            <w:r>
              <w:rPr>
                <w:color w:val="0F1B14"/>
                <w:sz w:val="20"/>
                <w:szCs w:val="20"/>
              </w:rPr>
              <w:t xml:space="preserve">resourceCost + additionalCost</w:t>
            </w:r>
          </w:p>
        </w:tc>
        <w:tc>
          <w:tcPr>
            <w:tcW w:type="pct" w:w="20%"/>
            <w:tcMar>
              <w:top w:type="dxa" w:w="60"/>
              <w:left w:type="dxa" w:w="90"/>
              <w:bottom w:type="dxa" w:w="60"/>
              <w:right w:type="dxa" w:w="90"/>
            </w:tcMar>
          </w:tcPr>
          <w:p>
            <w:r>
              <w:rPr>
                <w:color w:val="0F1B14"/>
                <w:sz w:val="20"/>
                <w:szCs w:val="20"/>
              </w:rPr>
              <w:t xml:space="preserve">Rp 130,000,000</w:t>
            </w:r>
          </w:p>
        </w:tc>
      </w:tr>
      <w:tr>
        <w:tc>
          <w:tcPr>
            <w:tcW w:type="pct" w:w="17%"/>
            <w:shd w:fill="F1F6F2"/>
            <w:tcMar>
              <w:top w:type="dxa" w:w="60"/>
              <w:left w:type="dxa" w:w="90"/>
              <w:bottom w:type="dxa" w:w="60"/>
              <w:right w:type="dxa" w:w="90"/>
            </w:tcMar>
          </w:tcPr>
          <w:p>
            <w:r>
              <w:rPr>
                <w:color w:val="0F1B14"/>
                <w:sz w:val="20"/>
                <w:szCs w:val="20"/>
              </w:rPr>
              <w:t xml:space="preserve">actualProfit</w:t>
            </w:r>
          </w:p>
        </w:tc>
        <w:tc>
          <w:tcPr>
            <w:tcW w:type="pct" w:w="33%"/>
            <w:shd w:fill="F1F6F2"/>
            <w:tcMar>
              <w:top w:type="dxa" w:w="60"/>
              <w:left w:type="dxa" w:w="90"/>
              <w:bottom w:type="dxa" w:w="60"/>
              <w:right w:type="dxa" w:w="90"/>
            </w:tcMar>
          </w:tcPr>
          <w:p>
            <w:r>
              <w:rPr>
                <w:color w:val="0F1B14"/>
                <w:sz w:val="20"/>
                <w:szCs w:val="20"/>
              </w:rPr>
              <w:t xml:space="preserve">Profit after actual cost</w:t>
            </w:r>
          </w:p>
        </w:tc>
        <w:tc>
          <w:tcPr>
            <w:tcW w:type="pct" w:w="30%"/>
            <w:shd w:fill="F1F6F2"/>
            <w:tcMar>
              <w:top w:type="dxa" w:w="60"/>
              <w:left w:type="dxa" w:w="90"/>
              <w:bottom w:type="dxa" w:w="60"/>
              <w:right w:type="dxa" w:w="90"/>
            </w:tcMar>
          </w:tcPr>
          <w:p>
            <w:r>
              <w:rPr>
                <w:color w:val="0F1B14"/>
                <w:sz w:val="20"/>
                <w:szCs w:val="20"/>
              </w:rPr>
              <w:t xml:space="preserve">contractValue - actualCost</w:t>
            </w:r>
          </w:p>
        </w:tc>
        <w:tc>
          <w:tcPr>
            <w:tcW w:type="pct" w:w="20%"/>
            <w:shd w:fill="F1F6F2"/>
            <w:tcMar>
              <w:top w:type="dxa" w:w="60"/>
              <w:left w:type="dxa" w:w="90"/>
              <w:bottom w:type="dxa" w:w="60"/>
              <w:right w:type="dxa" w:w="90"/>
            </w:tcMar>
          </w:tcPr>
          <w:p>
            <w:r>
              <w:rPr>
                <w:color w:val="0F1B14"/>
                <w:sz w:val="20"/>
                <w:szCs w:val="20"/>
              </w:rPr>
              <w:t xml:space="preserve">Rp 870,000,000</w:t>
            </w:r>
          </w:p>
        </w:tc>
      </w:tr>
      <w:tr>
        <w:tc>
          <w:tcPr>
            <w:tcW w:type="pct" w:w="17%"/>
            <w:tcMar>
              <w:top w:type="dxa" w:w="60"/>
              <w:left w:type="dxa" w:w="90"/>
              <w:bottom w:type="dxa" w:w="60"/>
              <w:right w:type="dxa" w:w="90"/>
            </w:tcMar>
          </w:tcPr>
          <w:p>
            <w:r>
              <w:rPr>
                <w:color w:val="0F1B14"/>
                <w:sz w:val="20"/>
                <w:szCs w:val="20"/>
              </w:rPr>
              <w:t xml:space="preserve">marginPct</w:t>
            </w:r>
          </w:p>
        </w:tc>
        <w:tc>
          <w:tcPr>
            <w:tcW w:type="pct" w:w="33%"/>
            <w:tcMar>
              <w:top w:type="dxa" w:w="60"/>
              <w:left w:type="dxa" w:w="90"/>
              <w:bottom w:type="dxa" w:w="60"/>
              <w:right w:type="dxa" w:w="90"/>
            </w:tcMar>
          </w:tcPr>
          <w:p>
            <w:r>
              <w:rPr>
                <w:color w:val="0F1B14"/>
                <w:sz w:val="20"/>
                <w:szCs w:val="20"/>
              </w:rPr>
              <w:t xml:space="preserve">Margin vs contract value (%)</w:t>
            </w:r>
          </w:p>
        </w:tc>
        <w:tc>
          <w:tcPr>
            <w:tcW w:type="pct" w:w="30%"/>
            <w:tcMar>
              <w:top w:type="dxa" w:w="60"/>
              <w:left w:type="dxa" w:w="90"/>
              <w:bottom w:type="dxa" w:w="60"/>
              <w:right w:type="dxa" w:w="90"/>
            </w:tcMar>
          </w:tcPr>
          <w:p>
            <w:r>
              <w:rPr>
                <w:color w:val="0F1B14"/>
                <w:sz w:val="20"/>
                <w:szCs w:val="20"/>
              </w:rPr>
              <w:t xml:space="preserve">actualProfit / contractValue x 100</w:t>
            </w:r>
          </w:p>
        </w:tc>
        <w:tc>
          <w:tcPr>
            <w:tcW w:type="pct" w:w="20%"/>
            <w:tcMar>
              <w:top w:type="dxa" w:w="60"/>
              <w:left w:type="dxa" w:w="90"/>
              <w:bottom w:type="dxa" w:w="60"/>
              <w:right w:type="dxa" w:w="90"/>
            </w:tcMar>
          </w:tcPr>
          <w:p>
            <w:r>
              <w:rPr>
                <w:color w:val="0F1B14"/>
                <w:sz w:val="20"/>
                <w:szCs w:val="20"/>
              </w:rPr>
              <w:t xml:space="preserve">87.0%</w:t>
            </w:r>
          </w:p>
        </w:tc>
      </w:tr>
      <w:tr>
        <w:tc>
          <w:tcPr>
            <w:tcW w:type="pct" w:w="17%"/>
            <w:shd w:fill="F1F6F2"/>
            <w:tcMar>
              <w:top w:type="dxa" w:w="60"/>
              <w:left w:type="dxa" w:w="90"/>
              <w:bottom w:type="dxa" w:w="60"/>
              <w:right w:type="dxa" w:w="90"/>
            </w:tcMar>
          </w:tcPr>
          <w:p>
            <w:r>
              <w:rPr>
                <w:color w:val="0F1B14"/>
                <w:sz w:val="20"/>
                <w:szCs w:val="20"/>
              </w:rPr>
              <w:t xml:space="preserve">DPP (revenueNet)</w:t>
            </w:r>
          </w:p>
        </w:tc>
        <w:tc>
          <w:tcPr>
            <w:tcW w:type="pct" w:w="33%"/>
            <w:shd w:fill="F1F6F2"/>
            <w:tcMar>
              <w:top w:type="dxa" w:w="60"/>
              <w:left w:type="dxa" w:w="90"/>
              <w:bottom w:type="dxa" w:w="60"/>
              <w:right w:type="dxa" w:w="90"/>
            </w:tcMar>
          </w:tcPr>
          <w:p>
            <w:r>
              <w:rPr>
                <w:color w:val="0F1B14"/>
                <w:sz w:val="20"/>
                <w:szCs w:val="20"/>
              </w:rPr>
              <w:t xml:space="preserve">Net revenue excluding VAT</w:t>
            </w:r>
          </w:p>
        </w:tc>
        <w:tc>
          <w:tcPr>
            <w:tcW w:type="pct" w:w="30%"/>
            <w:shd w:fill="F1F6F2"/>
            <w:tcMar>
              <w:top w:type="dxa" w:w="60"/>
              <w:left w:type="dxa" w:w="90"/>
              <w:bottom w:type="dxa" w:w="60"/>
              <w:right w:type="dxa" w:w="90"/>
            </w:tcMar>
          </w:tcPr>
          <w:p>
            <w:r>
              <w:rPr>
                <w:color w:val="0F1B14"/>
                <w:sz w:val="20"/>
                <w:szCs w:val="20"/>
              </w:rPr>
              <w:t xml:space="preserve">value / 1.11 (inclusive)</w:t>
            </w:r>
          </w:p>
        </w:tc>
        <w:tc>
          <w:tcPr>
            <w:tcW w:type="pct" w:w="20%"/>
            <w:shd w:fill="F1F6F2"/>
            <w:tcMar>
              <w:top w:type="dxa" w:w="60"/>
              <w:left w:type="dxa" w:w="90"/>
              <w:bottom w:type="dxa" w:w="60"/>
              <w:right w:type="dxa" w:w="90"/>
            </w:tcMar>
          </w:tcPr>
          <w:p>
            <w:r>
              <w:rPr>
                <w:color w:val="0F1B14"/>
                <w:sz w:val="20"/>
                <w:szCs w:val="20"/>
              </w:rPr>
              <w:t xml:space="preserve">Rp 900,900,900.90</w:t>
            </w:r>
          </w:p>
        </w:tc>
      </w:tr>
      <w:tr>
        <w:tc>
          <w:tcPr>
            <w:tcW w:type="pct" w:w="17%"/>
            <w:tcMar>
              <w:top w:type="dxa" w:w="60"/>
              <w:left w:type="dxa" w:w="90"/>
              <w:bottom w:type="dxa" w:w="60"/>
              <w:right w:type="dxa" w:w="90"/>
            </w:tcMar>
          </w:tcPr>
          <w:p>
            <w:r>
              <w:rPr>
                <w:color w:val="0F1B14"/>
                <w:sz w:val="20"/>
                <w:szCs w:val="20"/>
              </w:rPr>
              <w:t xml:space="preserve">VAT (PPN)</w:t>
            </w:r>
          </w:p>
        </w:tc>
        <w:tc>
          <w:tcPr>
            <w:tcW w:type="pct" w:w="33%"/>
            <w:tcMar>
              <w:top w:type="dxa" w:w="60"/>
              <w:left w:type="dxa" w:w="90"/>
              <w:bottom w:type="dxa" w:w="60"/>
              <w:right w:type="dxa" w:w="90"/>
            </w:tcMar>
          </w:tcPr>
          <w:p>
            <w:r>
              <w:rPr>
                <w:color w:val="0F1B14"/>
                <w:sz w:val="20"/>
                <w:szCs w:val="20"/>
              </w:rPr>
              <w:t xml:space="preserve">Tax embedded in the contract value</w:t>
            </w:r>
          </w:p>
        </w:tc>
        <w:tc>
          <w:tcPr>
            <w:tcW w:type="pct" w:w="30%"/>
            <w:tcMar>
              <w:top w:type="dxa" w:w="60"/>
              <w:left w:type="dxa" w:w="90"/>
              <w:bottom w:type="dxa" w:w="60"/>
              <w:right w:type="dxa" w:w="90"/>
            </w:tcMar>
          </w:tcPr>
          <w:p>
            <w:r>
              <w:rPr>
                <w:color w:val="0F1B14"/>
                <w:sz w:val="20"/>
                <w:szCs w:val="20"/>
              </w:rPr>
              <w:t xml:space="preserve">value - DPP</w:t>
            </w:r>
          </w:p>
        </w:tc>
        <w:tc>
          <w:tcPr>
            <w:tcW w:type="pct" w:w="20%"/>
            <w:tcMar>
              <w:top w:type="dxa" w:w="60"/>
              <w:left w:type="dxa" w:w="90"/>
              <w:bottom w:type="dxa" w:w="60"/>
              <w:right w:type="dxa" w:w="90"/>
            </w:tcMar>
          </w:tcPr>
          <w:p>
            <w:r>
              <w:rPr>
                <w:color w:val="0F1B14"/>
                <w:sz w:val="20"/>
                <w:szCs w:val="20"/>
              </w:rPr>
              <w:t xml:space="preserve">Rp 99,099,099.10</w:t>
            </w:r>
          </w:p>
        </w:tc>
      </w:tr>
      <w:tr>
        <w:tc>
          <w:tcPr>
            <w:tcW w:type="pct" w:w="17%"/>
            <w:shd w:fill="F1F6F2"/>
            <w:tcMar>
              <w:top w:type="dxa" w:w="60"/>
              <w:left w:type="dxa" w:w="90"/>
              <w:bottom w:type="dxa" w:w="60"/>
              <w:right w:type="dxa" w:w="90"/>
            </w:tcMar>
          </w:tcPr>
          <w:p>
            <w:r>
              <w:rPr>
                <w:color w:val="0F1B14"/>
                <w:sz w:val="20"/>
                <w:szCs w:val="20"/>
              </w:rPr>
              <w:t xml:space="preserve">burnRatePct</w:t>
            </w:r>
          </w:p>
        </w:tc>
        <w:tc>
          <w:tcPr>
            <w:tcW w:type="pct" w:w="33%"/>
            <w:shd w:fill="F1F6F2"/>
            <w:tcMar>
              <w:top w:type="dxa" w:w="60"/>
              <w:left w:type="dxa" w:w="90"/>
              <w:bottom w:type="dxa" w:w="60"/>
              <w:right w:type="dxa" w:w="90"/>
            </w:tcMar>
          </w:tcPr>
          <w:p>
            <w:r>
              <w:rPr>
                <w:color w:val="0F1B14"/>
                <w:sz w:val="20"/>
                <w:szCs w:val="20"/>
              </w:rPr>
              <w:t xml:space="preserve">Completion (actual vs planned mandays, max 100%)</w:t>
            </w:r>
          </w:p>
        </w:tc>
        <w:tc>
          <w:tcPr>
            <w:tcW w:type="pct" w:w="30%"/>
            <w:shd w:fill="F1F6F2"/>
            <w:tcMar>
              <w:top w:type="dxa" w:w="60"/>
              <w:left w:type="dxa" w:w="90"/>
              <w:bottom w:type="dxa" w:w="60"/>
              <w:right w:type="dxa" w:w="90"/>
            </w:tcMar>
          </w:tcPr>
          <w:p>
            <w:r>
              <w:rPr>
                <w:color w:val="0F1B14"/>
                <w:sz w:val="20"/>
                <w:szCs w:val="20"/>
              </w:rPr>
              <w:t xml:space="preserve">min(actualMandays / plannedMandays x 100, 100)</w:t>
            </w:r>
          </w:p>
        </w:tc>
        <w:tc>
          <w:tcPr>
            <w:tcW w:type="pct" w:w="20%"/>
            <w:shd w:fill="F1F6F2"/>
            <w:tcMar>
              <w:top w:type="dxa" w:w="60"/>
              <w:left w:type="dxa" w:w="90"/>
              <w:bottom w:type="dxa" w:w="60"/>
              <w:right w:type="dxa" w:w="90"/>
            </w:tcMar>
          </w:tcPr>
          <w:p>
            <w:r>
              <w:rPr>
                <w:color w:val="0F1B14"/>
                <w:sz w:val="20"/>
                <w:szCs w:val="20"/>
              </w:rPr>
              <w:t xml:space="preserve">60%</w:t>
            </w:r>
          </w:p>
        </w:tc>
      </w:tr>
      <w:tr>
        <w:tc>
          <w:tcPr>
            <w:tcW w:type="pct" w:w="17%"/>
            <w:tcMar>
              <w:top w:type="dxa" w:w="60"/>
              <w:left w:type="dxa" w:w="90"/>
              <w:bottom w:type="dxa" w:w="60"/>
              <w:right w:type="dxa" w:w="90"/>
            </w:tcMar>
          </w:tcPr>
          <w:p>
            <w:r>
              <w:rPr>
                <w:color w:val="0F1B14"/>
                <w:sz w:val="20"/>
                <w:szCs w:val="20"/>
              </w:rPr>
              <w:t xml:space="preserve">recognizedRevenue</w:t>
            </w:r>
          </w:p>
        </w:tc>
        <w:tc>
          <w:tcPr>
            <w:tcW w:type="pct" w:w="33%"/>
            <w:tcMar>
              <w:top w:type="dxa" w:w="60"/>
              <w:left w:type="dxa" w:w="90"/>
              <w:bottom w:type="dxa" w:w="60"/>
              <w:right w:type="dxa" w:w="90"/>
            </w:tcMar>
          </w:tcPr>
          <w:p>
            <w:r>
              <w:rPr>
                <w:color w:val="0F1B14"/>
                <w:sz w:val="20"/>
                <w:szCs w:val="20"/>
              </w:rPr>
              <w:t xml:space="preserve">Revenue recognized by progress (PSAK 72)</w:t>
            </w:r>
          </w:p>
        </w:tc>
        <w:tc>
          <w:tcPr>
            <w:tcW w:type="pct" w:w="30%"/>
            <w:tcMar>
              <w:top w:type="dxa" w:w="60"/>
              <w:left w:type="dxa" w:w="90"/>
              <w:bottom w:type="dxa" w:w="60"/>
              <w:right w:type="dxa" w:w="90"/>
            </w:tcMar>
          </w:tcPr>
          <w:p>
            <w:r>
              <w:rPr>
                <w:color w:val="0F1B14"/>
                <w:sz w:val="20"/>
                <w:szCs w:val="20"/>
              </w:rPr>
              <w:t xml:space="preserve">burnRatePct x DPP</w:t>
            </w:r>
          </w:p>
        </w:tc>
        <w:tc>
          <w:tcPr>
            <w:tcW w:type="pct" w:w="20%"/>
            <w:tcMar>
              <w:top w:type="dxa" w:w="60"/>
              <w:left w:type="dxa" w:w="90"/>
              <w:bottom w:type="dxa" w:w="60"/>
              <w:right w:type="dxa" w:w="90"/>
            </w:tcMar>
          </w:tcPr>
          <w:p>
            <w:r>
              <w:rPr>
                <w:color w:val="0F1B14"/>
                <w:sz w:val="20"/>
                <w:szCs w:val="20"/>
              </w:rPr>
              <w:t xml:space="preserve">Rp 540,540,540.54</w:t>
            </w:r>
          </w:p>
        </w:tc>
      </w:tr>
      <w:tr>
        <w:tc>
          <w:tcPr>
            <w:tcW w:type="pct" w:w="17%"/>
            <w:shd w:fill="F1F6F2"/>
            <w:tcMar>
              <w:top w:type="dxa" w:w="60"/>
              <w:left w:type="dxa" w:w="90"/>
              <w:bottom w:type="dxa" w:w="60"/>
              <w:right w:type="dxa" w:w="90"/>
            </w:tcMar>
          </w:tcPr>
          <w:p>
            <w:r>
              <w:rPr>
                <w:color w:val="0F1B14"/>
                <w:sz w:val="20"/>
                <w:szCs w:val="20"/>
              </w:rPr>
              <w:t xml:space="preserve">loadedResourceCost</w:t>
            </w:r>
          </w:p>
        </w:tc>
        <w:tc>
          <w:tcPr>
            <w:tcW w:type="pct" w:w="33%"/>
            <w:shd w:fill="F1F6F2"/>
            <w:tcMar>
              <w:top w:type="dxa" w:w="60"/>
              <w:left w:type="dxa" w:w="90"/>
              <w:bottom w:type="dxa" w:w="60"/>
              <w:right w:type="dxa" w:w="90"/>
            </w:tcMar>
          </w:tcPr>
          <w:p>
            <w:r>
              <w:rPr>
                <w:color w:val="0F1B14"/>
                <w:sz w:val="20"/>
                <w:szCs w:val="20"/>
              </w:rPr>
              <w:t xml:space="preserve">Labor cost after overhead loading</w:t>
            </w:r>
          </w:p>
        </w:tc>
        <w:tc>
          <w:tcPr>
            <w:tcW w:type="pct" w:w="30%"/>
            <w:shd w:fill="F1F6F2"/>
            <w:tcMar>
              <w:top w:type="dxa" w:w="60"/>
              <w:left w:type="dxa" w:w="90"/>
              <w:bottom w:type="dxa" w:w="60"/>
              <w:right w:type="dxa" w:w="90"/>
            </w:tcMar>
          </w:tcPr>
          <w:p>
            <w:r>
              <w:rPr>
                <w:color w:val="0F1B14"/>
                <w:sz w:val="20"/>
                <w:szCs w:val="20"/>
              </w:rPr>
              <w:t xml:space="preserve">resourceCost x overheadMultiplier</w:t>
            </w:r>
          </w:p>
        </w:tc>
        <w:tc>
          <w:tcPr>
            <w:tcW w:type="pct" w:w="20%"/>
            <w:shd w:fill="F1F6F2"/>
            <w:tcMar>
              <w:top w:type="dxa" w:w="60"/>
              <w:left w:type="dxa" w:w="90"/>
              <w:bottom w:type="dxa" w:w="60"/>
              <w:right w:type="dxa" w:w="90"/>
            </w:tcMar>
          </w:tcPr>
          <w:p>
            <w:r>
              <w:rPr>
                <w:color w:val="0F1B14"/>
                <w:sz w:val="20"/>
                <w:szCs w:val="20"/>
              </w:rPr>
              <w:t xml:space="preserve">Rp 143,000,000</w:t>
            </w:r>
          </w:p>
        </w:tc>
      </w:tr>
      <w:tr>
        <w:tc>
          <w:tcPr>
            <w:tcW w:type="pct" w:w="17%"/>
            <w:tcMar>
              <w:top w:type="dxa" w:w="60"/>
              <w:left w:type="dxa" w:w="90"/>
              <w:bottom w:type="dxa" w:w="60"/>
              <w:right w:type="dxa" w:w="90"/>
            </w:tcMar>
          </w:tcPr>
          <w:p>
            <w:r>
              <w:rPr>
                <w:color w:val="0F1B14"/>
                <w:sz w:val="20"/>
                <w:szCs w:val="20"/>
              </w:rPr>
              <w:t xml:space="preserve">netActualCost</w:t>
            </w:r>
          </w:p>
        </w:tc>
        <w:tc>
          <w:tcPr>
            <w:tcW w:type="pct" w:w="33%"/>
            <w:tcMar>
              <w:top w:type="dxa" w:w="60"/>
              <w:left w:type="dxa" w:w="90"/>
              <w:bottom w:type="dxa" w:w="60"/>
              <w:right w:type="dxa" w:w="90"/>
            </w:tcMar>
          </w:tcPr>
          <w:p>
            <w:r>
              <w:rPr>
                <w:color w:val="0F1B14"/>
                <w:sz w:val="20"/>
                <w:szCs w:val="20"/>
              </w:rPr>
              <w:t xml:space="preserve">Fully-loaded total cost (incl. overhead)</w:t>
            </w:r>
          </w:p>
        </w:tc>
        <w:tc>
          <w:tcPr>
            <w:tcW w:type="pct" w:w="30%"/>
            <w:tcMar>
              <w:top w:type="dxa" w:w="60"/>
              <w:left w:type="dxa" w:w="90"/>
              <w:bottom w:type="dxa" w:w="60"/>
              <w:right w:type="dxa" w:w="90"/>
            </w:tcMar>
          </w:tcPr>
          <w:p>
            <w:r>
              <w:rPr>
                <w:color w:val="0F1B14"/>
                <w:sz w:val="20"/>
                <w:szCs w:val="20"/>
              </w:rPr>
              <w:t xml:space="preserve">loadedResourceCost + additionalCost</w:t>
            </w:r>
          </w:p>
        </w:tc>
        <w:tc>
          <w:tcPr>
            <w:tcW w:type="pct" w:w="20%"/>
            <w:tcMar>
              <w:top w:type="dxa" w:w="60"/>
              <w:left w:type="dxa" w:w="90"/>
              <w:bottom w:type="dxa" w:w="60"/>
              <w:right w:type="dxa" w:w="90"/>
            </w:tcMar>
          </w:tcPr>
          <w:p>
            <w:r>
              <w:rPr>
                <w:color w:val="0F1B14"/>
                <w:sz w:val="20"/>
                <w:szCs w:val="20"/>
              </w:rPr>
              <w:t xml:space="preserve">Rp 163,000,000</w:t>
            </w:r>
          </w:p>
        </w:tc>
      </w:tr>
      <w:tr>
        <w:tc>
          <w:tcPr>
            <w:tcW w:type="pct" w:w="17%"/>
            <w:shd w:fill="F1F6F2"/>
            <w:tcMar>
              <w:top w:type="dxa" w:w="60"/>
              <w:left w:type="dxa" w:w="90"/>
              <w:bottom w:type="dxa" w:w="60"/>
              <w:right w:type="dxa" w:w="90"/>
            </w:tcMar>
          </w:tcPr>
          <w:p>
            <w:r>
              <w:rPr>
                <w:color w:val="0F1B14"/>
                <w:sz w:val="20"/>
                <w:szCs w:val="20"/>
              </w:rPr>
              <w:t xml:space="preserve">netActualProfit</w:t>
            </w:r>
          </w:p>
        </w:tc>
        <w:tc>
          <w:tcPr>
            <w:tcW w:type="pct" w:w="33%"/>
            <w:shd w:fill="F1F6F2"/>
            <w:tcMar>
              <w:top w:type="dxa" w:w="60"/>
              <w:left w:type="dxa" w:w="90"/>
              <w:bottom w:type="dxa" w:w="60"/>
              <w:right w:type="dxa" w:w="90"/>
            </w:tcMar>
          </w:tcPr>
          <w:p>
            <w:r>
              <w:rPr>
                <w:color w:val="0F1B14"/>
                <w:sz w:val="20"/>
                <w:szCs w:val="20"/>
              </w:rPr>
              <w:t xml:space="preserve">Fully-loaded net profit (vs DPP)</w:t>
            </w:r>
          </w:p>
        </w:tc>
        <w:tc>
          <w:tcPr>
            <w:tcW w:type="pct" w:w="30%"/>
            <w:shd w:fill="F1F6F2"/>
            <w:tcMar>
              <w:top w:type="dxa" w:w="60"/>
              <w:left w:type="dxa" w:w="90"/>
              <w:bottom w:type="dxa" w:w="60"/>
              <w:right w:type="dxa" w:w="90"/>
            </w:tcMar>
          </w:tcPr>
          <w:p>
            <w:r>
              <w:rPr>
                <w:color w:val="0F1B14"/>
                <w:sz w:val="20"/>
                <w:szCs w:val="20"/>
              </w:rPr>
              <w:t xml:space="preserve">revenueNet - netActualCost</w:t>
            </w:r>
          </w:p>
        </w:tc>
        <w:tc>
          <w:tcPr>
            <w:tcW w:type="pct" w:w="20%"/>
            <w:shd w:fill="F1F6F2"/>
            <w:tcMar>
              <w:top w:type="dxa" w:w="60"/>
              <w:left w:type="dxa" w:w="90"/>
              <w:bottom w:type="dxa" w:w="60"/>
              <w:right w:type="dxa" w:w="90"/>
            </w:tcMar>
          </w:tcPr>
          <w:p>
            <w:r>
              <w:rPr>
                <w:color w:val="0F1B14"/>
                <w:sz w:val="20"/>
                <w:szCs w:val="20"/>
              </w:rPr>
              <w:t xml:space="preserve">Rp 737,900,900.90</w:t>
            </w:r>
          </w:p>
        </w:tc>
      </w:tr>
      <w:tr>
        <w:tc>
          <w:tcPr>
            <w:tcW w:type="pct" w:w="17%"/>
            <w:tcMar>
              <w:top w:type="dxa" w:w="60"/>
              <w:left w:type="dxa" w:w="90"/>
              <w:bottom w:type="dxa" w:w="60"/>
              <w:right w:type="dxa" w:w="90"/>
            </w:tcMar>
          </w:tcPr>
          <w:p>
            <w:r>
              <w:rPr>
                <w:color w:val="0F1B14"/>
                <w:sz w:val="20"/>
                <w:szCs w:val="20"/>
              </w:rPr>
              <w:t xml:space="preserve">netMarginPct</w:t>
            </w:r>
          </w:p>
        </w:tc>
        <w:tc>
          <w:tcPr>
            <w:tcW w:type="pct" w:w="33%"/>
            <w:tcMar>
              <w:top w:type="dxa" w:w="60"/>
              <w:left w:type="dxa" w:w="90"/>
              <w:bottom w:type="dxa" w:w="60"/>
              <w:right w:type="dxa" w:w="90"/>
            </w:tcMar>
          </w:tcPr>
          <w:p>
            <w:r>
              <w:rPr>
                <w:color w:val="0F1B14"/>
                <w:sz w:val="20"/>
                <w:szCs w:val="20"/>
              </w:rPr>
              <w:t xml:space="preserve">Fully-loaded net margin (%)</w:t>
            </w:r>
          </w:p>
        </w:tc>
        <w:tc>
          <w:tcPr>
            <w:tcW w:type="pct" w:w="30%"/>
            <w:tcMar>
              <w:top w:type="dxa" w:w="60"/>
              <w:left w:type="dxa" w:w="90"/>
              <w:bottom w:type="dxa" w:w="60"/>
              <w:right w:type="dxa" w:w="90"/>
            </w:tcMar>
          </w:tcPr>
          <w:p>
            <w:r>
              <w:rPr>
                <w:color w:val="0F1B14"/>
                <w:sz w:val="20"/>
                <w:szCs w:val="20"/>
              </w:rPr>
              <w:t xml:space="preserve">netActualProfit / revenueNet x 100</w:t>
            </w:r>
          </w:p>
        </w:tc>
        <w:tc>
          <w:tcPr>
            <w:tcW w:type="pct" w:w="20%"/>
            <w:tcMar>
              <w:top w:type="dxa" w:w="60"/>
              <w:left w:type="dxa" w:w="90"/>
              <w:bottom w:type="dxa" w:w="60"/>
              <w:right w:type="dxa" w:w="90"/>
            </w:tcMar>
          </w:tcPr>
          <w:p>
            <w:r>
              <w:rPr>
                <w:color w:val="0F1B14"/>
                <w:sz w:val="20"/>
                <w:szCs w:val="20"/>
              </w:rPr>
              <w:t xml:space="preserve">81.9%</w:t>
            </w:r>
          </w:p>
        </w:tc>
      </w:tr>
    </w:tbl>
    <w:p>
      <w:pPr>
        <w:spacing w:after="120" w:line="276"/>
      </w:pPr>
      <w:r>
        <w:rPr>
          <w:b/>
          <w:bCs/>
          <w:sz w:val="22"/>
          <w:szCs w:val="22"/>
        </w:rPr>
        <w:t xml:space="preserve">Two kinds of margin: </w:t>
      </w:r>
      <w:r>
        <w:rPr>
          <w:b w:val="false"/>
          <w:bCs w:val="false"/>
          <w:sz w:val="22"/>
          <w:szCs w:val="22"/>
        </w:rPr>
        <w:t xml:space="preserve">marginPct (87.0%) is the quick view — gross contract value minus direct cost only. netMarginPct (81.9%) is the realistic view — net revenue (excluding VAT) minus overhead-loaded cost, so it is always lower and more honest for decision-making.</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Un-named</cp:lastModifiedBy>
  <cp:revision>1</cp:revision>
  <dcterms:created xsi:type="dcterms:W3CDTF">2026-07-23T10:05:42.110Z</dcterms:created>
  <dcterms:modified xsi:type="dcterms:W3CDTF">2026-07-23T10:05:42.111Z</dcterms:modified>
</cp:coreProperties>
</file>

<file path=docProps/custom.xml><?xml version="1.0" encoding="utf-8"?>
<Properties xmlns="http://schemas.openxmlformats.org/officeDocument/2006/custom-properties" xmlns:vt="http://schemas.openxmlformats.org/officeDocument/2006/docPropsVTypes"/>
</file>