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before="360" w:after="160"/>
      </w:pPr>
      <w:r>
        <w:rPr>
          <w:rFonts w:ascii="Calibri" w:hAnsi="Calibri"/>
          <w:b/>
          <w:color w:val="1F4E79"/>
          <w:sz w:val="44"/>
        </w:rPr>
        <w:t>Master Recommendation Clarification &amp; Go/No-Go Coverage Record</w:t>
      </w:r>
    </w:p>
    <w:p>
      <w:pPr>
        <w:spacing w:before="40" w:after="80" w:line="276" w:lineRule="auto"/>
      </w:pPr>
      <w:r>
        <w:rPr>
          <w:rFonts w:ascii="Calibri" w:hAnsi="Calibri"/>
          <w:b/>
          <w:color w:val="24292E"/>
          <w:sz w:val="22"/>
        </w:rPr>
        <w:t>Document Title</w:t>
      </w:r>
      <w:r>
        <w:rPr>
          <w:rFonts w:ascii="Calibri" w:hAnsi="Calibri"/>
          <w:color w:val="24292E"/>
          <w:sz w:val="22"/>
        </w:rPr>
        <w:t xml:space="preserve">: SecureProfit Hub (SPH) — 14 FSD Master Recommendation Clarification &amp; Technical Verification Record  </w:t>
      </w:r>
    </w:p>
    <w:p>
      <w:pPr>
        <w:spacing w:before="40" w:after="80" w:line="276" w:lineRule="auto"/>
      </w:pPr>
      <w:r>
        <w:rPr>
          <w:rFonts w:ascii="Calibri" w:hAnsi="Calibri"/>
          <w:b/>
          <w:color w:val="24292E"/>
          <w:sz w:val="22"/>
        </w:rPr>
        <w:t>Artifact ID</w:t>
      </w:r>
      <w:r>
        <w:rPr>
          <w:rFonts w:ascii="Calibri" w:hAnsi="Calibri"/>
          <w:color w:val="24292E"/>
          <w:sz w:val="22"/>
        </w:rPr>
        <w:t xml:space="preserve">: </w:t>
      </w:r>
      <w:r>
        <w:rPr>
          <w:rFonts w:ascii="Consolas" w:hAnsi="Consolas"/>
          <w:color w:val="032F62"/>
          <w:sz w:val="21"/>
        </w:rPr>
        <w:t>SPH-REC-CLARIF-01</w:t>
      </w:r>
      <w:r>
        <w:rPr>
          <w:rFonts w:ascii="Calibri" w:hAnsi="Calibri"/>
          <w:color w:val="24292E"/>
          <w:sz w:val="22"/>
        </w:rPr>
        <w:t xml:space="preserve">  </w:t>
      </w:r>
    </w:p>
    <w:p>
      <w:pPr>
        <w:spacing w:before="40" w:after="80" w:line="276" w:lineRule="auto"/>
      </w:pPr>
      <w:r>
        <w:rPr>
          <w:rFonts w:ascii="Calibri" w:hAnsi="Calibri"/>
          <w:b/>
          <w:color w:val="24292E"/>
          <w:sz w:val="22"/>
        </w:rPr>
        <w:t>Current Version</w:t>
      </w:r>
      <w:r>
        <w:rPr>
          <w:rFonts w:ascii="Calibri" w:hAnsi="Calibri"/>
          <w:color w:val="24292E"/>
          <w:sz w:val="22"/>
        </w:rPr>
        <w:t xml:space="preserve">: </w:t>
      </w:r>
      <w:r>
        <w:rPr>
          <w:rFonts w:ascii="Consolas" w:hAnsi="Consolas"/>
          <w:color w:val="032F62"/>
          <w:sz w:val="21"/>
        </w:rPr>
        <w:t>v1.02</w:t>
      </w:r>
      <w:r>
        <w:rPr>
          <w:rFonts w:ascii="Calibri" w:hAnsi="Calibri"/>
          <w:color w:val="24292E"/>
          <w:sz w:val="22"/>
        </w:rPr>
        <w:t xml:space="preserve"> (Technical Review &amp; Decision Baseline)  </w:t>
      </w:r>
    </w:p>
    <w:p>
      <w:pPr>
        <w:spacing w:before="40" w:after="80" w:line="276" w:lineRule="auto"/>
      </w:pPr>
      <w:r>
        <w:rPr>
          <w:rFonts w:ascii="Calibri" w:hAnsi="Calibri"/>
          <w:b/>
          <w:color w:val="24292E"/>
          <w:sz w:val="22"/>
        </w:rPr>
        <w:t>Status</w:t>
      </w:r>
      <w:r>
        <w:rPr>
          <w:rFonts w:ascii="Calibri" w:hAnsi="Calibri"/>
          <w:color w:val="24292E"/>
          <w:sz w:val="22"/>
        </w:rPr>
        <w:t xml:space="preserve">: </w:t>
      </w:r>
      <w:r>
        <w:rPr>
          <w:rFonts w:ascii="Consolas" w:hAnsi="Consolas"/>
          <w:color w:val="032F62"/>
          <w:sz w:val="21"/>
        </w:rPr>
        <w:t>Technical Review &amp; Decision Baseline — Reconciled with Verification Baseline aa3425a</w:t>
      </w:r>
      <w:r>
        <w:rPr>
          <w:rFonts w:ascii="Calibri" w:hAnsi="Calibri"/>
          <w:color w:val="24292E"/>
          <w:sz w:val="22"/>
        </w:rPr>
        <w:t xml:space="preserve">  </w:t>
      </w:r>
    </w:p>
    <w:p>
      <w:pPr>
        <w:spacing w:before="40" w:after="80" w:line="276" w:lineRule="auto"/>
      </w:pPr>
      <w:r>
        <w:rPr>
          <w:rFonts w:ascii="Calibri" w:hAnsi="Calibri"/>
          <w:b/>
          <w:color w:val="24292E"/>
          <w:sz w:val="22"/>
        </w:rPr>
        <w:t>Historical Referenced Source Baseline</w:t>
      </w:r>
      <w:r>
        <w:rPr>
          <w:rFonts w:ascii="Calibri" w:hAnsi="Calibri"/>
          <w:color w:val="24292E"/>
          <w:sz w:val="22"/>
        </w:rPr>
        <w:t xml:space="preserve">: Commit </w:t>
      </w:r>
      <w:r>
        <w:rPr>
          <w:rFonts w:ascii="Consolas" w:hAnsi="Consolas"/>
          <w:color w:val="032F62"/>
          <w:sz w:val="21"/>
        </w:rPr>
        <w:t>c7080af</w:t>
      </w:r>
      <w:r>
        <w:rPr>
          <w:rFonts w:ascii="Calibri" w:hAnsi="Calibri"/>
          <w:color w:val="24292E"/>
          <w:sz w:val="22"/>
        </w:rPr>
        <w:t xml:space="preserve"> (Historical reference where DEMO-12 Phase 1 was built)  </w:t>
      </w:r>
    </w:p>
    <w:p>
      <w:pPr>
        <w:spacing w:before="40" w:after="80" w:line="276" w:lineRule="auto"/>
      </w:pPr>
      <w:r>
        <w:rPr>
          <w:rFonts w:ascii="Calibri" w:hAnsi="Calibri"/>
          <w:b/>
          <w:color w:val="24292E"/>
          <w:sz w:val="22"/>
        </w:rPr>
        <w:t>Current Technical Verification Baseline</w:t>
      </w:r>
      <w:r>
        <w:rPr>
          <w:rFonts w:ascii="Calibri" w:hAnsi="Calibri"/>
          <w:color w:val="24292E"/>
          <w:sz w:val="22"/>
        </w:rPr>
        <w:t xml:space="preserve">: Commit </w:t>
      </w:r>
      <w:r>
        <w:rPr>
          <w:rFonts w:ascii="Consolas" w:hAnsi="Consolas"/>
          <w:color w:val="032F62"/>
          <w:sz w:val="21"/>
        </w:rPr>
        <w:t>aa3425a76bf66b40000d521fe071c87b463a006d</w:t>
      </w:r>
      <w:r>
        <w:rPr>
          <w:rFonts w:ascii="Calibri" w:hAnsi="Calibri"/>
          <w:color w:val="24292E"/>
          <w:sz w:val="22"/>
        </w:rPr>
        <w:t xml:space="preserve"> (HEAD of </w:t>
      </w:r>
      <w:r>
        <w:rPr>
          <w:rFonts w:ascii="Consolas" w:hAnsi="Consolas"/>
          <w:color w:val="032F62"/>
          <w:sz w:val="21"/>
        </w:rPr>
        <w:t>Knowledge repository (read-only)/SecureProfitHub/Source code - 20 Aug 2026</w:t>
      </w:r>
      <w:r>
        <w:rPr>
          <w:rFonts w:ascii="Calibri" w:hAnsi="Calibri"/>
          <w:color w:val="24292E"/>
          <w:sz w:val="22"/>
        </w:rPr>
        <w:t xml:space="preserve">)  </w:t>
      </w:r>
    </w:p>
    <w:p>
      <w:pPr>
        <w:spacing w:before="40" w:after="80" w:line="276" w:lineRule="auto"/>
      </w:pPr>
      <w:r>
        <w:rPr>
          <w:rFonts w:ascii="Calibri" w:hAnsi="Calibri"/>
          <w:b/>
          <w:color w:val="24292E"/>
          <w:sz w:val="22"/>
        </w:rPr>
        <w:t>Production Deployment / Schema Status</w:t>
      </w:r>
      <w:r>
        <w:rPr>
          <w:rFonts w:ascii="Calibri" w:hAnsi="Calibri"/>
          <w:color w:val="24292E"/>
          <w:sz w:val="22"/>
        </w:rPr>
        <w:t xml:space="preserve">: </w:t>
      </w:r>
      <w:r>
        <w:rPr>
          <w:rFonts w:ascii="Calibri" w:hAnsi="Calibri"/>
          <w:i/>
          <w:color w:val="24292E"/>
          <w:sz w:val="22"/>
        </w:rPr>
        <w:t>Not assessed in this technical review (local repository verification only)</w:t>
      </w:r>
      <w:r>
        <w:rPr>
          <w:rFonts w:ascii="Calibri" w:hAnsi="Calibri"/>
          <w:color w:val="24292E"/>
          <w:sz w:val="22"/>
        </w:rPr>
        <w:t xml:space="preserve">  </w:t>
      </w:r>
    </w:p>
    <w:p>
      <w:pPr>
        <w:spacing w:before="40" w:after="80" w:line="276" w:lineRule="auto"/>
      </w:pPr>
      <w:r>
        <w:rPr>
          <w:rFonts w:ascii="Calibri" w:hAnsi="Calibri"/>
          <w:b/>
          <w:color w:val="24292E"/>
          <w:sz w:val="22"/>
        </w:rPr>
        <w:t>Solution Architecture Reference</w:t>
      </w:r>
      <w:r>
        <w:rPr>
          <w:rFonts w:ascii="Calibri" w:hAnsi="Calibri"/>
          <w:color w:val="24292E"/>
          <w:sz w:val="22"/>
        </w:rPr>
        <w:t xml:space="preserve">: </w:t>
      </w:r>
      <w:r>
        <w:rPr>
          <w:rFonts w:ascii="Consolas" w:hAnsi="Consolas"/>
          <w:color w:val="032F62"/>
          <w:sz w:val="21"/>
        </w:rPr>
        <w:t>10-03_Explore-03_Solution_Design_Document_SDD_SPH_v1.01.md</w:t>
      </w:r>
      <w:r>
        <w:rPr>
          <w:rFonts w:ascii="Calibri" w:hAnsi="Calibri"/>
          <w:color w:val="24292E"/>
          <w:sz w:val="22"/>
        </w:rPr>
        <w:t xml:space="preserve">  </w:t>
      </w:r>
    </w:p>
    <w:p>
      <w:pPr>
        <w:spacing w:before="40" w:after="80" w:line="276" w:lineRule="auto"/>
      </w:pPr>
      <w:r>
        <w:rPr>
          <w:rFonts w:ascii="Calibri" w:hAnsi="Calibri"/>
          <w:b/>
          <w:color w:val="24292E"/>
          <w:sz w:val="22"/>
        </w:rPr>
        <w:t>Primary Master Audit</w:t>
      </w:r>
      <w:r>
        <w:rPr>
          <w:rFonts w:ascii="Calibri" w:hAnsi="Calibri"/>
          <w:color w:val="24292E"/>
          <w:sz w:val="22"/>
        </w:rPr>
        <w:t xml:space="preserve">: </w:t>
      </w:r>
      <w:r>
        <w:rPr>
          <w:rFonts w:ascii="Consolas" w:hAnsi="Consolas"/>
          <w:color w:val="032F62"/>
          <w:sz w:val="21"/>
        </w:rPr>
        <w:t>SecureProfit-Hub-Master-Recommendation-All-12-FSD-ID-2026-08.docx</w:t>
      </w:r>
      <w:r>
        <w:rPr>
          <w:rFonts w:ascii="Calibri" w:hAnsi="Calibri"/>
          <w:color w:val="24292E"/>
          <w:sz w:val="22"/>
        </w:rPr>
        <w:t xml:space="preserve"> (Version 2.0, 30 August 2026)  </w:t>
      </w:r>
    </w:p>
    <w:p>
      <w:pPr>
        <w:spacing w:before="40" w:after="80" w:line="276" w:lineRule="auto"/>
      </w:pPr>
      <w:r>
        <w:rPr>
          <w:rFonts w:ascii="Calibri" w:hAnsi="Calibri"/>
          <w:b/>
          <w:color w:val="24292E"/>
          <w:sz w:val="22"/>
        </w:rPr>
        <w:t>Author Review 1 Feedback</w:t>
      </w:r>
      <w:r>
        <w:rPr>
          <w:rFonts w:ascii="Calibri" w:hAnsi="Calibri"/>
          <w:color w:val="24292E"/>
          <w:sz w:val="22"/>
        </w:rPr>
        <w:t xml:space="preserve">: </w:t>
      </w:r>
      <w:r>
        <w:rPr>
          <w:rFonts w:ascii="Consolas" w:hAnsi="Consolas"/>
          <w:color w:val="032F62"/>
          <w:sz w:val="21"/>
        </w:rPr>
        <w:t>SPH-12-FSD-Required-Revisions-Response-ID.docx</w:t>
      </w:r>
      <w:r>
        <w:rPr>
          <w:rFonts w:ascii="Calibri" w:hAnsi="Calibri"/>
          <w:color w:val="24292E"/>
          <w:sz w:val="22"/>
        </w:rPr>
        <w:t xml:space="preserve"> (Dated 31 August 2026)  </w:t>
      </w:r>
    </w:p>
    <w:p>
      <w:pPr>
        <w:spacing w:before="40" w:after="80" w:line="276" w:lineRule="auto"/>
      </w:pPr>
      <w:r>
        <w:rPr>
          <w:rFonts w:ascii="Calibri" w:hAnsi="Calibri"/>
          <w:b/>
          <w:color w:val="24292E"/>
          <w:sz w:val="22"/>
        </w:rPr>
        <w:t>Author Review 2 Feedback</w:t>
      </w:r>
      <w:r>
        <w:rPr>
          <w:rFonts w:ascii="Calibri" w:hAnsi="Calibri"/>
          <w:color w:val="24292E"/>
          <w:sz w:val="22"/>
        </w:rPr>
        <w:t xml:space="preserve">: </w:t>
      </w:r>
      <w:r>
        <w:rPr>
          <w:rFonts w:ascii="Consolas" w:hAnsi="Consolas"/>
          <w:color w:val="032F62"/>
          <w:sz w:val="21"/>
        </w:rPr>
        <w:t>SPH-12-FSD-v0.06-Review-and-Remaining-Revisions-ID -2.docx</w:t>
      </w:r>
      <w:r>
        <w:rPr>
          <w:rFonts w:ascii="Calibri" w:hAnsi="Calibri"/>
          <w:color w:val="24292E"/>
          <w:sz w:val="22"/>
        </w:rPr>
        <w:t xml:space="preserve"> (Dated 1 September 2026)  </w:t>
      </w:r>
    </w:p>
    <w:p>
      <w:pPr>
        <w:spacing w:before="40" w:after="80" w:line="276" w:lineRule="auto"/>
      </w:pPr>
      <w:r>
        <w:rPr>
          <w:rFonts w:ascii="Calibri" w:hAnsi="Calibri"/>
          <w:b/>
          <w:color w:val="24292E"/>
          <w:sz w:val="22"/>
        </w:rPr>
        <w:t>Author Review 3 Feedback</w:t>
      </w:r>
      <w:r>
        <w:rPr>
          <w:rFonts w:ascii="Calibri" w:hAnsi="Calibri"/>
          <w:color w:val="24292E"/>
          <w:sz w:val="22"/>
        </w:rPr>
        <w:t xml:space="preserve">: </w:t>
      </w:r>
      <w:r>
        <w:rPr>
          <w:rFonts w:ascii="Consolas" w:hAnsi="Consolas"/>
          <w:color w:val="032F62"/>
          <w:sz w:val="21"/>
        </w:rPr>
        <w:t>SPH-12-FSD-v0.07-Final-Pre-Signoff-Review-ID.docx</w:t>
      </w:r>
      <w:r>
        <w:rPr>
          <w:rFonts w:ascii="Calibri" w:hAnsi="Calibri"/>
          <w:color w:val="24292E"/>
          <w:sz w:val="22"/>
        </w:rPr>
        <w:t xml:space="preserve"> (Dated 1 September 2026)  </w:t>
      </w:r>
    </w:p>
    <w:p>
      <w:pPr>
        <w:spacing w:before="40" w:after="80" w:line="276" w:lineRule="auto"/>
      </w:pPr>
      <w:r>
        <w:rPr>
          <w:rFonts w:ascii="Calibri" w:hAnsi="Calibri"/>
          <w:b/>
          <w:color w:val="24292E"/>
          <w:sz w:val="22"/>
        </w:rPr>
        <w:t>Author Review 4 Feedback</w:t>
      </w:r>
      <w:r>
        <w:rPr>
          <w:rFonts w:ascii="Calibri" w:hAnsi="Calibri"/>
          <w:color w:val="24292E"/>
          <w:sz w:val="22"/>
        </w:rPr>
        <w:t xml:space="preserve">: </w:t>
      </w:r>
      <w:r>
        <w:rPr>
          <w:rFonts w:ascii="Consolas" w:hAnsi="Consolas"/>
          <w:color w:val="032F62"/>
          <w:sz w:val="21"/>
        </w:rPr>
        <w:t>SPH-12-FSD-v0.08-Review-and-Required-Revisions-ID.docx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Review 5 Feedback</w:t>
      </w:r>
      <w:r>
        <w:rPr>
          <w:rFonts w:ascii="Calibri" w:hAnsi="Calibri"/>
          <w:color w:val="24292E"/>
          <w:sz w:val="22"/>
        </w:rPr>
        <w:t xml:space="preserve">: </w:t>
      </w:r>
      <w:r>
        <w:rPr>
          <w:rFonts w:ascii="Consolas" w:hAnsi="Consolas"/>
          <w:color w:val="032F62"/>
          <w:sz w:val="21"/>
        </w:rPr>
        <w:t>SPH-12-FSD-v0.09-Final-Review-and-Minor-Revisions-ID.docx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Review 6 Feedback</w:t>
      </w:r>
      <w:r>
        <w:rPr>
          <w:rFonts w:ascii="Calibri" w:hAnsi="Calibri"/>
          <w:color w:val="24292E"/>
          <w:sz w:val="22"/>
        </w:rPr>
        <w:t xml:space="preserve">: </w:t>
      </w:r>
      <w:r>
        <w:rPr>
          <w:rFonts w:ascii="Consolas" w:hAnsi="Consolas"/>
          <w:color w:val="032F62"/>
          <w:sz w:val="21"/>
        </w:rPr>
        <w:t>SPH-12-FSD-v0.10-Final-Acceptance-and-Minor-Edits-ID.docx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Final Sign-Off (12 FSD)</w:t>
      </w:r>
      <w:r>
        <w:rPr>
          <w:rFonts w:ascii="Calibri" w:hAnsi="Calibri"/>
          <w:color w:val="24292E"/>
          <w:sz w:val="22"/>
        </w:rPr>
        <w:t xml:space="preserve">: </w:t>
      </w:r>
      <w:r>
        <w:rPr>
          <w:rFonts w:ascii="Consolas" w:hAnsi="Consolas"/>
          <w:color w:val="032F62"/>
          <w:sz w:val="21"/>
        </w:rPr>
        <w:t>SPH-12-FSD-v0.11-Final-Approval-for-Stakeholder-Sign-Off-ID (1).docx</w:t>
      </w:r>
      <w:r>
        <w:rPr>
          <w:rFonts w:ascii="Calibri" w:hAnsi="Calibri"/>
          <w:color w:val="24292E"/>
          <w:sz w:val="22"/>
        </w:rPr>
        <w:t xml:space="preserve"> (Dated 2 September 2026)  </w:t>
      </w:r>
    </w:p>
    <w:p>
      <w:pPr>
        <w:spacing w:before="40" w:after="80" w:line="276" w:lineRule="auto"/>
      </w:pPr>
      <w:r>
        <w:rPr>
          <w:rFonts w:ascii="Calibri" w:hAnsi="Calibri"/>
          <w:b/>
          <w:color w:val="24292E"/>
          <w:sz w:val="22"/>
        </w:rPr>
        <w:t>Author Review 7 Feedback (DEMO-13 &amp; 14)</w:t>
      </w:r>
      <w:r>
        <w:rPr>
          <w:rFonts w:ascii="Calibri" w:hAnsi="Calibri"/>
          <w:color w:val="24292E"/>
          <w:sz w:val="22"/>
        </w:rPr>
        <w:t xml:space="preserve">: </w:t>
      </w:r>
      <w:r>
        <w:rPr>
          <w:rFonts w:ascii="Consolas" w:hAnsi="Consolas"/>
          <w:color w:val="032F62"/>
          <w:sz w:val="21"/>
        </w:rPr>
        <w:t>SPH-DEMO-13-14-Baseline-Rekomendasi-dan-Klarifikasi-ID.docx</w:t>
      </w:r>
      <w:r>
        <w:rPr>
          <w:rFonts w:ascii="Calibri" w:hAnsi="Calibri"/>
          <w:color w:val="24292E"/>
          <w:sz w:val="22"/>
        </w:rPr>
        <w:t xml:space="preserve"> (Dated 3 September 2026)  </w:t>
      </w:r>
    </w:p>
    <w:p>
      <w:pPr>
        <w:spacing w:before="40" w:after="80" w:line="276" w:lineRule="auto"/>
      </w:pPr>
      <w:r>
        <w:rPr>
          <w:rFonts w:ascii="Calibri" w:hAnsi="Calibri"/>
          <w:b/>
          <w:color w:val="24292E"/>
          <w:sz w:val="22"/>
        </w:rPr>
        <w:t>Author Review 8 Feedback (14 FSD Final Technical Review)</w:t>
      </w:r>
      <w:r>
        <w:rPr>
          <w:rFonts w:ascii="Calibri" w:hAnsi="Calibri"/>
          <w:color w:val="24292E"/>
          <w:sz w:val="22"/>
        </w:rPr>
        <w:t xml:space="preserve">: </w:t>
      </w:r>
      <w:r>
        <w:rPr>
          <w:rFonts w:ascii="Consolas" w:hAnsi="Consolas"/>
          <w:color w:val="032F62"/>
          <w:sz w:val="21"/>
        </w:rPr>
        <w:t>SPH-14-FSD-v1.01-Final-Technical-Review-and-Required-Revisions-ID.docx</w:t>
      </w:r>
      <w:r>
        <w:rPr>
          <w:rFonts w:ascii="Calibri" w:hAnsi="Calibri"/>
          <w:color w:val="24292E"/>
          <w:sz w:val="22"/>
        </w:rPr>
        <w:t xml:space="preserve"> (Dated 3 September 2026)  </w:t>
      </w:r>
    </w:p>
    <w:p>
      <w:pPr>
        <w:spacing w:before="40" w:after="80" w:line="276" w:lineRule="auto"/>
      </w:pPr>
      <w:r>
        <w:rPr>
          <w:rFonts w:ascii="Calibri" w:hAnsi="Calibri"/>
          <w:b/>
          <w:color w:val="24292E"/>
          <w:sz w:val="22"/>
        </w:rPr>
        <w:t>Target Working Artifacts Location</w:t>
      </w:r>
      <w:r>
        <w:rPr>
          <w:rFonts w:ascii="Calibri" w:hAnsi="Calibri"/>
          <w:color w:val="24292E"/>
          <w:sz w:val="22"/>
        </w:rPr>
        <w:t xml:space="preserve">: </w:t>
      </w:r>
      <w:r>
        <w:rPr>
          <w:rFonts w:ascii="Consolas" w:hAnsi="Consolas"/>
          <w:color w:val="032F62"/>
          <w:sz w:val="21"/>
        </w:rPr>
        <w:t>SAP Activate artifacts/Activate - SPH/10_Working Artifacts/</w:t>
      </w:r>
      <w:r>
        <w:rPr>
          <w:rFonts w:ascii="Calibri" w:hAnsi="Calibri"/>
          <w:color w:val="24292E"/>
          <w:sz w:val="22"/>
        </w:rPr>
        <w:t xml:space="preserve">  </w:t>
      </w:r>
    </w:p>
    <w:p>
      <w:pPr>
        <w:spacing w:before="40" w:after="80" w:line="276" w:lineRule="auto"/>
      </w:pPr>
      <w:r>
        <w:rPr>
          <w:rFonts w:ascii="Calibri" w:hAnsi="Calibri"/>
          <w:b/>
          <w:color w:val="24292E"/>
          <w:sz w:val="22"/>
        </w:rPr>
        <w:t>Date</w:t>
      </w:r>
      <w:r>
        <w:rPr>
          <w:rFonts w:ascii="Calibri" w:hAnsi="Calibri"/>
          <w:color w:val="24292E"/>
          <w:sz w:val="22"/>
        </w:rPr>
        <w:t xml:space="preserve">: 3 September 2026  </w:t>
      </w:r>
    </w:p>
    <w:p>
      <w:pPr>
        <w:spacing w:before="120" w:after="120"/>
        <w:pBdr>
          <w:bottom w:val="single" w:sz="6" w:space="1" w:color="E1E4E8"/>
        </w:pBdr>
      </w:pPr>
    </w:p>
    <w:p>
      <w:pPr>
        <w:keepNext/>
        <w:spacing w:before="280" w:after="120"/>
      </w:pPr>
      <w:r>
        <w:rPr>
          <w:rFonts w:ascii="Calibri" w:hAnsi="Calibri"/>
          <w:b/>
          <w:color w:val="2E75B6"/>
          <w:sz w:val="32"/>
        </w:rPr>
        <w:t>📜 Document Control &amp; Revision History</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spacing w:before="40" w:after="40"/>
            </w:pPr>
            <w:r>
              <w:rPr>
                <w:rFonts w:ascii="Calibri" w:hAnsi="Calibri"/>
                <w:b/>
                <w:color w:val="FFFFFF"/>
                <w:sz w:val="20"/>
              </w:rPr>
              <w:t>Version</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Release Date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Author / Role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Summary of Changes / Evolution &amp; Source Reference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Status</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Initial synthesis of all 21 Open Clarification Questions from Section 16 of the Master Rec document with Bahasa Indonesia source, English translations, simplest-term summaries, best-practice resolutions, and Go/No-Go coverage matrix. </w:t>
            </w:r>
            <w:r>
              <w:rPr>
                <w:rFonts w:ascii="Calibri" w:hAnsi="Calibri"/>
                <w:i/>
                <w:color w:val="24292E"/>
                <w:sz w:val="19"/>
              </w:rPr>
              <w:t>(Source: Master Rec Document v2.0)</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`v0.02`</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Deep architectural expansion adding Prisma DDL models, Express API contracts, HTTP error codes, KaTeX mathematical formulas (PPN 11%, Gross Margin %, NRR, EVM), and Separation of Duties (SoD) rules. </w:t>
            </w:r>
            <w:r>
              <w:rPr>
                <w:rFonts w:ascii="Calibri" w:hAnsi="Calibri"/>
                <w:i/>
                <w:color w:val="24292E"/>
                <w:sz w:val="19"/>
              </w:rPr>
              <w:t>(Source: Codebase c7080af Audit)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`v0.03`</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Introduced dedicated, prominent </w:t>
            </w:r>
            <w:r>
              <w:rPr>
                <w:rFonts w:ascii="Calibri" w:hAnsi="Calibri"/>
                <w:b/>
                <w:color w:val="24292E"/>
                <w:sz w:val="19"/>
              </w:rPr>
              <w:t>"Proposed Decision &amp; Business Rationale"</w:t>
            </w:r>
            <w:r>
              <w:rPr>
                <w:rFonts w:ascii="Calibri" w:hAnsi="Calibri"/>
                <w:color w:val="24292E"/>
                <w:sz w:val="19"/>
              </w:rPr>
              <w:t xml:space="preserve"> blocks (Decisions 1.1 to 9.1) with narrative plain-English descriptions preceding all technical specifications. </w:t>
            </w:r>
            <w:r>
              <w:rPr>
                <w:rFonts w:ascii="Calibri" w:hAnsi="Calibri"/>
                <w:i/>
                <w:color w:val="24292E"/>
                <w:sz w:val="19"/>
              </w:rPr>
              <w:t>(Source: Stakeholder Design Directives)</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`v0.04`</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Explicitly designated all technical sections as </w:t>
            </w:r>
            <w:r>
              <w:rPr>
                <w:rFonts w:ascii="Calibri" w:hAnsi="Calibri"/>
                <w:b/>
                <w:color w:val="24292E"/>
                <w:sz w:val="19"/>
              </w:rPr>
              <w:t>`(Optional / Reference Example)`</w:t>
            </w:r>
            <w:r>
              <w:rPr>
                <w:rFonts w:ascii="Calibri" w:hAnsi="Calibri"/>
                <w:color w:val="24292E"/>
                <w:sz w:val="19"/>
              </w:rPr>
              <w:t xml:space="preserve">, clarifying that code snippets and schemas are illustrative reference patterns for the author/implementer. </w:t>
            </w:r>
            <w:r>
              <w:rPr>
                <w:rFonts w:ascii="Calibri" w:hAnsi="Calibri"/>
                <w:i/>
                <w:color w:val="24292E"/>
                <w:sz w:val="19"/>
              </w:rPr>
              <w:t>(Source: Stakeholder Alignment)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`v0.05`</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31 Aug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Integrated dedicated </w:t>
            </w:r>
            <w:r>
              <w:rPr>
                <w:rFonts w:ascii="Calibri" w:hAnsi="Calibri"/>
                <w:b/>
                <w:color w:val="24292E"/>
                <w:sz w:val="19"/>
              </w:rPr>
              <w:t>`Operational Ambiguity &amp; Resolved Edge Case`</w:t>
            </w:r>
            <w:r>
              <w:rPr>
                <w:rFonts w:ascii="Calibri" w:hAnsi="Calibri"/>
                <w:color w:val="24292E"/>
                <w:sz w:val="19"/>
              </w:rPr>
              <w:t xml:space="preserve"> blocks across all 21 items. </w:t>
            </w:r>
            <w:r>
              <w:rPr>
                <w:rFonts w:ascii="Calibri" w:hAnsi="Calibri"/>
                <w:i/>
                <w:color w:val="24292E"/>
                <w:sz w:val="19"/>
              </w:rPr>
              <w:t>(Source: Operational Risk Audit)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Decision Baseline Candidate incorporating 14 major revisions: status split, DEMO-12 Phase 1 vs Phase 2 split, dual PMO/Finance approvals, invoice financial states, actual roles, primary sector, join otherDetail, normalized secondary BU, Pipedrive mapping, configurable VAT snapshot. </w:t>
            </w:r>
            <w:r>
              <w:rPr>
                <w:rFonts w:ascii="Calibri" w:hAnsi="Calibri"/>
                <w:i/>
                <w:color w:val="24292E"/>
                <w:sz w:val="19"/>
              </w:rPr>
              <w:t>(Source: Author Review 1)</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`v0.07`</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Pre-Signoff Candidate: status harmonization (</w:t>
            </w:r>
            <w:r>
              <w:rPr>
                <w:rFonts w:ascii="Consolas" w:hAnsi="Consolas"/>
                <w:color w:val="032F62"/>
                <w:sz w:val="18"/>
              </w:rPr>
              <w:t>PROPOSED</w:t>
            </w:r>
            <w:r>
              <w:rPr>
                <w:rFonts w:ascii="Calibri" w:hAnsi="Calibri"/>
                <w:color w:val="24292E"/>
                <w:sz w:val="19"/>
              </w:rPr>
              <w:t>/</w:t>
            </w:r>
            <w:r>
              <w:rPr>
                <w:rFonts w:ascii="Consolas" w:hAnsi="Consolas"/>
                <w:color w:val="032F62"/>
                <w:sz w:val="18"/>
              </w:rPr>
              <w:t>PENDING APPROVAL</w:t>
            </w:r>
            <w:r>
              <w:rPr>
                <w:rFonts w:ascii="Calibri" w:hAnsi="Calibri"/>
                <w:color w:val="24292E"/>
                <w:sz w:val="19"/>
              </w:rPr>
              <w:t xml:space="preserve">), FSD Traceability Matrix (DEMO-01 to 12), dedicated DEMO-11 section, partial unique index for primary sector, dual-status state machine, connectionKey for Pipedrive, portable relative paths. </w:t>
            </w:r>
            <w:r>
              <w:rPr>
                <w:rFonts w:ascii="Calibri" w:hAnsi="Calibri"/>
                <w:i/>
                <w:color w:val="24292E"/>
                <w:sz w:val="19"/>
              </w:rPr>
              <w:t>(Source: Author Review 2)</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`v0.08`</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1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Applied 4 mandatory corrections: same-tx lead creation, aligned inactive sector logic, baseline partial index, and granular DEMO-07/11 traceability. </w:t>
            </w:r>
            <w:r>
              <w:rPr>
                <w:rFonts w:ascii="Calibri" w:hAnsi="Calibri"/>
                <w:i/>
                <w:color w:val="24292E"/>
                <w:sz w:val="19"/>
              </w:rPr>
              <w:t>(Source: Author Review 3)</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`v0.09`</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Applied 7 corrections: inactive sector diff logic on replacement PUT, non-destructive target extension, exactly-one invariant architecture, realistic lead numbering wording, v1.00 governance definition. </w:t>
            </w:r>
            <w:r>
              <w:rPr>
                <w:rFonts w:ascii="Calibri" w:hAnsi="Calibri"/>
                <w:i/>
                <w:color w:val="24292E"/>
                <w:sz w:val="19"/>
              </w:rPr>
              <w:t>(Source: Author Review 4)</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`v0.10`</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Applied final technical adjustments: discriminated union for DEMO-11, verbatim TypeScript template syntax, relabeled c7080af source baseline model heading, corrected matrix references, decimal serialization policy. </w:t>
            </w:r>
            <w:r>
              <w:rPr>
                <w:rFonts w:ascii="Calibri" w:hAnsi="Calibri"/>
                <w:i/>
                <w:color w:val="24292E"/>
                <w:sz w:val="19"/>
              </w:rPr>
              <w:t>(Source: Author Review 5)</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`v0.11`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Applied 3 minor edits: preserved idempotent retry ordering for Change Requests, exact source baseline model comment, and precise DEMO-01 acceptance criteria wording. </w:t>
            </w:r>
            <w:r>
              <w:rPr>
                <w:rFonts w:ascii="Calibri" w:hAnsi="Calibri"/>
                <w:i/>
                <w:color w:val="24292E"/>
                <w:sz w:val="19"/>
              </w:rPr>
              <w:t>(Source: Author Review 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`v1.00`</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2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 / Stakeholders</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[OFFICIAL BASELINE PROMOTION]</w:t>
            </w:r>
            <w:r>
              <w:rPr>
                <w:rFonts w:ascii="Calibri" w:hAnsi="Calibri"/>
                <w:color w:val="24292E"/>
                <w:sz w:val="19"/>
              </w:rPr>
              <w:t xml:space="preserve"> </w:t>
            </w:r>
            <w:r>
              <w:rPr>
                <w:rFonts w:ascii="Calibri" w:hAnsi="Calibri"/>
                <w:b/>
                <w:color w:val="24292E"/>
                <w:sz w:val="19"/>
              </w:rPr>
              <w:t>Approved Decision Baseline</w:t>
            </w:r>
            <w:r>
              <w:rPr>
                <w:rFonts w:ascii="Calibri" w:hAnsi="Calibri"/>
                <w:color w:val="24292E"/>
                <w:sz w:val="19"/>
              </w:rPr>
              <w:t>: Formally promoted following unconditional author approval (</w:t>
            </w:r>
            <w:r>
              <w:rPr>
                <w:rFonts w:ascii="Consolas" w:hAnsi="Consolas"/>
                <w:color w:val="032F62"/>
                <w:sz w:val="18"/>
              </w:rPr>
              <w:t>SPH-12-FSD-v0.11-Final-Approval-for-Stakeholder-Sign-Off-ID (1).docx</w:t>
            </w:r>
            <w:r>
              <w:rPr>
                <w:rFonts w:ascii="Calibri" w:hAnsi="Calibri"/>
                <w:color w:val="24292E"/>
                <w:sz w:val="19"/>
              </w:rPr>
              <w:t xml:space="preserve">). All 21 architectural decisions, schema models, invariant rules, and the 12 FSD Traceability Matrix locked for Explore Phase delivery cascading. </w:t>
            </w:r>
            <w:r>
              <w:rPr>
                <w:rFonts w:ascii="Calibri" w:hAnsi="Calibri"/>
                <w:i/>
                <w:color w:val="24292E"/>
                <w:sz w:val="19"/>
              </w:rPr>
              <w:t>(Source: Final Author &amp; Stakeholder Sign-Off)</w:t>
            </w:r>
          </w:p>
        </w:tc>
        <w:tc>
          <w:tcPr>
            <w:tcW w:type="dxa" w:w="1872"/>
            <w:shd w:fill="F8F9FA"/>
            <w:tcMar>
              <w:top w:w="100" w:type="dxa"/>
              <w:bottom w:w="100" w:type="dxa"/>
              <w:left w:w="150" w:type="dxa"/>
              <w:right w:w="150" w:type="dxa"/>
            </w:tcMar>
          </w:tcPr>
          <w:p>
            <w:pPr>
              <w:spacing w:before="40" w:after="40"/>
            </w:pPr>
            <w:r>
              <w:rPr>
                <w:rFonts w:ascii="Calibri" w:hAnsi="Calibri"/>
                <w:b/>
                <w:color w:val="24292E"/>
                <w:sz w:val="19"/>
              </w:rPr>
              <w:t>APPROVED BASELINE</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`v1.01`</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3 Sep 2026</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[14-FSD BASELINE EXTENSION]</w:t>
            </w:r>
            <w:r>
              <w:rPr>
                <w:rFonts w:ascii="Calibri" w:hAnsi="Calibri"/>
                <w:color w:val="24292E"/>
                <w:sz w:val="19"/>
              </w:rPr>
              <w:t xml:space="preserve"> </w:t>
            </w:r>
            <w:r>
              <w:rPr>
                <w:rFonts w:ascii="Calibri" w:hAnsi="Calibri"/>
                <w:b/>
                <w:color w:val="24292E"/>
                <w:sz w:val="19"/>
              </w:rPr>
              <w:t>Approved 14-FSD Decision Baseline</w:t>
            </w:r>
            <w:r>
              <w:rPr>
                <w:rFonts w:ascii="Calibri" w:hAnsi="Calibri"/>
                <w:color w:val="24292E"/>
                <w:sz w:val="19"/>
              </w:rPr>
              <w:t xml:space="preserve">: Incorporated DEMO-13 (Decisions 13.1–13.7: RevRec Dual-Timeline, Performance Obligation Triggers, Immutable Reversal-Based Entries, Controlled Legacy Backfill, Reviewed Xero CSV Export) and DEMO-14 (Decisions 14.1–14.7: Single Shared Activation Evaluator, Effective-State Validation, Approved Commercial Snapshot, Explicit ProjectKind Matrix, Canonical Primary BU, Atomic Activation). Expanded FSD Traceability Matrix from 12 to 14 FSDs. </w:t>
            </w:r>
            <w:r>
              <w:rPr>
                <w:rFonts w:ascii="Calibri" w:hAnsi="Calibri"/>
                <w:i/>
                <w:color w:val="24292E"/>
                <w:sz w:val="19"/>
              </w:rPr>
              <w:t>(Source: SPH-DEMO-13-14-Baseline-Rekomendasi-dan-Klarifikasi-ID.docx)</w:t>
            </w: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Superseded</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`v1.02`</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3 Sep 2026</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Enterprise Solution Architect</w:t>
            </w: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 xml:space="preserve">🛠️ </w:t>
            </w:r>
            <w:r>
              <w:rPr>
                <w:rFonts w:ascii="Calibri" w:hAnsi="Calibri"/>
                <w:b/>
                <w:color w:val="24292E"/>
                <w:sz w:val="19"/>
              </w:rPr>
              <w:t>[TECHNICAL REVIEW &amp; VERIFICATION RECONCILIATION]</w:t>
            </w:r>
            <w:r>
              <w:rPr>
                <w:rFonts w:ascii="Calibri" w:hAnsi="Calibri"/>
                <w:color w:val="24292E"/>
                <w:sz w:val="19"/>
              </w:rPr>
              <w:t xml:space="preserve"> </w:t>
            </w:r>
            <w:r>
              <w:rPr>
                <w:rFonts w:ascii="Calibri" w:hAnsi="Calibri"/>
                <w:b/>
                <w:color w:val="24292E"/>
                <w:sz w:val="19"/>
              </w:rPr>
              <w:t>Technical Baseline Alignment</w:t>
            </w:r>
            <w:r>
              <w:rPr>
                <w:rFonts w:ascii="Calibri" w:hAnsi="Calibri"/>
                <w:color w:val="24292E"/>
                <w:sz w:val="19"/>
              </w:rPr>
              <w:t xml:space="preserve">: Applied 11 mandatory technical review revisions from </w:t>
            </w:r>
            <w:r>
              <w:rPr>
                <w:rFonts w:ascii="Consolas" w:hAnsi="Consolas"/>
                <w:color w:val="032F62"/>
                <w:sz w:val="18"/>
              </w:rPr>
              <w:t>SPH-14-FSD-v1.01</w:t>
            </w:r>
            <w:r>
              <w:rPr>
                <w:rFonts w:ascii="Calibri" w:hAnsi="Calibri"/>
                <w:color w:val="24292E"/>
                <w:sz w:val="19"/>
              </w:rPr>
              <w:t xml:space="preserve">: (1) Reconciled verification baseline to HEAD commit </w:t>
            </w:r>
            <w:r>
              <w:rPr>
                <w:rFonts w:ascii="Consolas" w:hAnsi="Consolas"/>
                <w:color w:val="032F62"/>
                <w:sz w:val="18"/>
              </w:rPr>
              <w:t>aa3425a</w:t>
            </w:r>
            <w:r>
              <w:rPr>
                <w:rFonts w:ascii="Calibri" w:hAnsi="Calibri"/>
                <w:color w:val="24292E"/>
                <w:sz w:val="19"/>
              </w:rPr>
              <w:t xml:space="preserve"> while preserving historical </w:t>
            </w:r>
            <w:r>
              <w:rPr>
                <w:rFonts w:ascii="Consolas" w:hAnsi="Consolas"/>
                <w:color w:val="032F62"/>
                <w:sz w:val="18"/>
              </w:rPr>
              <w:t>c7080af</w:t>
            </w:r>
            <w:r>
              <w:rPr>
                <w:rFonts w:ascii="Calibri" w:hAnsi="Calibri"/>
                <w:color w:val="24292E"/>
                <w:sz w:val="19"/>
              </w:rPr>
              <w:t xml:space="preserve"> context; (2) Unified decision count to 30 decisions across 12 categories; (3) Resolved DEMO-08 to canonical stages (</w:t>
            </w:r>
            <w:r>
              <w:rPr>
                <w:rFonts w:ascii="Consolas" w:hAnsi="Consolas"/>
                <w:color w:val="032F62"/>
                <w:sz w:val="18"/>
              </w:rPr>
              <w:t>NEW 20%</w:t>
            </w:r>
            <w:r>
              <w:rPr>
                <w:rFonts w:ascii="Calibri" w:hAnsi="Calibri"/>
                <w:color w:val="24292E"/>
                <w:sz w:val="19"/>
              </w:rPr>
              <w:t xml:space="preserve">, </w:t>
            </w:r>
            <w:r>
              <w:rPr>
                <w:rFonts w:ascii="Consolas" w:hAnsi="Consolas"/>
                <w:color w:val="032F62"/>
                <w:sz w:val="18"/>
              </w:rPr>
              <w:t>QUALIFIED 40%</w:t>
            </w:r>
            <w:r>
              <w:rPr>
                <w:rFonts w:ascii="Calibri" w:hAnsi="Calibri"/>
                <w:color w:val="24292E"/>
                <w:sz w:val="19"/>
              </w:rPr>
              <w:t xml:space="preserve">, </w:t>
            </w:r>
            <w:r>
              <w:rPr>
                <w:rFonts w:ascii="Consolas" w:hAnsi="Consolas"/>
                <w:color w:val="032F62"/>
                <w:sz w:val="18"/>
              </w:rPr>
              <w:t>PROPOSAL 60%</w:t>
            </w:r>
            <w:r>
              <w:rPr>
                <w:rFonts w:ascii="Calibri" w:hAnsi="Calibri"/>
                <w:color w:val="24292E"/>
                <w:sz w:val="19"/>
              </w:rPr>
              <w:t xml:space="preserve">, </w:t>
            </w:r>
            <w:r>
              <w:rPr>
                <w:rFonts w:ascii="Consolas" w:hAnsi="Consolas"/>
                <w:color w:val="032F62"/>
                <w:sz w:val="18"/>
              </w:rPr>
              <w:t>NEGOTIATION 80%</w:t>
            </w:r>
            <w:r>
              <w:rPr>
                <w:rFonts w:ascii="Calibri" w:hAnsi="Calibri"/>
                <w:color w:val="24292E"/>
                <w:sz w:val="19"/>
              </w:rPr>
              <w:t xml:space="preserve">, </w:t>
            </w:r>
            <w:r>
              <w:rPr>
                <w:rFonts w:ascii="Consolas" w:hAnsi="Consolas"/>
                <w:color w:val="032F62"/>
                <w:sz w:val="18"/>
              </w:rPr>
              <w:t>WON 100%</w:t>
            </w:r>
            <w:r>
              <w:rPr>
                <w:rFonts w:ascii="Calibri" w:hAnsi="Calibri"/>
                <w:color w:val="24292E"/>
                <w:sz w:val="19"/>
              </w:rPr>
              <w:t xml:space="preserve">, </w:t>
            </w:r>
            <w:r>
              <w:rPr>
                <w:rFonts w:ascii="Consolas" w:hAnsi="Consolas"/>
                <w:color w:val="032F62"/>
                <w:sz w:val="18"/>
              </w:rPr>
              <w:t>LOST 0%</w:t>
            </w:r>
            <w:r>
              <w:rPr>
                <w:rFonts w:ascii="Calibri" w:hAnsi="Calibri"/>
                <w:color w:val="24292E"/>
                <w:sz w:val="19"/>
              </w:rPr>
              <w:t xml:space="preserve">) and marked requirement conflict open; (4) Standardized DEMO-12 method to </w:t>
            </w:r>
            <w:r>
              <w:rPr>
                <w:rFonts w:ascii="Consolas" w:hAnsi="Consolas"/>
                <w:color w:val="032F62"/>
                <w:sz w:val="18"/>
              </w:rPr>
              <w:t>PATCH /api/projects/:id</w:t>
            </w:r>
            <w:r>
              <w:rPr>
                <w:rFonts w:ascii="Calibri" w:hAnsi="Calibri"/>
                <w:color w:val="24292E"/>
                <w:sz w:val="19"/>
              </w:rPr>
              <w:t xml:space="preserve">; (5) Updated DEMO-13 status to </w:t>
            </w:r>
            <w:r>
              <w:rPr>
                <w:rFonts w:ascii="Consolas" w:hAnsi="Consolas"/>
                <w:color w:val="032F62"/>
                <w:sz w:val="18"/>
              </w:rPr>
              <w:t>NOT IMPLEMENTED — CURRENT LEGACY BEHAVIOR CONTRADICTS TARGET DESIGN</w:t>
            </w:r>
            <w:r>
              <w:rPr>
                <w:rFonts w:ascii="Calibri" w:hAnsi="Calibri"/>
                <w:color w:val="24292E"/>
                <w:sz w:val="19"/>
              </w:rPr>
              <w:t xml:space="preserve"> and added Negative Paid Test criterion (</w:t>
            </w:r>
            <w:r>
              <w:rPr>
                <w:rFonts w:ascii="Consolas" w:hAnsi="Consolas"/>
                <w:color w:val="032F62"/>
                <w:sz w:val="18"/>
              </w:rPr>
              <w:t>13-AC-08</w:t>
            </w:r>
            <w:r>
              <w:rPr>
                <w:rFonts w:ascii="Calibri" w:hAnsi="Calibri"/>
                <w:color w:val="24292E"/>
                <w:sz w:val="19"/>
              </w:rPr>
              <w:t xml:space="preserve">); (6) Specified target atomic transaction boundary for DEMO-11 and DEMO-14; (7) Re-labeled DEMO-14 HTTP 422 JSON as </w:t>
            </w:r>
            <w:r>
              <w:rPr>
                <w:rFonts w:ascii="Consolas" w:hAnsi="Consolas"/>
                <w:color w:val="032F62"/>
                <w:sz w:val="18"/>
              </w:rPr>
              <w:t>TARGET API CONTRACT</w:t>
            </w:r>
            <w:r>
              <w:rPr>
                <w:rFonts w:ascii="Calibri" w:hAnsi="Calibri"/>
                <w:color w:val="24292E"/>
                <w:sz w:val="19"/>
              </w:rPr>
              <w:t xml:space="preserve">; (8) Strictly aligned roles to native </w:t>
            </w:r>
            <w:r>
              <w:rPr>
                <w:rFonts w:ascii="Consolas" w:hAnsi="Consolas"/>
                <w:color w:val="032F62"/>
                <w:sz w:val="18"/>
              </w:rPr>
              <w:t>FINANCE</w:t>
            </w:r>
            <w:r>
              <w:rPr>
                <w:rFonts w:ascii="Calibri" w:hAnsi="Calibri"/>
                <w:color w:val="24292E"/>
                <w:sz w:val="19"/>
              </w:rPr>
              <w:t xml:space="preserve">, </w:t>
            </w:r>
            <w:r>
              <w:rPr>
                <w:rFonts w:ascii="Consolas" w:hAnsi="Consolas"/>
                <w:color w:val="032F62"/>
                <w:sz w:val="18"/>
              </w:rPr>
              <w:t>PROJECT_MANAGER</w:t>
            </w:r>
            <w:r>
              <w:rPr>
                <w:rFonts w:ascii="Calibri" w:hAnsi="Calibri"/>
                <w:color w:val="24292E"/>
                <w:sz w:val="19"/>
              </w:rPr>
              <w:t xml:space="preserve">, and field </w:t>
            </w:r>
            <w:r>
              <w:rPr>
                <w:rFonts w:ascii="Consolas" w:hAnsi="Consolas"/>
                <w:color w:val="032F62"/>
                <w:sz w:val="18"/>
              </w:rPr>
              <w:t>pmId</w:t>
            </w:r>
            <w:r>
              <w:rPr>
                <w:rFonts w:ascii="Calibri" w:hAnsi="Calibri"/>
                <w:color w:val="24292E"/>
                <w:sz w:val="19"/>
              </w:rPr>
              <w:t xml:space="preserve">; (9) Restored literal backticks in code blocks; (10) Aligned Sign-off table with blank Name/Title columns per </w:t>
            </w:r>
            <w:r>
              <w:rPr>
                <w:rFonts w:ascii="Consolas" w:hAnsi="Consolas"/>
                <w:color w:val="032F62"/>
                <w:sz w:val="18"/>
              </w:rPr>
              <w:t>README.md</w:t>
            </w:r>
            <w:r>
              <w:rPr>
                <w:rFonts w:ascii="Calibri" w:hAnsi="Calibri"/>
                <w:color w:val="24292E"/>
                <w:sz w:val="19"/>
              </w:rPr>
              <w:t xml:space="preserve"> governance; (11) Separated objective technical facts from stakeholder ratification claims. </w:t>
            </w:r>
            <w:r>
              <w:rPr>
                <w:rFonts w:ascii="Calibri" w:hAnsi="Calibri"/>
                <w:i/>
                <w:color w:val="24292E"/>
                <w:sz w:val="19"/>
              </w:rPr>
              <w:t>(Source: SPH-14-FSD-v1.01-Final-Technical-Review-and-Required-Revisions-ID.docx)</w:t>
            </w:r>
          </w:p>
        </w:tc>
        <w:tc>
          <w:tcPr>
            <w:tcW w:type="dxa" w:w="1872"/>
            <w:shd w:fill="F8F9FA"/>
            <w:tcMar>
              <w:top w:w="100" w:type="dxa"/>
              <w:bottom w:w="100" w:type="dxa"/>
              <w:left w:w="150" w:type="dxa"/>
              <w:right w:w="150" w:type="dxa"/>
            </w:tcMar>
          </w:tcPr>
          <w:p>
            <w:pPr>
              <w:spacing w:before="40" w:after="40"/>
            </w:pPr>
            <w:r>
              <w:rPr>
                <w:rFonts w:ascii="Calibri" w:hAnsi="Calibri"/>
                <w:b/>
                <w:color w:val="24292E"/>
                <w:sz w:val="19"/>
              </w:rPr>
              <w:t>Current Baseline</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1. Executive Summary &amp; Context</w:t>
      </w:r>
    </w:p>
    <w:p>
      <w:pPr>
        <w:spacing w:before="40" w:after="80" w:line="276" w:lineRule="auto"/>
      </w:pPr>
      <w:r>
        <w:rPr>
          <w:rFonts w:ascii="Calibri" w:hAnsi="Calibri"/>
          <w:color w:val="24292E"/>
          <w:sz w:val="22"/>
        </w:rPr>
        <w:t xml:space="preserve">This artifact establishes the formal technical baseline, </w:t>
      </w:r>
      <w:r>
        <w:rPr>
          <w:rFonts w:ascii="Calibri" w:hAnsi="Calibri"/>
          <w:b/>
          <w:color w:val="24292E"/>
          <w:sz w:val="22"/>
        </w:rPr>
        <w:t>approved business decisions</w:t>
      </w:r>
      <w:r>
        <w:rPr>
          <w:rFonts w:ascii="Calibri" w:hAnsi="Calibri"/>
          <w:color w:val="24292E"/>
          <w:sz w:val="22"/>
        </w:rPr>
        <w:t xml:space="preserve">, </w:t>
      </w:r>
      <w:r>
        <w:rPr>
          <w:rFonts w:ascii="Calibri" w:hAnsi="Calibri"/>
          <w:b/>
          <w:color w:val="24292E"/>
          <w:sz w:val="22"/>
        </w:rPr>
        <w:t>resolved operational ambiguities</w:t>
      </w:r>
      <w:r>
        <w:rPr>
          <w:rFonts w:ascii="Calibri" w:hAnsi="Calibri"/>
          <w:color w:val="24292E"/>
          <w:sz w:val="22"/>
        </w:rPr>
        <w:t xml:space="preserve">, </w:t>
      </w:r>
      <w:r>
        <w:rPr>
          <w:rFonts w:ascii="Calibri" w:hAnsi="Calibri"/>
          <w:b/>
          <w:color w:val="24292E"/>
          <w:sz w:val="22"/>
        </w:rPr>
        <w:t>target reference implementation specifications</w:t>
      </w:r>
      <w:r>
        <w:rPr>
          <w:rFonts w:ascii="Calibri" w:hAnsi="Calibri"/>
          <w:color w:val="24292E"/>
          <w:sz w:val="22"/>
        </w:rPr>
        <w:t xml:space="preserve">, and a </w:t>
      </w:r>
      <w:r>
        <w:rPr>
          <w:rFonts w:ascii="Calibri" w:hAnsi="Calibri"/>
          <w:b/>
          <w:color w:val="24292E"/>
          <w:sz w:val="22"/>
        </w:rPr>
        <w:t>comprehensive FSD traceability matrix</w:t>
      </w:r>
      <w:r>
        <w:rPr>
          <w:rFonts w:ascii="Calibri" w:hAnsi="Calibri"/>
          <w:color w:val="24292E"/>
          <w:sz w:val="22"/>
        </w:rPr>
        <w:t xml:space="preserve"> for all </w:t>
      </w:r>
      <w:r>
        <w:rPr>
          <w:rFonts w:ascii="Calibri" w:hAnsi="Calibri"/>
          <w:b/>
          <w:color w:val="24292E"/>
          <w:sz w:val="22"/>
        </w:rPr>
        <w:t>30 Clarification Questions &amp; Decision Records</w:t>
      </w:r>
      <w:r>
        <w:rPr>
          <w:rFonts w:ascii="Calibri" w:hAnsi="Calibri"/>
          <w:color w:val="24292E"/>
          <w:sz w:val="22"/>
        </w:rPr>
        <w:t xml:space="preserve"> across 12 functional categories for the 14 WRICEF Functional Specification Documents (</w:t>
      </w:r>
      <w:r>
        <w:rPr>
          <w:rFonts w:ascii="Consolas" w:hAnsi="Consolas"/>
          <w:color w:val="032F62"/>
          <w:sz w:val="21"/>
        </w:rPr>
        <w:t>DEMO-01</w:t>
      </w:r>
      <w:r>
        <w:rPr>
          <w:rFonts w:ascii="Calibri" w:hAnsi="Calibri"/>
          <w:color w:val="24292E"/>
          <w:sz w:val="22"/>
        </w:rPr>
        <w:t xml:space="preserve"> through </w:t>
      </w:r>
      <w:r>
        <w:rPr>
          <w:rFonts w:ascii="Consolas" w:hAnsi="Consolas"/>
          <w:color w:val="032F62"/>
          <w:sz w:val="21"/>
        </w:rPr>
        <w:t>DEMO-14</w:t>
      </w:r>
      <w:r>
        <w:rPr>
          <w:rFonts w:ascii="Calibri" w:hAnsi="Calibri"/>
          <w:color w:val="24292E"/>
          <w:sz w:val="22"/>
        </w:rPr>
        <w:t>).</w:t>
      </w:r>
    </w:p>
    <w:p>
      <w:pPr>
        <w:spacing w:before="40" w:after="80" w:line="276" w:lineRule="auto"/>
      </w:pPr>
      <w:r>
        <w:rPr>
          <w:rFonts w:ascii="Calibri" w:hAnsi="Calibri"/>
          <w:color w:val="24292E"/>
          <w:sz w:val="22"/>
        </w:rPr>
        <w:t xml:space="preserve">It strictly incorporates all technical requirements from </w:t>
      </w:r>
      <w:r>
        <w:rPr>
          <w:rFonts w:ascii="Calibri" w:hAnsi="Calibri"/>
          <w:b/>
          <w:color w:val="24292E"/>
          <w:sz w:val="22"/>
        </w:rPr>
        <w:t>Author Review 8</w:t>
      </w:r>
      <w:r>
        <w:rPr>
          <w:rFonts w:ascii="Calibri" w:hAnsi="Calibri"/>
          <w:color w:val="24292E"/>
          <w:sz w:val="22"/>
        </w:rPr>
        <w:t xml:space="preserve"> (</w:t>
      </w:r>
      <w:r>
        <w:rPr>
          <w:rFonts w:ascii="Consolas" w:hAnsi="Consolas"/>
          <w:color w:val="032F62"/>
          <w:sz w:val="21"/>
        </w:rPr>
        <w:t>SPH-14-FSD-v1.01-Final-Technical-Review-and-Required-Revisions-ID.docx</w:t>
      </w:r>
      <w:r>
        <w:rPr>
          <w:rFonts w:ascii="Calibri" w:hAnsi="Calibri"/>
          <w:color w:val="24292E"/>
          <w:sz w:val="22"/>
        </w:rPr>
        <w:t>), establishing a crystal-clear distinction between:</w:t>
      </w:r>
    </w:p>
    <w:p>
      <w:pPr>
        <w:spacing w:before="20" w:after="40"/>
        <w:ind w:left="360"/>
      </w:pPr>
      <w:r>
        <w:rPr>
          <w:rFonts w:ascii="Calibri" w:hAnsi="Calibri"/>
          <w:b/>
          <w:color w:val="1F4E79"/>
          <w:sz w:val="21"/>
        </w:rPr>
        <w:t xml:space="preserve">1. </w:t>
      </w:r>
      <w:r>
        <w:rPr>
          <w:rFonts w:ascii="Calibri" w:hAnsi="Calibri"/>
          <w:b/>
          <w:color w:val="24292E"/>
          <w:sz w:val="21"/>
        </w:rPr>
        <w:t>Historical Referenced Source Baseline</w:t>
      </w:r>
      <w:r>
        <w:rPr>
          <w:rFonts w:ascii="Calibri" w:hAnsi="Calibri"/>
          <w:color w:val="24292E"/>
          <w:sz w:val="21"/>
        </w:rPr>
        <w:t xml:space="preserve">: Commit </w:t>
      </w:r>
      <w:r>
        <w:rPr>
          <w:rFonts w:ascii="Consolas" w:hAnsi="Consolas"/>
          <w:color w:val="032F62"/>
          <w:sz w:val="20"/>
        </w:rPr>
        <w:t>c7080af</w:t>
      </w:r>
      <w:r>
        <w:rPr>
          <w:rFonts w:ascii="Calibri" w:hAnsi="Calibri"/>
          <w:color w:val="24292E"/>
          <w:sz w:val="21"/>
        </w:rPr>
        <w:t xml:space="preserve"> (where DEMO-12 Phase 1 client lock was initially introduced).</w:t>
      </w:r>
    </w:p>
    <w:p>
      <w:pPr>
        <w:spacing w:before="20" w:after="40"/>
        <w:ind w:left="360"/>
      </w:pPr>
      <w:r>
        <w:rPr>
          <w:rFonts w:ascii="Calibri" w:hAnsi="Calibri"/>
          <w:b/>
          <w:color w:val="1F4E79"/>
          <w:sz w:val="21"/>
        </w:rPr>
        <w:t xml:space="preserve">2. </w:t>
      </w:r>
      <w:r>
        <w:rPr>
          <w:rFonts w:ascii="Calibri" w:hAnsi="Calibri"/>
          <w:b/>
          <w:color w:val="24292E"/>
          <w:sz w:val="21"/>
        </w:rPr>
        <w:t>Current Technical Verification Baseline</w:t>
      </w:r>
      <w:r>
        <w:rPr>
          <w:rFonts w:ascii="Calibri" w:hAnsi="Calibri"/>
          <w:color w:val="24292E"/>
          <w:sz w:val="21"/>
        </w:rPr>
        <w:t xml:space="preserve">: Commit </w:t>
      </w:r>
      <w:r>
        <w:rPr>
          <w:rFonts w:ascii="Consolas" w:hAnsi="Consolas"/>
          <w:color w:val="032F62"/>
          <w:sz w:val="20"/>
        </w:rPr>
        <w:t>aa3425a76bf66b40000d521fe071c87b463a006d</w:t>
      </w:r>
      <w:r>
        <w:rPr>
          <w:rFonts w:ascii="Calibri" w:hAnsi="Calibri"/>
          <w:color w:val="24292E"/>
          <w:sz w:val="21"/>
        </w:rPr>
        <w:t xml:space="preserve"> (the verified git HEAD of </w:t>
      </w:r>
      <w:r>
        <w:rPr>
          <w:rFonts w:ascii="Consolas" w:hAnsi="Consolas"/>
          <w:color w:val="032F62"/>
          <w:sz w:val="20"/>
        </w:rPr>
        <w:t>Knowledge repository (read-only)/SecureProfitHub/Source code - 20 Aug 2026</w:t>
      </w:r>
      <w:r>
        <w:rPr>
          <w:rFonts w:ascii="Calibri" w:hAnsi="Calibri"/>
          <w:color w:val="24292E"/>
          <w:sz w:val="21"/>
        </w:rPr>
        <w:t>).</w:t>
      </w:r>
    </w:p>
    <w:p>
      <w:pPr>
        <w:spacing w:before="20" w:after="40"/>
        <w:ind w:left="360"/>
      </w:pPr>
      <w:r>
        <w:rPr>
          <w:rFonts w:ascii="Calibri" w:hAnsi="Calibri"/>
          <w:b/>
          <w:color w:val="1F4E79"/>
          <w:sz w:val="21"/>
        </w:rPr>
        <w:t xml:space="preserve">3. </w:t>
      </w:r>
      <w:r>
        <w:rPr>
          <w:rFonts w:ascii="Calibri" w:hAnsi="Calibri"/>
          <w:b/>
          <w:color w:val="24292E"/>
          <w:sz w:val="21"/>
        </w:rPr>
        <w:t>Target Solution Architecture</w:t>
      </w:r>
      <w:r>
        <w:rPr>
          <w:rFonts w:ascii="Calibri" w:hAnsi="Calibri"/>
          <w:color w:val="24292E"/>
          <w:sz w:val="21"/>
        </w:rPr>
        <w:t xml:space="preserve">: The proposed, non-destructive target designs documented in </w:t>
      </w:r>
      <w:r>
        <w:rPr>
          <w:rFonts w:ascii="Consolas" w:hAnsi="Consolas"/>
          <w:color w:val="032F62"/>
          <w:sz w:val="20"/>
        </w:rPr>
        <w:t>10-03_Explore-03_Solution_Design_Document_SDD_SPH_v1.01.md</w:t>
      </w:r>
      <w:r>
        <w:rPr>
          <w:rFonts w:ascii="Calibri" w:hAnsi="Calibri"/>
          <w:color w:val="24292E"/>
          <w:sz w:val="21"/>
        </w:rPr>
        <w:t xml:space="preserve"> and child FSDs pending sprint execution.</w:t>
      </w:r>
    </w:p>
    <w:tbl>
      <w:tblPr>
        <w:tblW w:type="auto" w:w="0"/>
        <w:jc w:val="center"/>
        <w:tblLook w:firstColumn="1" w:firstRow="1" w:lastColumn="0" w:lastRow="0" w:noHBand="0" w:noVBand="1" w:val="04A0"/>
      </w:tblPr>
      <w:tblGrid>
        <w:gridCol w:w="9360"/>
      </w:tblGrid>
      <w:tr>
        <w:tc>
          <w:tcPr>
            <w:tcW w:type="dxa" w:w="9360"/>
            <w:shd w:fill="F6F8FA"/>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onsolas" w:hAnsi="Consolas"/>
                <w:color w:val="24292E"/>
                <w:sz w:val="19"/>
              </w:rPr>
              <w:t>flowchart LR</w:t>
              <w:br/>
              <w:t xml:space="preserve">    subgraph Intake ["1. Commercial Intake &amp; Lineage"]</w:t>
              <w:br/>
              <w:t xml:space="preserve">        direction TB</w:t>
              <w:br/>
              <w:t xml:space="preserve">        D01["DEMO-01: Industry Sector (Normalized + Partial Index)"]</w:t>
              <w:br/>
              <w:t xml:space="preserve">        D03["DEMO-03: Client Contacts (Point-in-Time Snapshot)"]</w:t>
              <w:br/>
              <w:t xml:space="preserve">        D04["DEMO-04: BU &amp; Principal Mapping (MANAGEMENT Authority)"]</w:t>
              <w:br/>
              <w:t xml:space="preserve">        D05["DEMO-05: Deal Lineage &amp; NRR (Project-Only Anchor)"]</w:t>
              <w:br/>
              <w:t xml:space="preserve">        D06["DEMO-06: Atomic Lead ID (Same-Tx with Lead.create)"]</w:t>
              <w:br/>
              <w:t xml:space="preserve">    end</w:t>
              <w:br/>
              <w:br/>
              <w:t xml:space="preserve">    subgraph Governance ["2. Presales &amp; Margin Governance"]</w:t>
              <w:br/>
              <w:t xml:space="preserve">        direction TB</w:t>
              <w:br/>
              <w:t xml:space="preserve">        D09["DEMO-09: Opt-In Presales CAC (Isolated from Delivery EVM)"]</w:t>
              <w:br/>
              <w:t xml:space="preserve">        D08["DEMO-08: Stage Probability Policy (Audited Overrides)"]</w:t>
              <w:br/>
              <w:t xml:space="preserve">        D02["DEMO-02: Offering Catalog Snapshots (Immutable Lines)"]</w:t>
              <w:br/>
              <w:t xml:space="preserve">        D07["DEMO-07: Inbound CRM Sync (PipedriveProductMapping)"]</w:t>
              <w:br/>
              <w:t xml:space="preserve">        D10["DEMO-10: Versioned Finance Gate (Decimal VAT Snapshot)"]</w:t>
              <w:br/>
              <w:t xml:space="preserve">    end</w:t>
              <w:br/>
              <w:br/>
              <w:t xml:space="preserve">    subgraph Delivery ["3. Delivery &amp; Baseline Control"]</w:t>
              <w:br/>
              <w:t xml:space="preserve">        direction TB</w:t>
              <w:br/>
              <w:t xml:space="preserve">        D11["DEMO-11: Baseline Auto-Sync (ACTIVATION vs CR + Partial Index)"]</w:t>
              <w:br/>
              <w:t xml:space="preserve">        D12P1["DEMO-12 Phase 1: Hard Lock (BUILT in c7080af)"]</w:t>
              <w:br/>
              <w:t xml:space="preserve">        D12P2["DEMO-12 Phase 2: Dual Approval Workflow (TARGET DESIGN)"]</w:t>
              <w:br/>
              <w:t xml:space="preserve">    end</w:t>
              <w:br/>
              <w:br/>
              <w:t xml:space="preserve">    subgraph ExecutionControl ["4. RevRec &amp; Activation Integrity"]</w:t>
              <w:br/>
              <w:t xml:space="preserve">        direction TB</w:t>
              <w:br/>
              <w:t xml:space="preserve">        D13["DEMO-13: RevRec Dual-Timeline (PSAK 115, Ledger Reversals, Xero Export)"]</w:t>
              <w:br/>
              <w:t xml:space="preserve">        D14["DEMO-14: Project Activation Hard-Gate (Effective State, Kind Matrix, Atomic Baseline)"]</w:t>
              <w:br/>
              <w:t xml:space="preserve">    end</w:t>
              <w:br/>
              <w:br/>
              <w:t xml:space="preserve">    Intake --&gt; Governance --&gt; Delivery --&gt; ExecutionControl</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2. Approved Decisions, Resolved Ambiguities &amp; Technical Specifications (Questions 1 to 30)</w:t>
      </w:r>
    </w:p>
    <w:p>
      <w:pPr>
        <w:spacing w:before="120" w:after="120"/>
        <w:pBdr>
          <w:bottom w:val="single" w:sz="6" w:space="1" w:color="E1E4E8"/>
        </w:pBdr>
      </w:pPr>
    </w:p>
    <w:p>
      <w:pPr>
        <w:keepNext/>
        <w:spacing w:before="200" w:after="80"/>
      </w:pPr>
      <w:r>
        <w:rPr>
          <w:rFonts w:ascii="Calibri" w:hAnsi="Calibri"/>
          <w:b/>
          <w:color w:val="1F4E79"/>
          <w:sz w:val="26"/>
        </w:rPr>
        <w:t>🏷️ Category 1: Industry Sector Classification (</w:t>
      </w:r>
      <w:r>
        <w:rPr>
          <w:rFonts w:ascii="Consolas" w:hAnsi="Consolas"/>
          <w:color w:val="032F62"/>
          <w:sz w:val="25"/>
        </w:rPr>
        <w:t>DEMO-01</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 Catalog Governance &amp; Hierarchy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"Siapa pemilik catalog sektor dan apakah hierarchy/sub-sector diperlukan?"</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owns the sector catalog, and is a hierarchy/sub-sector structure required?"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Only Admins can manage the master list of sectors. We start with a clean flat list of sectors, but design the database table with an optional parent ID so sub-sectors can be added later without schema migrations.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Centralize catalog administration exclusively under </w:t>
      </w:r>
      <w:r>
        <w:rPr>
          <w:rFonts w:ascii="Consolas" w:hAnsi="Consolas"/>
          <w:color w:val="032F62"/>
          <w:sz w:val="21"/>
        </w:rPr>
        <w:t>SITE_ADMIN</w:t>
      </w:r>
      <w:r>
        <w:rPr>
          <w:rFonts w:ascii="Calibri" w:hAnsi="Calibri"/>
          <w:color w:val="24292E"/>
          <w:sz w:val="22"/>
        </w:rPr>
        <w:t xml:space="preserve"> and </w:t>
      </w:r>
      <w:r>
        <w:rPr>
          <w:rFonts w:ascii="Consolas" w:hAnsi="Consolas"/>
          <w:color w:val="032F62"/>
          <w:sz w:val="21"/>
        </w:rPr>
        <w:t>MANAGEMENT</w:t>
      </w:r>
      <w:r>
        <w:rPr>
          <w:rFonts w:ascii="Calibri" w:hAnsi="Calibri"/>
          <w:color w:val="24292E"/>
          <w:sz w:val="22"/>
        </w:rPr>
        <w:t xml:space="preserve"> roles. Implement a flat operational list of sectors for initial go-live while incorporating a self-referencing </w:t>
      </w:r>
      <w:r>
        <w:rPr>
          <w:rFonts w:ascii="Consolas" w:hAnsi="Consolas"/>
          <w:color w:val="032F62"/>
          <w:sz w:val="21"/>
        </w:rPr>
        <w:t>parentSectorId</w:t>
      </w:r>
      <w:r>
        <w:rPr>
          <w:rFonts w:ascii="Calibri" w:hAnsi="Calibri"/>
          <w:color w:val="24292E"/>
          <w:sz w:val="22"/>
        </w:rPr>
        <w:t xml:space="preserve"> column in the database model. </w:t>
      </w:r>
      <w:r>
        <w:rPr>
          <w:rFonts w:ascii="Calibri" w:hAnsi="Calibri"/>
          <w:i/>
          <w:color w:val="24292E"/>
          <w:sz w:val="22"/>
        </w:rPr>
        <w:t>(Source: Master Rec Doc Section 16 &amp; Author Review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Ungoverned sector creation leads to messy duplicates (e.g., "Fintech" vs "Financial Technology"). Building the parent-child relationship into the data model now allows future sub-sector rollouts without disruptive database migrations.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If an admin creates sub-sectors in the future (e.g. </w:t>
      </w:r>
      <w:r>
        <w:rPr>
          <w:rFonts w:ascii="Consolas" w:hAnsi="Consolas"/>
          <w:color w:val="032F62"/>
          <w:sz w:val="20"/>
        </w:rPr>
        <w:t>Financial Services</w:t>
      </w:r>
      <w:r>
        <w:rPr>
          <w:rFonts w:ascii="Calibri" w:hAnsi="Calibri"/>
          <w:color w:val="24292E"/>
          <w:sz w:val="21"/>
        </w:rPr>
        <w:t xml:space="preserve"> $\rightarrow$ </w:t>
      </w:r>
      <w:r>
        <w:rPr>
          <w:rFonts w:ascii="Consolas" w:hAnsi="Consolas"/>
          <w:color w:val="032F62"/>
          <w:sz w:val="20"/>
        </w:rPr>
        <w:t>Digital Banking</w:t>
      </w:r>
      <w:r>
        <w:rPr>
          <w:rFonts w:ascii="Calibri" w:hAnsi="Calibri"/>
          <w:color w:val="24292E"/>
          <w:sz w:val="21"/>
        </w:rPr>
        <w:t>), can users select both a parent and child sector on the same lead?</w:t>
      </w:r>
    </w:p>
    <w:p>
      <w:pPr>
        <w:pStyle w:val="ListBullet"/>
        <w:spacing w:before="20" w:after="40"/>
        <w:ind w:left="720"/>
      </w:pPr>
      <w:r>
        <w:rPr>
          <w:rFonts w:ascii="Calibri" w:hAnsi="Calibri"/>
          <w:i/>
          <w:color w:val="24292E"/>
          <w:sz w:val="21"/>
        </w:rPr>
        <w:t>Resolved Policy</w:t>
      </w:r>
      <w:r>
        <w:rPr>
          <w:rFonts w:ascii="Calibri" w:hAnsi="Calibri"/>
          <w:color w:val="24292E"/>
          <w:sz w:val="21"/>
        </w:rPr>
        <w:t>: If a sub-sector exists, selecting the child automatically tags the deal with the parent for roll-up reporting. Users cannot create redundant double entries for both parent and child.</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Schema DDL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model IndustrySector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code           String           @unique // e.g. "FIN_BANKING", "GOV_PUBLIC"</w:t>
      </w:r>
    </w:p>
    <w:p>
      <w:pPr>
        <w:spacing w:before="40" w:after="80" w:line="276" w:lineRule="auto"/>
      </w:pPr>
      <w:r>
        <w:rPr>
          <w:rFonts w:ascii="Calibri" w:hAnsi="Calibri"/>
          <w:color w:val="24292E"/>
          <w:sz w:val="22"/>
        </w:rPr>
        <w:t xml:space="preserve">      name           String           // e.g. "Banking &amp; Financial Services"</w:t>
      </w:r>
    </w:p>
    <w:p>
      <w:pPr>
        <w:spacing w:before="40" w:after="80" w:line="276" w:lineRule="auto"/>
      </w:pPr>
      <w:r>
        <w:rPr>
          <w:rFonts w:ascii="Calibri" w:hAnsi="Calibri"/>
          <w:color w:val="24292E"/>
          <w:sz w:val="22"/>
        </w:rPr>
        <w:t xml:space="preserve">      description    String?</w:t>
      </w:r>
    </w:p>
    <w:p>
      <w:pPr>
        <w:spacing w:before="40" w:after="80" w:line="276" w:lineRule="auto"/>
      </w:pPr>
      <w:r>
        <w:rPr>
          <w:rFonts w:ascii="Calibri" w:hAnsi="Calibri"/>
          <w:color w:val="24292E"/>
          <w:sz w:val="22"/>
        </w:rPr>
        <w:t xml:space="preserve">      isActive       Boolean          @default(true)</w:t>
      </w:r>
    </w:p>
    <w:p>
      <w:pPr>
        <w:spacing w:before="40" w:after="80" w:line="276" w:lineRule="auto"/>
      </w:pPr>
      <w:r>
        <w:rPr>
          <w:rFonts w:ascii="Calibri" w:hAnsi="Calibri"/>
          <w:color w:val="24292E"/>
          <w:sz w:val="22"/>
        </w:rPr>
        <w:t xml:space="preserve">      sortOrder      Int              @default(0)</w:t>
      </w:r>
    </w:p>
    <w:p>
      <w:pPr>
        <w:spacing w:before="40" w:after="80" w:line="276" w:lineRule="auto"/>
      </w:pPr>
      <w:r>
        <w:rPr>
          <w:rFonts w:ascii="Calibri" w:hAnsi="Calibri"/>
          <w:color w:val="24292E"/>
          <w:sz w:val="22"/>
        </w:rPr>
        <w:t xml:space="preserve">      parentSectorId String?</w:t>
      </w:r>
    </w:p>
    <w:p>
      <w:pPr>
        <w:spacing w:before="40" w:after="80" w:line="276" w:lineRule="auto"/>
      </w:pPr>
      <w:r>
        <w:rPr>
          <w:rFonts w:ascii="Calibri" w:hAnsi="Calibri"/>
          <w:color w:val="24292E"/>
          <w:sz w:val="22"/>
        </w:rPr>
        <w:t xml:space="preserve">      parentSector   IndustrySector?  @relation("SectorHierarchy", fields: [parentSectorId], references: [id])</w:t>
      </w:r>
    </w:p>
    <w:p>
      <w:pPr>
        <w:spacing w:before="40" w:after="80" w:line="276" w:lineRule="auto"/>
      </w:pPr>
      <w:r>
        <w:rPr>
          <w:rFonts w:ascii="Calibri" w:hAnsi="Calibri"/>
          <w:color w:val="24292E"/>
          <w:sz w:val="22"/>
        </w:rPr>
        <w:t xml:space="preserve">      subSectors     IndustrySector[] @relation("SectorHierarchy")</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updatedAt      DateTime         @updatedAt</w:t>
      </w:r>
    </w:p>
    <w:p>
      <w:pPr>
        <w:spacing w:before="40" w:after="80" w:line="276" w:lineRule="auto"/>
      </w:pPr>
      <w:r>
        <w:rPr>
          <w:rFonts w:ascii="Calibri" w:hAnsi="Calibri"/>
          <w:color w:val="24292E"/>
          <w:sz w:val="22"/>
        </w:rPr>
        <w:t xml:space="preserve">      leadSectors    LeadSector[]</w:t>
      </w:r>
    </w:p>
    <w:p>
      <w:pPr>
        <w:spacing w:before="40" w:after="80" w:line="276" w:lineRule="auto"/>
      </w:pPr>
      <w:r>
        <w:rPr>
          <w:rFonts w:ascii="Calibri" w:hAnsi="Calibri"/>
          <w:color w:val="24292E"/>
          <w:sz w:val="22"/>
        </w:rPr>
        <w:t xml:space="preserve">      clientSectors  ClientSector[]</w:t>
      </w:r>
    </w:p>
    <w:p>
      <w:pPr>
        <w:spacing w:before="40" w:after="80" w:line="276" w:lineRule="auto"/>
      </w:pPr>
      <w:r>
        <w:rPr>
          <w:rFonts w:ascii="Calibri" w:hAnsi="Calibri"/>
          <w:color w:val="24292E"/>
          <w:sz w:val="22"/>
        </w:rPr>
        <w:t xml:space="preserve">      @@index([isActive, sortOrder])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2: Mandatory Stage Enforcement &amp; Replacement Diff Validation Logic</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"Pada stage apa 1–5 sektor menjadi mandatory?"</w:t>
      </w:r>
    </w:p>
    <w:p>
      <w:pPr>
        <w:pStyle w:val="ListBullet"/>
        <w:spacing w:before="20" w:after="40"/>
        <w:ind w:left="360"/>
      </w:pPr>
      <w:r>
        <w:rPr>
          <w:rFonts w:ascii="Calibri" w:hAnsi="Calibri"/>
          <w:b/>
          <w:color w:val="24292E"/>
          <w:sz w:val="21"/>
        </w:rPr>
        <w:t>English Translation</w:t>
      </w:r>
      <w:r>
        <w:rPr>
          <w:rFonts w:ascii="Calibri" w:hAnsi="Calibri"/>
          <w:color w:val="24292E"/>
          <w:sz w:val="21"/>
        </w:rPr>
        <w:t>: "At what stage does selecting 1–5 sectors become mandatory?"</w:t>
      </w:r>
    </w:p>
    <w:p>
      <w:pPr>
        <w:pStyle w:val="ListBullet"/>
        <w:spacing w:before="20" w:after="40"/>
        <w:ind w:left="360"/>
      </w:pPr>
      <w:r>
        <w:rPr>
          <w:rFonts w:ascii="Calibri" w:hAnsi="Calibri"/>
          <w:b/>
          <w:color w:val="24292E"/>
          <w:sz w:val="21"/>
        </w:rPr>
        <w:t>In the Simplest Terms</w:t>
      </w:r>
      <w:r>
        <w:rPr>
          <w:rFonts w:ascii="Calibri" w:hAnsi="Calibri"/>
          <w:color w:val="24292E"/>
          <w:sz w:val="21"/>
        </w:rPr>
        <w:t>: Don't make sectors mandatory when quickly creating a draft lead. Make it mandatory (1–5 sectors) when advancing to qualified or proposal. On replacement updates, keeping existing inactive sectors is permitted, but newly added sectors must be active.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Aligned Inactive-Sector Validation Invariant</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i/>
          <w:color w:val="24292E"/>
          <w:sz w:val="22"/>
        </w:rPr>
        <w:t>"A Lead must have between 1 and 5 sector assignments before advancing to `QUALIFIED` or `PROPOSAL` stage. Newly added assignments must reference active sectors (`isActive = true`), while existing inactive assignments remain valid for historical classification until a defined business reclassification trigger occurs."</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Diff-Based Validation Rule</w:t>
      </w:r>
      <w:r>
        <w:rPr>
          <w:rFonts w:ascii="Calibri" w:hAnsi="Calibri"/>
          <w:color w:val="24292E"/>
          <w:sz w:val="22"/>
        </w:rPr>
        <w:t>: On full replacement (</w:t>
      </w:r>
      <w:r>
        <w:rPr>
          <w:rFonts w:ascii="Consolas" w:hAnsi="Consolas"/>
          <w:color w:val="032F62"/>
          <w:sz w:val="21"/>
        </w:rPr>
        <w:t>PUT /api/leads/:id/sectors</w:t>
      </w:r>
      <w:r>
        <w:rPr>
          <w:rFonts w:ascii="Calibri" w:hAnsi="Calibri"/>
          <w:color w:val="24292E"/>
          <w:sz w:val="22"/>
        </w:rPr>
        <w:t>), the system calculates the set difference (</w:t>
      </w:r>
      <w:r>
        <w:rPr>
          <w:rFonts w:ascii="Consolas" w:hAnsi="Consolas"/>
          <w:color w:val="032F62"/>
          <w:sz w:val="21"/>
        </w:rPr>
        <w:t>requestedIds \ existingIds</w:t>
      </w:r>
      <w:r>
        <w:rPr>
          <w:rFonts w:ascii="Calibri" w:hAnsi="Calibri"/>
          <w:color w:val="24292E"/>
          <w:sz w:val="22"/>
        </w:rPr>
        <w:t xml:space="preserve">). Only newly added sector IDs must have </w:t>
      </w:r>
      <w:r>
        <w:rPr>
          <w:rFonts w:ascii="Consolas" w:hAnsi="Consolas"/>
          <w:color w:val="032F62"/>
          <w:sz w:val="21"/>
        </w:rPr>
        <w:t>isActive = true</w:t>
      </w:r>
      <w:r>
        <w:rPr>
          <w:rFonts w:ascii="Calibri" w:hAnsi="Calibri"/>
          <w:color w:val="24292E"/>
          <w:sz w:val="22"/>
        </w:rPr>
        <w:t xml:space="preserve">. </w:t>
      </w:r>
      <w:r>
        <w:rPr>
          <w:rFonts w:ascii="Calibri" w:hAnsi="Calibri"/>
          <w:i/>
          <w:color w:val="24292E"/>
          <w:sz w:val="22"/>
        </w:rPr>
        <w:t>(Source: Author Review 4 - Item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unexpected validation errors when updating a lead whose historical sector was subsequently retired in master data.</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Diff-Based Validation Logic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 Inside PUT /api/leads/:id/sectors or PATCH /api/leads/:id/stage</w:t>
      </w:r>
    </w:p>
    <w:p>
      <w:pPr>
        <w:spacing w:before="40" w:after="80" w:line="276" w:lineRule="auto"/>
      </w:pPr>
      <w:r>
        <w:rPr>
          <w:rFonts w:ascii="Calibri" w:hAnsi="Calibri"/>
          <w:color w:val="24292E"/>
          <w:sz w:val="22"/>
        </w:rPr>
        <w:t xml:space="preserve">    async function validateLeadSectorAssignments(</w:t>
      </w:r>
    </w:p>
    <w:p>
      <w:pPr>
        <w:spacing w:before="40" w:after="80" w:line="276" w:lineRule="auto"/>
      </w:pPr>
      <w:r>
        <w:rPr>
          <w:rFonts w:ascii="Calibri" w:hAnsi="Calibri"/>
          <w:color w:val="24292E"/>
          <w:sz w:val="22"/>
        </w:rPr>
        <w:t xml:space="preserve">      leadId: string, </w:t>
      </w:r>
    </w:p>
    <w:p>
      <w:pPr>
        <w:spacing w:before="40" w:after="80" w:line="276" w:lineRule="auto"/>
      </w:pPr>
      <w:r>
        <w:rPr>
          <w:rFonts w:ascii="Calibri" w:hAnsi="Calibri"/>
          <w:color w:val="24292E"/>
          <w:sz w:val="22"/>
        </w:rPr>
        <w:t xml:space="preserve">      requestedSectorIds: string[]</w:t>
      </w:r>
    </w:p>
    <w:p>
      <w:pPr>
        <w:spacing w:before="40" w:after="80" w:line="276" w:lineRule="auto"/>
      </w:pPr>
      <w:r>
        <w:rPr>
          <w:rFonts w:ascii="Calibri" w:hAnsi="Calibri"/>
          <w:color w:val="24292E"/>
          <w:sz w:val="22"/>
        </w:rPr>
        <w:t xml:space="preserve">    ) {</w:t>
      </w:r>
    </w:p>
    <w:p>
      <w:pPr>
        <w:spacing w:before="40" w:after="80" w:line="276" w:lineRule="auto"/>
      </w:pPr>
      <w:r>
        <w:rPr>
          <w:rFonts w:ascii="Calibri" w:hAnsi="Calibri"/>
          <w:color w:val="24292E"/>
          <w:sz w:val="22"/>
        </w:rPr>
        <w:t xml:space="preserve">      // 1. Normalize and deduplicate requested IDs</w:t>
      </w:r>
    </w:p>
    <w:p>
      <w:pPr>
        <w:spacing w:before="40" w:after="80" w:line="276" w:lineRule="auto"/>
      </w:pPr>
      <w:r>
        <w:rPr>
          <w:rFonts w:ascii="Calibri" w:hAnsi="Calibri"/>
          <w:color w:val="24292E"/>
          <w:sz w:val="22"/>
        </w:rPr>
        <w:t xml:space="preserve">      const normalizedRequestedIds = Array.from(new Set(requestedSectorIds));</w:t>
      </w:r>
    </w:p>
    <w:p>
      <w:pPr>
        <w:spacing w:before="40" w:after="80" w:line="276" w:lineRule="auto"/>
      </w:pPr>
      <w:r>
        <w:rPr>
          <w:rFonts w:ascii="Calibri" w:hAnsi="Calibri"/>
          <w:color w:val="24292E"/>
          <w:sz w:val="22"/>
        </w:rPr>
        <w:t xml:space="preserve">      // 2. Enforce 1..5 total sector assignment bounds</w:t>
      </w:r>
    </w:p>
    <w:p>
      <w:pPr>
        <w:spacing w:before="40" w:after="80" w:line="276" w:lineRule="auto"/>
      </w:pPr>
      <w:r>
        <w:rPr>
          <w:rFonts w:ascii="Calibri" w:hAnsi="Calibri"/>
          <w:color w:val="24292E"/>
          <w:sz w:val="22"/>
        </w:rPr>
        <w:t xml:space="preserve">      if (normalizedRequestedIds.length &lt; 1 || normalizedRequestedIds.length &gt; 5) {</w:t>
      </w:r>
    </w:p>
    <w:p>
      <w:pPr>
        <w:spacing w:before="40" w:after="80" w:line="276" w:lineRule="auto"/>
      </w:pPr>
      <w:r>
        <w:rPr>
          <w:rFonts w:ascii="Calibri" w:hAnsi="Calibri"/>
          <w:color w:val="24292E"/>
          <w:sz w:val="22"/>
        </w:rPr>
        <w:t xml:space="preserve">        throw new Error("SECTOR_VALIDATION_FAILED: Lead must have between 1 and 5 industry sectors assigned.");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3. Verify all requested IDs exist in database</w:t>
      </w:r>
    </w:p>
    <w:p>
      <w:pPr>
        <w:spacing w:before="40" w:after="80" w:line="276" w:lineRule="auto"/>
      </w:pPr>
      <w:r>
        <w:rPr>
          <w:rFonts w:ascii="Calibri" w:hAnsi="Calibri"/>
          <w:color w:val="24292E"/>
          <w:sz w:val="22"/>
        </w:rPr>
        <w:t xml:space="preserve">      const existingDbSectors = await prisma.industrySector.findMany({</w:t>
      </w:r>
    </w:p>
    <w:p>
      <w:pPr>
        <w:spacing w:before="40" w:after="80" w:line="276" w:lineRule="auto"/>
      </w:pPr>
      <w:r>
        <w:rPr>
          <w:rFonts w:ascii="Calibri" w:hAnsi="Calibri"/>
          <w:color w:val="24292E"/>
          <w:sz w:val="22"/>
        </w:rPr>
        <w:t xml:space="preserve">        where: { id: { in: normalizedRequestedIds } },</w:t>
      </w:r>
    </w:p>
    <w:p>
      <w:pPr>
        <w:spacing w:before="40" w:after="80" w:line="276" w:lineRule="auto"/>
      </w:pPr>
      <w:r>
        <w:rPr>
          <w:rFonts w:ascii="Calibri" w:hAnsi="Calibri"/>
          <w:color w:val="24292E"/>
          <w:sz w:val="22"/>
        </w:rPr>
        <w:t xml:space="preserve">        select: { id: true, isActive: true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(existingDbSectors.length !== normalizedRequestedIds.length) {</w:t>
      </w:r>
    </w:p>
    <w:p>
      <w:pPr>
        <w:spacing w:before="40" w:after="80" w:line="276" w:lineRule="auto"/>
      </w:pPr>
      <w:r>
        <w:rPr>
          <w:rFonts w:ascii="Calibri" w:hAnsi="Calibri"/>
          <w:color w:val="24292E"/>
          <w:sz w:val="22"/>
        </w:rPr>
        <w:t xml:space="preserve">        throw new Error("SECTOR_NOT_FOUND: One or more specified industry sector IDs do not exist.");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4. Fetch current assignments to compute newly added IDs</w:t>
      </w:r>
    </w:p>
    <w:p>
      <w:pPr>
        <w:spacing w:before="40" w:after="80" w:line="276" w:lineRule="auto"/>
      </w:pPr>
      <w:r>
        <w:rPr>
          <w:rFonts w:ascii="Calibri" w:hAnsi="Calibri"/>
          <w:color w:val="24292E"/>
          <w:sz w:val="22"/>
        </w:rPr>
        <w:t xml:space="preserve">      const currentAssignments = await prisma.leadSector.findMany({</w:t>
      </w:r>
    </w:p>
    <w:p>
      <w:pPr>
        <w:spacing w:before="40" w:after="80" w:line="276" w:lineRule="auto"/>
      </w:pPr>
      <w:r>
        <w:rPr>
          <w:rFonts w:ascii="Calibri" w:hAnsi="Calibri"/>
          <w:color w:val="24292E"/>
          <w:sz w:val="22"/>
        </w:rPr>
        <w:t xml:space="preserve">        where: { leadId },</w:t>
      </w:r>
    </w:p>
    <w:p>
      <w:pPr>
        <w:spacing w:before="40" w:after="80" w:line="276" w:lineRule="auto"/>
      </w:pPr>
      <w:r>
        <w:rPr>
          <w:rFonts w:ascii="Calibri" w:hAnsi="Calibri"/>
          <w:color w:val="24292E"/>
          <w:sz w:val="22"/>
        </w:rPr>
        <w:t xml:space="preserve">        select: { sectorId: true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const existingIds = new Set(currentAssignments.map(item =&gt; item.sectorId));</w:t>
      </w:r>
    </w:p>
    <w:p>
      <w:pPr>
        <w:spacing w:before="40" w:after="80" w:line="276" w:lineRule="auto"/>
      </w:pPr>
      <w:r>
        <w:rPr>
          <w:rFonts w:ascii="Calibri" w:hAnsi="Calibri"/>
          <w:color w:val="24292E"/>
          <w:sz w:val="22"/>
        </w:rPr>
        <w:t xml:space="preserve">      const newlyAddedIds = normalizedRequestedIds.filter(sectorId =&gt; !existingIds.has(sectorId));</w:t>
      </w:r>
    </w:p>
    <w:p>
      <w:pPr>
        <w:spacing w:before="40" w:after="80" w:line="276" w:lineRule="auto"/>
      </w:pPr>
      <w:r>
        <w:rPr>
          <w:rFonts w:ascii="Calibri" w:hAnsi="Calibri"/>
          <w:color w:val="24292E"/>
          <w:sz w:val="22"/>
        </w:rPr>
        <w:t xml:space="preserve">      // 5. Only newly added sectors are required to be active</w:t>
      </w:r>
    </w:p>
    <w:p>
      <w:pPr>
        <w:spacing w:before="40" w:after="80" w:line="276" w:lineRule="auto"/>
      </w:pPr>
      <w:r>
        <w:rPr>
          <w:rFonts w:ascii="Calibri" w:hAnsi="Calibri"/>
          <w:color w:val="24292E"/>
          <w:sz w:val="22"/>
        </w:rPr>
        <w:t xml:space="preserve">      if (newlyAddedIds.length &gt; 0) {</w:t>
      </w:r>
    </w:p>
    <w:p>
      <w:pPr>
        <w:spacing w:before="40" w:after="80" w:line="276" w:lineRule="auto"/>
      </w:pPr>
      <w:r>
        <w:rPr>
          <w:rFonts w:ascii="Calibri" w:hAnsi="Calibri"/>
          <w:color w:val="24292E"/>
          <w:sz w:val="22"/>
        </w:rPr>
        <w:t xml:space="preserve">        const inactiveNewSectors = existingDbSectors.filter(</w:t>
      </w:r>
    </w:p>
    <w:p>
      <w:pPr>
        <w:spacing w:before="40" w:after="80" w:line="276" w:lineRule="auto"/>
      </w:pPr>
      <w:r>
        <w:rPr>
          <w:rFonts w:ascii="Calibri" w:hAnsi="Calibri"/>
          <w:color w:val="24292E"/>
          <w:sz w:val="22"/>
        </w:rPr>
        <w:t xml:space="preserve">          s =&gt; newlyAddedIds.includes(s.id) &amp;&amp; !s.isActive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(inactiveNewSectors.length &gt; 0) {</w:t>
      </w:r>
    </w:p>
    <w:p>
      <w:pPr>
        <w:spacing w:before="40" w:after="80" w:line="276" w:lineRule="auto"/>
      </w:pPr>
      <w:r>
        <w:rPr>
          <w:rFonts w:ascii="Calibri" w:hAnsi="Calibri"/>
          <w:color w:val="24292E"/>
          <w:sz w:val="22"/>
        </w:rPr>
        <w:t xml:space="preserve">          throw new Error("CANNOT_ASSIGN_DEACTIVATED_SECTOR: Newly added sectors must be active.");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6. Existing historical inactive assignments pass without error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 xml:space="preserve">Question 3: Client Sectors Snapshot &amp; </w:t>
      </w:r>
      <w:r>
        <w:rPr>
          <w:rFonts w:ascii="Consolas" w:hAnsi="Consolas"/>
          <w:color w:val="032F62"/>
          <w:sz w:val="22"/>
        </w:rPr>
        <w:t>otherDetail</w:t>
      </w:r>
      <w:r>
        <w:rPr>
          <w:rFonts w:ascii="Calibri" w:hAnsi="Calibri"/>
          <w:color w:val="262626"/>
          <w:sz w:val="23"/>
        </w:rPr>
        <w:t xml:space="preserve"> Placement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Client sectors menjadi default snapshot atau live inheritance pada Lead?"</w:t>
      </w:r>
    </w:p>
    <w:p>
      <w:pPr>
        <w:pStyle w:val="ListBullet"/>
        <w:spacing w:before="20" w:after="40"/>
        <w:ind w:left="360"/>
      </w:pPr>
      <w:r>
        <w:rPr>
          <w:rFonts w:ascii="Calibri" w:hAnsi="Calibri"/>
          <w:b/>
          <w:color w:val="24292E"/>
          <w:sz w:val="21"/>
        </w:rPr>
        <w:t>English Translation</w:t>
      </w:r>
      <w:r>
        <w:rPr>
          <w:rFonts w:ascii="Calibri" w:hAnsi="Calibri"/>
          <w:color w:val="24292E"/>
          <w:sz w:val="21"/>
        </w:rPr>
        <w:t>: "Should Client sectors be a default point-in-time snapshot or live inheritance on the Lead?"</w:t>
      </w:r>
    </w:p>
    <w:p>
      <w:pPr>
        <w:pStyle w:val="ListBullet"/>
        <w:spacing w:before="20" w:after="40"/>
        <w:ind w:left="360"/>
      </w:pPr>
      <w:r>
        <w:rPr>
          <w:rFonts w:ascii="Calibri" w:hAnsi="Calibri"/>
          <w:b/>
          <w:color w:val="24292E"/>
          <w:sz w:val="21"/>
        </w:rPr>
        <w:t>In the Simplest Terms</w:t>
      </w:r>
      <w:r>
        <w:rPr>
          <w:rFonts w:ascii="Calibri" w:hAnsi="Calibri"/>
          <w:color w:val="24292E"/>
          <w:sz w:val="21"/>
        </w:rPr>
        <w:t>: It is a snapshot. When creating a lead, the system auto-fills the client's sectors as a starting suggestion, but sales can adjust them for that specific deal without altering the client's master record.</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Point-in-Time Snapshot</w:t>
      </w:r>
      <w:r>
        <w:rPr>
          <w:rFonts w:ascii="Calibri" w:hAnsi="Calibri"/>
          <w:color w:val="24292E"/>
          <w:sz w:val="22"/>
        </w:rPr>
        <w:t xml:space="preserve"> mechanism. When a Lead is created with a selected Client, the client's current sectors are copied into </w:t>
      </w:r>
      <w:r>
        <w:rPr>
          <w:rFonts w:ascii="Consolas" w:hAnsi="Consolas"/>
          <w:color w:val="032F62"/>
          <w:sz w:val="21"/>
        </w:rPr>
        <w:t>LeadSector</w:t>
      </w:r>
      <w:r>
        <w:rPr>
          <w:rFonts w:ascii="Calibri" w:hAnsi="Calibri"/>
          <w:color w:val="24292E"/>
          <w:sz w:val="22"/>
        </w:rPr>
        <w:t xml:space="preserve"> join records. Sales can customize sectors for the opportunity without mutating the master Client record.  </w:t>
      </w:r>
    </w:p>
    <w:p>
      <w:pPr>
        <w:spacing w:before="40" w:after="80" w:line="276" w:lineRule="auto"/>
      </w:pPr>
      <w:r>
        <w:rPr>
          <w:rFonts w:ascii="Calibri" w:hAnsi="Calibri"/>
          <w:color w:val="24292E"/>
          <w:sz w:val="22"/>
        </w:rPr>
        <w:t xml:space="preserve">  &gt; </w:t>
      </w:r>
      <w:r>
        <w:rPr>
          <w:rFonts w:ascii="Calibri" w:hAnsi="Calibri"/>
          <w:b/>
          <w:color w:val="24292E"/>
          <w:sz w:val="22"/>
        </w:rPr>
        <w:t>Decision 1.3b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Place </w:t>
      </w:r>
      <w:r>
        <w:rPr>
          <w:rFonts w:ascii="Consolas" w:hAnsi="Consolas"/>
          <w:color w:val="032F62"/>
          <w:sz w:val="21"/>
        </w:rPr>
        <w:t>otherDetail: String?</w:t>
      </w:r>
      <w:r>
        <w:rPr>
          <w:rFonts w:ascii="Calibri" w:hAnsi="Calibri"/>
          <w:color w:val="24292E"/>
          <w:sz w:val="22"/>
        </w:rPr>
        <w:t xml:space="preserve"> directly on the join tables (</w:t>
      </w:r>
      <w:r>
        <w:rPr>
          <w:rFonts w:ascii="Consolas" w:hAnsi="Consolas"/>
          <w:color w:val="032F62"/>
          <w:sz w:val="21"/>
        </w:rPr>
        <w:t>LeadSector</w:t>
      </w:r>
      <w:r>
        <w:rPr>
          <w:rFonts w:ascii="Calibri" w:hAnsi="Calibri"/>
          <w:color w:val="24292E"/>
          <w:sz w:val="22"/>
        </w:rPr>
        <w:t xml:space="preserve"> and </w:t>
      </w:r>
      <w:r>
        <w:rPr>
          <w:rFonts w:ascii="Consolas" w:hAnsi="Consolas"/>
          <w:color w:val="032F62"/>
          <w:sz w:val="21"/>
        </w:rPr>
        <w:t>ClientSector</w:t>
      </w:r>
      <w:r>
        <w:rPr>
          <w:rFonts w:ascii="Calibri" w:hAnsi="Calibri"/>
          <w:color w:val="24292E"/>
          <w:sz w:val="22"/>
        </w:rPr>
        <w:t xml:space="preserve">) rather than on the root </w:t>
      </w:r>
      <w:r>
        <w:rPr>
          <w:rFonts w:ascii="Consolas" w:hAnsi="Consolas"/>
          <w:color w:val="032F62"/>
          <w:sz w:val="21"/>
        </w:rPr>
        <w:t>Lead</w:t>
      </w:r>
      <w:r>
        <w:rPr>
          <w:rFonts w:ascii="Calibri" w:hAnsi="Calibri"/>
          <w:color w:val="24292E"/>
          <w:sz w:val="22"/>
        </w:rPr>
        <w:t xml:space="preserve"> table. </w:t>
      </w:r>
      <w:r>
        <w:rPr>
          <w:rFonts w:ascii="Calibri" w:hAnsi="Calibri"/>
          <w:i/>
          <w:color w:val="24292E"/>
          <w:sz w:val="22"/>
        </w:rPr>
        <w:t>(Source: Author Review 1 - Revision #8)</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A client company may operate in Banking, but a specific lead may be purely for their Healthcare insurance subsidiary. Placing </w:t>
      </w:r>
      <w:r>
        <w:rPr>
          <w:rFonts w:ascii="Consolas" w:hAnsi="Consolas"/>
          <w:color w:val="032F62"/>
          <w:sz w:val="21"/>
        </w:rPr>
        <w:t>otherDetail</w:t>
      </w:r>
      <w:r>
        <w:rPr>
          <w:rFonts w:ascii="Calibri" w:hAnsi="Calibri"/>
          <w:color w:val="24292E"/>
          <w:sz w:val="22"/>
        </w:rPr>
        <w:t xml:space="preserve"> on the join record ensures clean multi-tenant and multi-sector precision without root table ambiguity.</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Join Models with otherDetail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model ClientSector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clientId    String</w:t>
      </w:r>
    </w:p>
    <w:p>
      <w:pPr>
        <w:spacing w:before="40" w:after="80" w:line="276" w:lineRule="auto"/>
      </w:pPr>
      <w:r>
        <w:rPr>
          <w:rFonts w:ascii="Calibri" w:hAnsi="Calibri"/>
          <w:color w:val="24292E"/>
          <w:sz w:val="22"/>
        </w:rPr>
        <w:t xml:space="preserve">      client      Client         @relation(fields: [clientId], references: [id], onDelete: Cascade)</w:t>
      </w:r>
    </w:p>
    <w:p>
      <w:pPr>
        <w:spacing w:before="40" w:after="80" w:line="276" w:lineRule="auto"/>
      </w:pPr>
      <w:r>
        <w:rPr>
          <w:rFonts w:ascii="Calibri" w:hAnsi="Calibri"/>
          <w:color w:val="24292E"/>
          <w:sz w:val="22"/>
        </w:rPr>
        <w:t xml:space="preserve">      sectorId    String</w:t>
      </w:r>
    </w:p>
    <w:p>
      <w:pPr>
        <w:spacing w:before="40" w:after="80" w:line="276" w:lineRule="auto"/>
      </w:pPr>
      <w:r>
        <w:rPr>
          <w:rFonts w:ascii="Calibri" w:hAnsi="Calibri"/>
          <w:color w:val="24292E"/>
          <w:sz w:val="22"/>
        </w:rPr>
        <w:t xml:space="preserve">      sector      IndustrySector @relation(fields: [sectorId], references: [id])</w:t>
      </w:r>
    </w:p>
    <w:p>
      <w:pPr>
        <w:spacing w:before="40" w:after="80" w:line="276" w:lineRule="auto"/>
      </w:pPr>
      <w:r>
        <w:rPr>
          <w:rFonts w:ascii="Calibri" w:hAnsi="Calibri"/>
          <w:color w:val="24292E"/>
          <w:sz w:val="22"/>
        </w:rPr>
        <w:t xml:space="preserve">      isPrimary   Boolean        @default(false)</w:t>
      </w:r>
    </w:p>
    <w:p>
      <w:pPr>
        <w:spacing w:before="40" w:after="80" w:line="276" w:lineRule="auto"/>
      </w:pPr>
      <w:r>
        <w:rPr>
          <w:rFonts w:ascii="Calibri" w:hAnsi="Calibri"/>
          <w:color w:val="24292E"/>
          <w:sz w:val="22"/>
        </w:rPr>
        <w:t xml:space="preserve">      otherDetail String?        // Specific text when sector code == "OTHER"</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@@unique([clientId, sectorId])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LeadSector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leadId      String</w:t>
      </w:r>
    </w:p>
    <w:p>
      <w:pPr>
        <w:spacing w:before="40" w:after="80" w:line="276" w:lineRule="auto"/>
      </w:pPr>
      <w:r>
        <w:rPr>
          <w:rFonts w:ascii="Calibri" w:hAnsi="Calibri"/>
          <w:color w:val="24292E"/>
          <w:sz w:val="22"/>
        </w:rPr>
        <w:t xml:space="preserve">      lead        Lead           @relation(fields: [leadId], references: [id], onDelete: Cascade)</w:t>
      </w:r>
    </w:p>
    <w:p>
      <w:pPr>
        <w:spacing w:before="40" w:after="80" w:line="276" w:lineRule="auto"/>
      </w:pPr>
      <w:r>
        <w:rPr>
          <w:rFonts w:ascii="Calibri" w:hAnsi="Calibri"/>
          <w:color w:val="24292E"/>
          <w:sz w:val="22"/>
        </w:rPr>
        <w:t xml:space="preserve">      sectorId    String</w:t>
      </w:r>
    </w:p>
    <w:p>
      <w:pPr>
        <w:spacing w:before="40" w:after="80" w:line="276" w:lineRule="auto"/>
      </w:pPr>
      <w:r>
        <w:rPr>
          <w:rFonts w:ascii="Calibri" w:hAnsi="Calibri"/>
          <w:color w:val="24292E"/>
          <w:sz w:val="22"/>
        </w:rPr>
        <w:t xml:space="preserve">      sector      IndustrySector @relation(fields: [sectorId], references: [id])</w:t>
      </w:r>
    </w:p>
    <w:p>
      <w:pPr>
        <w:spacing w:before="40" w:after="80" w:line="276" w:lineRule="auto"/>
      </w:pPr>
      <w:r>
        <w:rPr>
          <w:rFonts w:ascii="Calibri" w:hAnsi="Calibri"/>
          <w:color w:val="24292E"/>
          <w:sz w:val="22"/>
        </w:rPr>
        <w:t xml:space="preserve">      isPrimary   Boolean        @default(false)</w:t>
      </w:r>
    </w:p>
    <w:p>
      <w:pPr>
        <w:spacing w:before="40" w:after="80" w:line="276" w:lineRule="auto"/>
      </w:pPr>
      <w:r>
        <w:rPr>
          <w:rFonts w:ascii="Calibri" w:hAnsi="Calibri"/>
          <w:color w:val="24292E"/>
          <w:sz w:val="22"/>
        </w:rPr>
        <w:t xml:space="preserve">      otherDetail String?        // Specific text when sector code == "OTHER"</w:t>
      </w:r>
    </w:p>
    <w:p>
      <w:pPr>
        <w:spacing w:before="40" w:after="80" w:line="276" w:lineRule="auto"/>
      </w:pPr>
      <w:r>
        <w:rPr>
          <w:rFonts w:ascii="Calibri" w:hAnsi="Calibri"/>
          <w:color w:val="24292E"/>
          <w:sz w:val="22"/>
        </w:rPr>
        <w:t xml:space="preserve">      source      String         @default("CLIENT_SNAPSHOT") // CLIENT_SNAPSHOT | MANUAL_OVERRIDE</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@@unique([leadId, sectorId])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4: Multi-Sector Pipeline Attribution &amp; PostgreSQL Partial Unique Index</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multi-sector value attribution mencegah double counting?"</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does multi-sector value attribution prevent double counting in pipeline analytics?"</w:t>
      </w:r>
    </w:p>
    <w:p>
      <w:pPr>
        <w:pStyle w:val="ListBullet"/>
        <w:spacing w:before="20" w:after="40"/>
        <w:ind w:left="360"/>
      </w:pPr>
      <w:r>
        <w:rPr>
          <w:rFonts w:ascii="Calibri" w:hAnsi="Calibri"/>
          <w:b/>
          <w:color w:val="24292E"/>
          <w:sz w:val="21"/>
        </w:rPr>
        <w:t>In the Simplest Terms</w:t>
      </w:r>
      <w:r>
        <w:rPr>
          <w:rFonts w:ascii="Calibri" w:hAnsi="Calibri"/>
          <w:color w:val="24292E"/>
          <w:sz w:val="21"/>
        </w:rPr>
        <w:t>: In executive summary dashboards, each lead is counted once for total company revenue. In sector breakdown charts, deals are categorized by their primary sector.</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Two-Tier Attribution Architecture</w:t>
      </w:r>
      <w:r>
        <w:rPr>
          <w:rFonts w:ascii="Calibri" w:hAnsi="Calibri"/>
          <w:color w:val="24292E"/>
          <w:sz w:val="22"/>
        </w:rPr>
        <w:t xml:space="preserve">: (1) Executive total pipeline metrics use strict distinct-lead aggregation. (2) Sector breakdown reports categorize revenue by the </w:t>
      </w:r>
      <w:r>
        <w:rPr>
          <w:rFonts w:ascii="Consolas" w:hAnsi="Consolas"/>
          <w:color w:val="032F62"/>
          <w:sz w:val="21"/>
        </w:rPr>
        <w:t>isPrimary = true</w:t>
      </w:r>
      <w:r>
        <w:rPr>
          <w:rFonts w:ascii="Calibri" w:hAnsi="Calibri"/>
          <w:color w:val="24292E"/>
          <w:sz w:val="22"/>
        </w:rPr>
        <w:t xml:space="preserve"> sector for 100% additive slices.  </w:t>
      </w:r>
    </w:p>
    <w:p>
      <w:pPr>
        <w:spacing w:before="40" w:after="80" w:line="276" w:lineRule="auto"/>
      </w:pPr>
      <w:r>
        <w:rPr>
          <w:rFonts w:ascii="Calibri" w:hAnsi="Calibri"/>
          <w:color w:val="24292E"/>
          <w:sz w:val="22"/>
        </w:rPr>
        <w:t xml:space="preserve">  &gt; </w:t>
      </w:r>
      <w:r>
        <w:rPr>
          <w:rFonts w:ascii="Calibri" w:hAnsi="Calibri"/>
          <w:b/>
          <w:color w:val="24292E"/>
          <w:sz w:val="22"/>
        </w:rPr>
        <w:t>Decision 1.4b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Exactly-One-Primary Invariant Architecture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Database Layer (At Most One)</w:t>
      </w:r>
      <w:r>
        <w:rPr>
          <w:rFonts w:ascii="Calibri" w:hAnsi="Calibri"/>
          <w:color w:val="24292E"/>
          <w:sz w:val="22"/>
        </w:rPr>
        <w:t>: A PostgreSQL Partial Unique Index (</w:t>
      </w:r>
      <w:r>
        <w:rPr>
          <w:rFonts w:ascii="Consolas" w:hAnsi="Consolas"/>
          <w:color w:val="032F62"/>
          <w:sz w:val="21"/>
        </w:rPr>
        <w:t>CREATE UNIQUE INDEX one_primary_sector_per_lead ON "LeadSector" ("leadId") WHERE "isPrimary" = true;</w:t>
      </w:r>
      <w:r>
        <w:rPr>
          <w:rFonts w:ascii="Calibri" w:hAnsi="Calibri"/>
          <w:color w:val="24292E"/>
          <w:sz w:val="22"/>
        </w:rPr>
        <w:t xml:space="preserve">) guarantees that no more than one sector can ever be primary.  </w:t>
      </w:r>
    </w:p>
    <w:p>
      <w:pPr>
        <w:spacing w:before="40" w:after="80" w:line="276" w:lineRule="auto"/>
      </w:pPr>
      <w:r>
        <w:rPr>
          <w:rFonts w:ascii="Calibri" w:hAnsi="Calibri"/>
          <w:color w:val="24292E"/>
          <w:sz w:val="22"/>
        </w:rPr>
        <w:t xml:space="preserve">  &gt; - </w:t>
      </w:r>
      <w:r>
        <w:rPr>
          <w:rFonts w:ascii="Calibri" w:hAnsi="Calibri"/>
          <w:b/>
          <w:color w:val="24292E"/>
          <w:sz w:val="22"/>
        </w:rPr>
        <w:t>Application Lifecycle Layer (At Least One)</w:t>
      </w:r>
      <w:r>
        <w:rPr>
          <w:rFonts w:ascii="Calibri" w:hAnsi="Calibri"/>
          <w:color w:val="24292E"/>
          <w:sz w:val="22"/>
        </w:rPr>
        <w:t xml:space="preserve">: Application validation and transaction lifecycle ensure that every lead with $\ge 1$ sector assignment has at least one sector marked </w:t>
      </w:r>
      <w:r>
        <w:rPr>
          <w:rFonts w:ascii="Consolas" w:hAnsi="Consolas"/>
          <w:color w:val="032F62"/>
          <w:sz w:val="21"/>
        </w:rPr>
        <w:t>isPrimary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Combined Result</w:t>
      </w:r>
      <w:r>
        <w:rPr>
          <w:rFonts w:ascii="Calibri" w:hAnsi="Calibri"/>
          <w:color w:val="24292E"/>
          <w:sz w:val="22"/>
        </w:rPr>
        <w:t xml:space="preserve">: Guarantees </w:t>
      </w:r>
      <w:r>
        <w:rPr>
          <w:rFonts w:ascii="Calibri" w:hAnsi="Calibri"/>
          <w:b/>
          <w:color w:val="24292E"/>
          <w:sz w:val="22"/>
        </w:rPr>
        <w:t>exactly one primary sector per lead</w:t>
      </w:r>
      <w:r>
        <w:rPr>
          <w:rFonts w:ascii="Calibri" w:hAnsi="Calibri"/>
          <w:color w:val="24292E"/>
          <w:sz w:val="22"/>
        </w:rPr>
        <w:t xml:space="preserve">. </w:t>
      </w:r>
      <w:r>
        <w:rPr>
          <w:rFonts w:ascii="Calibri" w:hAnsi="Calibri"/>
          <w:i/>
          <w:color w:val="24292E"/>
          <w:sz w:val="22"/>
        </w:rPr>
        <w:t>(Source: Author Review 4 - Item #5)</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PostgreSQL Partial Unique Index Migration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`sql</w:t>
      </w:r>
    </w:p>
    <w:p>
      <w:pPr>
        <w:spacing w:before="40" w:after="80" w:line="276" w:lineRule="auto"/>
      </w:pPr>
      <w:r>
        <w:rPr>
          <w:rFonts w:ascii="Calibri" w:hAnsi="Calibri"/>
          <w:color w:val="24292E"/>
          <w:sz w:val="22"/>
        </w:rPr>
        <w:t xml:space="preserve">    -- Enforce that at most one LeadSector per lead can be marked isPrimary = true</w:t>
      </w:r>
    </w:p>
    <w:p>
      <w:pPr>
        <w:spacing w:before="40" w:after="80" w:line="276" w:lineRule="auto"/>
      </w:pPr>
      <w:r>
        <w:rPr>
          <w:rFonts w:ascii="Calibri" w:hAnsi="Calibri"/>
          <w:color w:val="24292E"/>
          <w:sz w:val="22"/>
        </w:rPr>
        <w:t xml:space="preserve">    CREATE UNIQUE INDEX one_primary_sector_per_lead </w:t>
      </w:r>
    </w:p>
    <w:p>
      <w:pPr>
        <w:spacing w:before="40" w:after="80" w:line="276" w:lineRule="auto"/>
      </w:pPr>
      <w:r>
        <w:rPr>
          <w:rFonts w:ascii="Calibri" w:hAnsi="Calibri"/>
          <w:color w:val="24292E"/>
          <w:sz w:val="22"/>
        </w:rPr>
        <w:t xml:space="preserve">    ON "LeadSector" ("leadId") </w:t>
      </w:r>
    </w:p>
    <w:p>
      <w:pPr>
        <w:spacing w:before="40" w:after="80" w:line="276" w:lineRule="auto"/>
      </w:pPr>
      <w:r>
        <w:rPr>
          <w:rFonts w:ascii="Calibri" w:hAnsi="Calibri"/>
          <w:color w:val="24292E"/>
          <w:sz w:val="22"/>
        </w:rPr>
        <w:t xml:space="preserve">    WHERE "isPrimary" = true;</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Atomic Primary Switch Transaction with Tagged Advisory Lock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await prisma.$transaction(async (tx) =&gt; {</w:t>
      </w:r>
    </w:p>
    <w:p>
      <w:pPr>
        <w:spacing w:before="40" w:after="80" w:line="276" w:lineRule="auto"/>
      </w:pPr>
      <w:r>
        <w:rPr>
          <w:rFonts w:ascii="Calibri" w:hAnsi="Calibri"/>
          <w:color w:val="24292E"/>
          <w:sz w:val="22"/>
        </w:rPr>
        <w:t xml:space="preserve">      // 1. Acquire per-lead transaction advisory lock using tagged template literal</w:t>
      </w:r>
    </w:p>
    <w:p>
      <w:pPr>
        <w:spacing w:before="40" w:after="80" w:line="276" w:lineRule="auto"/>
      </w:pPr>
      <w:r>
        <w:rPr>
          <w:rFonts w:ascii="Calibri" w:hAnsi="Calibri"/>
          <w:color w:val="24292E"/>
          <w:sz w:val="22"/>
        </w:rPr>
        <w:t xml:space="preserve">      await tx.$executeRaw</w:t>
      </w:r>
      <w:r>
        <w:rPr>
          <w:rFonts w:ascii="Consolas" w:hAnsi="Consolas"/>
          <w:color w:val="032F62"/>
          <w:sz w:val="21"/>
        </w:rPr>
        <w:t>SELECT pg_advisory_xact_lock(hashtext(${leadId}))</w:t>
      </w:r>
      <w:r>
        <w:rPr>
          <w:rFonts w:ascii="Calibri" w:hAnsi="Calibri"/>
          <w:color w:val="24292E"/>
          <w:sz w:val="22"/>
        </w:rPr>
        <w:t>;</w:t>
      </w:r>
    </w:p>
    <w:p>
      <w:pPr>
        <w:spacing w:before="40" w:after="80" w:line="276" w:lineRule="auto"/>
      </w:pPr>
      <w:r>
        <w:rPr>
          <w:rFonts w:ascii="Calibri" w:hAnsi="Calibri"/>
          <w:color w:val="24292E"/>
          <w:sz w:val="22"/>
        </w:rPr>
        <w:t xml:space="preserve">      // 2. Reset existing primary flags for the lead</w:t>
      </w:r>
    </w:p>
    <w:p>
      <w:pPr>
        <w:spacing w:before="40" w:after="80" w:line="276" w:lineRule="auto"/>
      </w:pPr>
      <w:r>
        <w:rPr>
          <w:rFonts w:ascii="Calibri" w:hAnsi="Calibri"/>
          <w:color w:val="24292E"/>
          <w:sz w:val="22"/>
        </w:rPr>
        <w:t xml:space="preserve">      await tx.leadSector.updateMany({</w:t>
      </w:r>
    </w:p>
    <w:p>
      <w:pPr>
        <w:spacing w:before="40" w:after="80" w:line="276" w:lineRule="auto"/>
      </w:pPr>
      <w:r>
        <w:rPr>
          <w:rFonts w:ascii="Calibri" w:hAnsi="Calibri"/>
          <w:color w:val="24292E"/>
          <w:sz w:val="22"/>
        </w:rPr>
        <w:t xml:space="preserve">        where: { leadId },</w:t>
      </w:r>
    </w:p>
    <w:p>
      <w:pPr>
        <w:spacing w:before="40" w:after="80" w:line="276" w:lineRule="auto"/>
      </w:pPr>
      <w:r>
        <w:rPr>
          <w:rFonts w:ascii="Calibri" w:hAnsi="Calibri"/>
          <w:color w:val="24292E"/>
          <w:sz w:val="22"/>
        </w:rPr>
        <w:t xml:space="preserve">        data: { isPrimary: false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3. Set the new designated primary sector</w:t>
      </w:r>
    </w:p>
    <w:p>
      <w:pPr>
        <w:spacing w:before="40" w:after="80" w:line="276" w:lineRule="auto"/>
      </w:pPr>
      <w:r>
        <w:rPr>
          <w:rFonts w:ascii="Calibri" w:hAnsi="Calibri"/>
          <w:color w:val="24292E"/>
          <w:sz w:val="22"/>
        </w:rPr>
        <w:t xml:space="preserve">      await tx.leadSector.update({</w:t>
      </w:r>
    </w:p>
    <w:p>
      <w:pPr>
        <w:spacing w:before="40" w:after="80" w:line="276" w:lineRule="auto"/>
      </w:pPr>
      <w:r>
        <w:rPr>
          <w:rFonts w:ascii="Calibri" w:hAnsi="Calibri"/>
          <w:color w:val="24292E"/>
          <w:sz w:val="22"/>
        </w:rPr>
        <w:t xml:space="preserve">        where: { leadId_sectorId: { leadId, sectorId: newPrimarySectorId } },</w:t>
      </w:r>
    </w:p>
    <w:p>
      <w:pPr>
        <w:spacing w:before="40" w:after="80" w:line="276" w:lineRule="auto"/>
      </w:pPr>
      <w:r>
        <w:rPr>
          <w:rFonts w:ascii="Calibri" w:hAnsi="Calibri"/>
          <w:color w:val="24292E"/>
          <w:sz w:val="22"/>
        </w:rPr>
        <w:t xml:space="preserve">        data: { isPrimary: true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5: Handling "OTHER", Inactive Sector Lifecycle, &amp; CRM Ingestion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OTHER, sector deactivation, dan Pipedrive unknown mapping ditangani?"</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'OTHER', sector deactivation, and unmapped Pipedrive sectors handled?"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If someone picks "OTHER", they must write a description. Deactivated sectors stay valid on old leads for history, but can't be chosen for new ones. Unknown sectors from CRM go to a review queue instead of making junk data.</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Enforce mandatory text details when selecting the </w:t>
      </w:r>
      <w:r>
        <w:rPr>
          <w:rFonts w:ascii="Consolas" w:hAnsi="Consolas"/>
          <w:color w:val="032F62"/>
          <w:sz w:val="21"/>
        </w:rPr>
        <w:t>"OTHER"</w:t>
      </w:r>
      <w:r>
        <w:rPr>
          <w:rFonts w:ascii="Calibri" w:hAnsi="Calibri"/>
          <w:color w:val="24292E"/>
          <w:sz w:val="22"/>
        </w:rPr>
        <w:t xml:space="preserve"> sector code; apply soft-deletion (</w:t>
      </w:r>
      <w:r>
        <w:rPr>
          <w:rFonts w:ascii="Consolas" w:hAnsi="Consolas"/>
          <w:color w:val="032F62"/>
          <w:sz w:val="21"/>
        </w:rPr>
        <w:t>isActive = false</w:t>
      </w:r>
      <w:r>
        <w:rPr>
          <w:rFonts w:ascii="Calibri" w:hAnsi="Calibri"/>
          <w:color w:val="24292E"/>
          <w:sz w:val="22"/>
        </w:rPr>
        <w:t xml:space="preserve">) to preserve historical joins; and route unrecognized CRM sectors into a dedicated </w:t>
      </w:r>
      <w:r>
        <w:rPr>
          <w:rFonts w:ascii="Consolas" w:hAnsi="Consolas"/>
          <w:color w:val="032F62"/>
          <w:sz w:val="21"/>
        </w:rPr>
        <w:t>UNCLASSIFIED</w:t>
      </w:r>
      <w:r>
        <w:rPr>
          <w:rFonts w:ascii="Calibri" w:hAnsi="Calibri"/>
          <w:color w:val="24292E"/>
          <w:sz w:val="22"/>
        </w:rPr>
        <w:t xml:space="preserve"> quarantine queue for admin review.  </w:t>
      </w:r>
    </w:p>
    <w:p>
      <w:pPr>
        <w:spacing w:before="40" w:after="80" w:line="276" w:lineRule="auto"/>
      </w:pPr>
      <w:r>
        <w:rPr>
          <w:rFonts w:ascii="Calibri" w:hAnsi="Calibri"/>
          <w:color w:val="24292E"/>
          <w:sz w:val="22"/>
        </w:rPr>
        <w:t xml:space="preserve">  &gt; </w:t>
      </w:r>
      <w:r>
        <w:rPr>
          <w:rFonts w:ascii="Calibri" w:hAnsi="Calibri"/>
          <w:b/>
          <w:color w:val="24292E"/>
          <w:sz w:val="22"/>
        </w:rPr>
        <w:t>Decision 1.5b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Deactivated sectors remain valid for historical classification and reporting; existing historical leads retain their classification without error; deactivated sectors are blocked from new assignments; and the system prompts </w:t>
      </w:r>
      <w:r>
        <w:rPr>
          <w:rFonts w:ascii="Consolas" w:hAnsi="Consolas"/>
          <w:color w:val="032F62"/>
          <w:sz w:val="21"/>
        </w:rPr>
        <w:t>SECTOR_RECLASSIFICATION_REQUIRED</w:t>
      </w:r>
      <w:r>
        <w:rPr>
          <w:rFonts w:ascii="Calibri" w:hAnsi="Calibri"/>
          <w:color w:val="24292E"/>
          <w:sz w:val="22"/>
        </w:rPr>
        <w:t xml:space="preserve"> only upon major deal renegotiations or scope revisions. </w:t>
      </w:r>
      <w:r>
        <w:rPr>
          <w:rFonts w:ascii="Calibri" w:hAnsi="Calibri"/>
          <w:i/>
          <w:color w:val="24292E"/>
          <w:sz w:val="22"/>
        </w:rPr>
        <w:t>(Source: Author Review 2 - Item #5)</w:t>
      </w:r>
    </w:p>
    <w:p>
      <w:pPr>
        <w:spacing w:before="120" w:after="120"/>
        <w:pBdr>
          <w:bottom w:val="single" w:sz="6" w:space="1" w:color="E1E4E8"/>
        </w:pBdr>
      </w:pPr>
    </w:p>
    <w:p>
      <w:pPr>
        <w:keepNext/>
        <w:spacing w:before="200" w:after="80"/>
      </w:pPr>
      <w:r>
        <w:rPr>
          <w:rFonts w:ascii="Calibri" w:hAnsi="Calibri"/>
          <w:b/>
          <w:color w:val="1F4E79"/>
          <w:sz w:val="26"/>
        </w:rPr>
        <w:t>🏢 Category 2: Organization Structure &amp; Principal Routing (</w:t>
      </w:r>
      <w:r>
        <w:rPr>
          <w:rFonts w:ascii="Consolas" w:hAnsi="Consolas"/>
          <w:color w:val="032F62"/>
          <w:sz w:val="25"/>
        </w:rPr>
        <w:t>DEMO-03</w:t>
      </w:r>
      <w:r>
        <w:rPr>
          <w:rFonts w:ascii="Calibri" w:hAnsi="Calibri"/>
          <w:color w:val="1F4E79"/>
          <w:sz w:val="26"/>
        </w:rPr>
        <w:t xml:space="preserve"> &amp; </w:t>
      </w:r>
      <w:r>
        <w:rPr>
          <w:rFonts w:ascii="Consolas" w:hAnsi="Consolas"/>
          <w:color w:val="032F62"/>
          <w:sz w:val="25"/>
        </w:rPr>
        <w:t>DEMO-04</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6: Business Unit (BU) Cardinality &amp; Normalized Secondary BUs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"Satu atau banyak BU per Lead?"</w:t>
      </w:r>
    </w:p>
    <w:p>
      <w:pPr>
        <w:pStyle w:val="ListBullet"/>
        <w:spacing w:before="20" w:after="40"/>
        <w:ind w:left="360"/>
      </w:pPr>
      <w:r>
        <w:rPr>
          <w:rFonts w:ascii="Calibri" w:hAnsi="Calibri"/>
          <w:b/>
          <w:color w:val="24292E"/>
          <w:sz w:val="21"/>
        </w:rPr>
        <w:t>English Translation</w:t>
      </w:r>
      <w:r>
        <w:rPr>
          <w:rFonts w:ascii="Calibri" w:hAnsi="Calibri"/>
          <w:color w:val="24292E"/>
          <w:sz w:val="21"/>
        </w:rPr>
        <w:t>: "Single or multiple Business Units per Lead?"</w:t>
      </w:r>
    </w:p>
    <w:p>
      <w:pPr>
        <w:pStyle w:val="ListBullet"/>
        <w:spacing w:before="20" w:after="40"/>
        <w:ind w:left="360"/>
      </w:pPr>
      <w:r>
        <w:rPr>
          <w:rFonts w:ascii="Calibri" w:hAnsi="Calibri"/>
          <w:b/>
          <w:color w:val="24292E"/>
          <w:sz w:val="21"/>
        </w:rPr>
        <w:t>In the Simplest Terms</w:t>
      </w:r>
      <w:r>
        <w:rPr>
          <w:rFonts w:ascii="Calibri" w:hAnsi="Calibri"/>
          <w:color w:val="24292E"/>
          <w:sz w:val="21"/>
        </w:rPr>
        <w:t>: Exactly one Primary BU owns the deal for commercial accountability. If other departments help, they join through project workstreams upon project creation.</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2.1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Exactly </w:t>
      </w:r>
      <w:r>
        <w:rPr>
          <w:rFonts w:ascii="Calibri" w:hAnsi="Calibri"/>
          <w:b/>
          <w:color w:val="24292E"/>
          <w:sz w:val="22"/>
        </w:rPr>
        <w:t>one Primary Business Unit</w:t>
      </w:r>
      <w:r>
        <w:rPr>
          <w:rFonts w:ascii="Calibri" w:hAnsi="Calibri"/>
          <w:color w:val="24292E"/>
          <w:sz w:val="22"/>
        </w:rPr>
        <w:t xml:space="preserve"> (</w:t>
      </w:r>
      <w:r>
        <w:rPr>
          <w:rFonts w:ascii="Consolas" w:hAnsi="Consolas"/>
          <w:color w:val="032F62"/>
          <w:sz w:val="21"/>
        </w:rPr>
        <w:t>primaryBusinessUnitId</w:t>
      </w:r>
      <w:r>
        <w:rPr>
          <w:rFonts w:ascii="Calibri" w:hAnsi="Calibri"/>
          <w:color w:val="24292E"/>
          <w:sz w:val="22"/>
        </w:rPr>
        <w:t xml:space="preserve">) per </w:t>
      </w:r>
      <w:r>
        <w:rPr>
          <w:rFonts w:ascii="Consolas" w:hAnsi="Consolas"/>
          <w:color w:val="032F62"/>
          <w:sz w:val="21"/>
        </w:rPr>
        <w:t>Lead</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2.1b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Replace scalar string arrays with a </w:t>
      </w:r>
      <w:r>
        <w:rPr>
          <w:rFonts w:ascii="Calibri" w:hAnsi="Calibri"/>
          <w:b/>
          <w:color w:val="24292E"/>
          <w:sz w:val="22"/>
        </w:rPr>
        <w:t>Normalized Junction Table (`LeadSupportingBusinessUnit`)</w:t>
      </w:r>
      <w:r>
        <w:rPr>
          <w:rFonts w:ascii="Calibri" w:hAnsi="Calibri"/>
          <w:color w:val="24292E"/>
          <w:sz w:val="22"/>
        </w:rPr>
        <w:t xml:space="preserve"> to record secondary/participating BUs with full referential integrity and role attribution during proposal/presales. Multi-BU delivery participation is formally realized via </w:t>
      </w:r>
      <w:r>
        <w:rPr>
          <w:rFonts w:ascii="Consolas" w:hAnsi="Consolas"/>
          <w:color w:val="032F62"/>
          <w:sz w:val="21"/>
        </w:rPr>
        <w:t>ProjectWorkstream</w:t>
      </w:r>
      <w:r>
        <w:rPr>
          <w:rFonts w:ascii="Calibri" w:hAnsi="Calibri"/>
          <w:color w:val="24292E"/>
          <w:sz w:val="22"/>
        </w:rPr>
        <w:t xml:space="preserve"> records upon project conversion. </w:t>
      </w:r>
      <w:r>
        <w:rPr>
          <w:rFonts w:ascii="Calibri" w:hAnsi="Calibri"/>
          <w:i/>
          <w:color w:val="24292E"/>
          <w:sz w:val="22"/>
        </w:rPr>
        <w:t>(Source: Author Review 1 - Revision #9)</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Single Primary BU ownership ensures unambiguous sales quota attribution and deterministic approval routing, while a normalized supporting BU table enables cross-practice collaboration without corrupting referential integrity.</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Schema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model BusinessUnit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code        String   @unique // e.g. "BU-SEC", "BU-CLOUD", "BU-GOV"</w:t>
      </w:r>
    </w:p>
    <w:p>
      <w:pPr>
        <w:spacing w:before="40" w:after="80" w:line="276" w:lineRule="auto"/>
      </w:pPr>
      <w:r>
        <w:rPr>
          <w:rFonts w:ascii="Calibri" w:hAnsi="Calibri"/>
          <w:color w:val="24292E"/>
          <w:sz w:val="22"/>
        </w:rPr>
        <w:t xml:space="preserve">      name        String   @unique</w:t>
      </w:r>
    </w:p>
    <w:p>
      <w:pPr>
        <w:spacing w:before="40" w:after="80" w:line="276" w:lineRule="auto"/>
      </w:pPr>
      <w:r>
        <w:rPr>
          <w:rFonts w:ascii="Calibri" w:hAnsi="Calibri"/>
          <w:color w:val="24292E"/>
          <w:sz w:val="22"/>
        </w:rPr>
        <w:t xml:space="preserve">      description String?</w:t>
      </w:r>
    </w:p>
    <w:p>
      <w:pPr>
        <w:spacing w:before="40" w:after="80" w:line="276" w:lineRule="auto"/>
      </w:pPr>
      <w:r>
        <w:rPr>
          <w:rFonts w:ascii="Calibri" w:hAnsi="Calibri"/>
          <w:color w:val="24292E"/>
          <w:sz w:val="22"/>
        </w:rPr>
        <w:t xml:space="preserve">      isActive    Boolean  @default(true)</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updatedAt   DateTime @updatedAt</w:t>
      </w:r>
    </w:p>
    <w:p>
      <w:pPr>
        <w:spacing w:before="40" w:after="80" w:line="276" w:lineRule="auto"/>
      </w:pPr>
      <w:r>
        <w:rPr>
          <w:rFonts w:ascii="Calibri" w:hAnsi="Calibri"/>
          <w:color w:val="24292E"/>
          <w:sz w:val="22"/>
        </w:rPr>
        <w:t xml:space="preserve">      leadsPrimary        Lead[]</w:t>
      </w:r>
    </w:p>
    <w:p>
      <w:pPr>
        <w:spacing w:before="40" w:after="80" w:line="276" w:lineRule="auto"/>
      </w:pPr>
      <w:r>
        <w:rPr>
          <w:rFonts w:ascii="Calibri" w:hAnsi="Calibri"/>
          <w:color w:val="24292E"/>
          <w:sz w:val="22"/>
        </w:rPr>
        <w:t xml:space="preserve">      leadsSupporting     LeadSupportingBusinessUnit[]</w:t>
      </w:r>
    </w:p>
    <w:p>
      <w:pPr>
        <w:spacing w:before="40" w:after="80" w:line="276" w:lineRule="auto"/>
      </w:pPr>
      <w:r>
        <w:rPr>
          <w:rFonts w:ascii="Calibri" w:hAnsi="Calibri"/>
          <w:color w:val="24292E"/>
          <w:sz w:val="22"/>
        </w:rPr>
        <w:t xml:space="preserve">      principals          BusinessUnitPrincipal[]</w:t>
      </w:r>
    </w:p>
    <w:p>
      <w:pPr>
        <w:spacing w:before="40" w:after="80" w:line="276" w:lineRule="auto"/>
      </w:pPr>
      <w:r>
        <w:rPr>
          <w:rFonts w:ascii="Calibri" w:hAnsi="Calibri"/>
          <w:color w:val="24292E"/>
          <w:sz w:val="22"/>
        </w:rPr>
        <w:t xml:space="preserve">      users               User[]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LeadSupportingBusinessUnit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leadId              String</w:t>
      </w:r>
    </w:p>
    <w:p>
      <w:pPr>
        <w:spacing w:before="40" w:after="80" w:line="276" w:lineRule="auto"/>
      </w:pPr>
      <w:r>
        <w:rPr>
          <w:rFonts w:ascii="Calibri" w:hAnsi="Calibri"/>
          <w:color w:val="24292E"/>
          <w:sz w:val="22"/>
        </w:rPr>
        <w:t xml:space="preserve">      lead                Lead         @relation(fields: [leadId], references: [id], onDelete: Cascade)</w:t>
      </w:r>
    </w:p>
    <w:p>
      <w:pPr>
        <w:spacing w:before="40" w:after="80" w:line="276" w:lineRule="auto"/>
      </w:pPr>
      <w:r>
        <w:rPr>
          <w:rFonts w:ascii="Calibri" w:hAnsi="Calibri"/>
          <w:color w:val="24292E"/>
          <w:sz w:val="22"/>
        </w:rPr>
        <w:t xml:space="preserve">      businessUnitId      String</w:t>
      </w:r>
    </w:p>
    <w:p>
      <w:pPr>
        <w:spacing w:before="40" w:after="80" w:line="276" w:lineRule="auto"/>
      </w:pPr>
      <w:r>
        <w:rPr>
          <w:rFonts w:ascii="Calibri" w:hAnsi="Calibri"/>
          <w:color w:val="24292E"/>
          <w:sz w:val="22"/>
        </w:rPr>
        <w:t xml:space="preserve">      businessUnit        BusinessUnit @relation(fields: [businessUnitId], references: [id])</w:t>
      </w:r>
    </w:p>
    <w:p>
      <w:pPr>
        <w:spacing w:before="40" w:after="80" w:line="276" w:lineRule="auto"/>
      </w:pPr>
      <w:r>
        <w:rPr>
          <w:rFonts w:ascii="Calibri" w:hAnsi="Calibri"/>
          <w:color w:val="24292E"/>
          <w:sz w:val="22"/>
        </w:rPr>
        <w:t xml:space="preserve">      assignedPrincipalId String?</w:t>
      </w:r>
    </w:p>
    <w:p>
      <w:pPr>
        <w:spacing w:before="40" w:after="80" w:line="276" w:lineRule="auto"/>
      </w:pPr>
      <w:r>
        <w:rPr>
          <w:rFonts w:ascii="Calibri" w:hAnsi="Calibri"/>
          <w:color w:val="24292E"/>
          <w:sz w:val="22"/>
        </w:rPr>
        <w:t xml:space="preserve">      assignedPrincipal   User?        @relation(fields: [assignedPrincipalId], references: [id])</w:t>
      </w:r>
    </w:p>
    <w:p>
      <w:pPr>
        <w:spacing w:before="40" w:after="80" w:line="276" w:lineRule="auto"/>
      </w:pPr>
      <w:r>
        <w:rPr>
          <w:rFonts w:ascii="Calibri" w:hAnsi="Calibri"/>
          <w:color w:val="24292E"/>
          <w:sz w:val="22"/>
        </w:rPr>
        <w:t xml:space="preserve">      role                String?      // e.g. "Cloud Architecture Support", "Security Audit"</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@@unique([leadId, businessUnitId])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7: Principal Assignment &amp; Leave-Aware Fallback Routing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"Satu atau banyak Principal per BU dan fallback?"</w:t>
      </w:r>
    </w:p>
    <w:p>
      <w:pPr>
        <w:pStyle w:val="ListBullet"/>
        <w:spacing w:before="20" w:after="40"/>
        <w:ind w:left="360"/>
      </w:pPr>
      <w:r>
        <w:rPr>
          <w:rFonts w:ascii="Calibri" w:hAnsi="Calibri"/>
          <w:b/>
          <w:color w:val="24292E"/>
          <w:sz w:val="21"/>
        </w:rPr>
        <w:t>English Translation</w:t>
      </w:r>
      <w:r>
        <w:rPr>
          <w:rFonts w:ascii="Calibri" w:hAnsi="Calibri"/>
          <w:color w:val="24292E"/>
          <w:sz w:val="21"/>
        </w:rPr>
        <w:t>: "Single or multiple Principals per BU, and what is the fallback routing?"</w:t>
      </w:r>
    </w:p>
    <w:p>
      <w:pPr>
        <w:pStyle w:val="ListBullet"/>
        <w:spacing w:before="20" w:after="40"/>
        <w:ind w:left="360"/>
      </w:pPr>
      <w:r>
        <w:rPr>
          <w:rFonts w:ascii="Calibri" w:hAnsi="Calibri"/>
          <w:b/>
          <w:color w:val="24292E"/>
          <w:sz w:val="21"/>
        </w:rPr>
        <w:t>In the Simplest Terms</w:t>
      </w:r>
      <w:r>
        <w:rPr>
          <w:rFonts w:ascii="Calibri" w:hAnsi="Calibri"/>
          <w:color w:val="24292E"/>
          <w:sz w:val="21"/>
        </w:rPr>
        <w:t>: A BU can have multiple Principals. One is designated as the Primary Approver, with an automated fallback to a Backup Principal if the primary is on leave.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2.2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Introduce a </w:t>
      </w:r>
      <w:r>
        <w:rPr>
          <w:rFonts w:ascii="Consolas" w:hAnsi="Consolas"/>
          <w:color w:val="032F62"/>
          <w:sz w:val="21"/>
        </w:rPr>
        <w:t>BusinessUnitPrincipal</w:t>
      </w:r>
      <w:r>
        <w:rPr>
          <w:rFonts w:ascii="Calibri" w:hAnsi="Calibri"/>
          <w:color w:val="24292E"/>
          <w:sz w:val="22"/>
        </w:rPr>
        <w:t xml:space="preserve"> junction table supporting multiple Principals per BU with explicit </w:t>
      </w:r>
      <w:r>
        <w:rPr>
          <w:rFonts w:ascii="Consolas" w:hAnsi="Consolas"/>
          <w:color w:val="032F62"/>
          <w:sz w:val="21"/>
        </w:rPr>
        <w:t>isPrimary: Boolean</w:t>
      </w:r>
      <w:r>
        <w:rPr>
          <w:rFonts w:ascii="Calibri" w:hAnsi="Calibri"/>
          <w:color w:val="24292E"/>
          <w:sz w:val="22"/>
        </w:rPr>
        <w:t xml:space="preserve"> flags and an automated leave-aware fallback routing engine.  </w:t>
      </w:r>
    </w:p>
    <w:p>
      <w:pPr>
        <w:spacing w:before="40" w:after="80" w:line="276" w:lineRule="auto"/>
      </w:pPr>
      <w:r>
        <w:rPr>
          <w:rFonts w:ascii="Calibri" w:hAnsi="Calibri"/>
          <w:color w:val="24292E"/>
          <w:sz w:val="22"/>
        </w:rPr>
        <w:t xml:space="preserve">  &gt; </w:t>
      </w:r>
      <w:r>
        <w:rPr>
          <w:rFonts w:ascii="Calibri" w:hAnsi="Calibri"/>
          <w:b/>
          <w:color w:val="24292E"/>
          <w:sz w:val="22"/>
        </w:rPr>
        <w:t>Decision 2.2b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Use actual system roles (</w:t>
      </w:r>
      <w:r>
        <w:rPr>
          <w:rFonts w:ascii="Consolas" w:hAnsi="Consolas"/>
          <w:color w:val="032F62"/>
          <w:sz w:val="21"/>
        </w:rPr>
        <w:t>PRINCIPAL_KONSULTAN</w:t>
      </w:r>
      <w:r>
        <w:rPr>
          <w:rFonts w:ascii="Calibri" w:hAnsi="Calibri"/>
          <w:color w:val="24292E"/>
          <w:sz w:val="22"/>
        </w:rPr>
        <w:t xml:space="preserve">, </w:t>
      </w:r>
      <w:r>
        <w:rPr>
          <w:rFonts w:ascii="Consolas" w:hAnsi="Consolas"/>
          <w:color w:val="032F62"/>
          <w:sz w:val="21"/>
        </w:rPr>
        <w:t>PRINCIPAL_TECHNICAL_WRITER</w:t>
      </w:r>
      <w:r>
        <w:rPr>
          <w:rFonts w:ascii="Calibri" w:hAnsi="Calibri"/>
          <w:color w:val="24292E"/>
          <w:sz w:val="22"/>
        </w:rPr>
        <w:t xml:space="preserve">, </w:t>
      </w:r>
      <w:r>
        <w:rPr>
          <w:rFonts w:ascii="Consolas" w:hAnsi="Consolas"/>
          <w:color w:val="032F62"/>
          <w:sz w:val="21"/>
        </w:rPr>
        <w:t>PRINCIPAL_ADMIN_PROJECT</w:t>
      </w:r>
      <w:r>
        <w:rPr>
          <w:rFonts w:ascii="Calibri" w:hAnsi="Calibri"/>
          <w:color w:val="24292E"/>
          <w:sz w:val="22"/>
        </w:rPr>
        <w:t xml:space="preserve">) and explicitly map PMO approval authority to </w:t>
      </w:r>
      <w:r>
        <w:rPr>
          <w:rFonts w:ascii="Consolas" w:hAnsi="Consolas"/>
          <w:color w:val="032F62"/>
          <w:sz w:val="21"/>
        </w:rPr>
        <w:t>MANAGEMENT</w:t>
      </w:r>
      <w:r>
        <w:rPr>
          <w:rFonts w:ascii="Calibri" w:hAnsi="Calibri"/>
          <w:color w:val="24292E"/>
          <w:sz w:val="22"/>
        </w:rPr>
        <w:t xml:space="preserve">. </w:t>
      </w:r>
      <w:r>
        <w:rPr>
          <w:rFonts w:ascii="Calibri" w:hAnsi="Calibri"/>
          <w:i/>
          <w:color w:val="24292E"/>
          <w:sz w:val="22"/>
        </w:rPr>
        <w:t>(Source: Author Review 1 - Revision #5)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Without a structured mapping table and leave integration, approval workflows stall indefinitely whenever a single key Principal is out of office.</w:t>
      </w:r>
    </w:p>
    <w:p>
      <w:pPr>
        <w:spacing w:before="120" w:after="120"/>
        <w:pBdr>
          <w:bottom w:val="single" w:sz="6" w:space="1" w:color="E1E4E8"/>
        </w:pBdr>
      </w:pPr>
    </w:p>
    <w:p>
      <w:pPr>
        <w:keepNext/>
        <w:spacing w:before="200" w:after="80"/>
      </w:pPr>
      <w:r>
        <w:rPr>
          <w:rFonts w:ascii="Calibri" w:hAnsi="Calibri"/>
          <w:b/>
          <w:color w:val="1F4E79"/>
          <w:sz w:val="26"/>
        </w:rPr>
        <w:t>🌲 Category 3: Lead Identity, Types, &amp; Lineage (</w:t>
      </w:r>
      <w:r>
        <w:rPr>
          <w:rFonts w:ascii="Consolas" w:hAnsi="Consolas"/>
          <w:color w:val="032F62"/>
          <w:sz w:val="25"/>
        </w:rPr>
        <w:t>DEMO-05</w:t>
      </w:r>
      <w:r>
        <w:rPr>
          <w:rFonts w:ascii="Calibri" w:hAnsi="Calibri"/>
          <w:color w:val="1F4E79"/>
          <w:sz w:val="26"/>
        </w:rPr>
        <w:t xml:space="preserve"> &amp; </w:t>
      </w:r>
      <w:r>
        <w:rPr>
          <w:rFonts w:ascii="Consolas" w:hAnsi="Consolas"/>
          <w:color w:val="032F62"/>
          <w:sz w:val="25"/>
        </w:rPr>
        <w:t>DEMO-06</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8: Deal Types &amp; Net Revenue Retention (NRR) Formula</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"Rules NEW/RENEWAL/UP_SELL/CROSS_SELL serta NRR formula?"</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rules for NEW/RENEWAL/UP_SELL/CROSS_SELL deal types and the NRR formula?"</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w:t>
      </w:r>
      <w:r>
        <w:rPr>
          <w:rFonts w:ascii="Consolas" w:hAnsi="Consolas"/>
          <w:color w:val="032F62"/>
          <w:sz w:val="20"/>
        </w:rPr>
        <w:t>NEW</w:t>
      </w:r>
      <w:r>
        <w:rPr>
          <w:rFonts w:ascii="Calibri" w:hAnsi="Calibri"/>
          <w:color w:val="24292E"/>
          <w:sz w:val="21"/>
        </w:rPr>
        <w:t xml:space="preserve"> is a new customer or product. </w:t>
      </w:r>
      <w:r>
        <w:rPr>
          <w:rFonts w:ascii="Consolas" w:hAnsi="Consolas"/>
          <w:color w:val="032F62"/>
          <w:sz w:val="20"/>
        </w:rPr>
        <w:t>RENEWAL</w:t>
      </w:r>
      <w:r>
        <w:rPr>
          <w:rFonts w:ascii="Calibri" w:hAnsi="Calibri"/>
          <w:color w:val="24292E"/>
          <w:sz w:val="21"/>
        </w:rPr>
        <w:t xml:space="preserve"> and </w:t>
      </w:r>
      <w:r>
        <w:rPr>
          <w:rFonts w:ascii="Consolas" w:hAnsi="Consolas"/>
          <w:color w:val="032F62"/>
          <w:sz w:val="20"/>
        </w:rPr>
        <w:t>UP_SELL</w:t>
      </w:r>
      <w:r>
        <w:rPr>
          <w:rFonts w:ascii="Calibri" w:hAnsi="Calibri"/>
          <w:color w:val="24292E"/>
          <w:sz w:val="21"/>
        </w:rPr>
        <w:t xml:space="preserve"> must link to an existing active project with the same client. NRR measures how much revenue we retain and grow from existing clients.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4 strict </w:t>
      </w:r>
      <w:r>
        <w:rPr>
          <w:rFonts w:ascii="Consolas" w:hAnsi="Consolas"/>
          <w:color w:val="032F62"/>
          <w:sz w:val="21"/>
        </w:rPr>
        <w:t>LeadType</w:t>
      </w:r>
      <w:r>
        <w:rPr>
          <w:rFonts w:ascii="Calibri" w:hAnsi="Calibri"/>
          <w:color w:val="24292E"/>
          <w:sz w:val="22"/>
        </w:rPr>
        <w:t xml:space="preserve"> enum values (</w:t>
      </w:r>
      <w:r>
        <w:rPr>
          <w:rFonts w:ascii="Consolas" w:hAnsi="Consolas"/>
          <w:color w:val="032F62"/>
          <w:sz w:val="21"/>
        </w:rPr>
        <w:t>NEW_OPPORTUNITY</w:t>
      </w:r>
      <w:r>
        <w:rPr>
          <w:rFonts w:ascii="Calibri" w:hAnsi="Calibri"/>
          <w:color w:val="24292E"/>
          <w:sz w:val="22"/>
        </w:rPr>
        <w:t xml:space="preserve">, </w:t>
      </w:r>
      <w:r>
        <w:rPr>
          <w:rFonts w:ascii="Consolas" w:hAnsi="Consolas"/>
          <w:color w:val="032F62"/>
          <w:sz w:val="21"/>
        </w:rPr>
        <w:t>RENEWAL</w:t>
      </w:r>
      <w:r>
        <w:rPr>
          <w:rFonts w:ascii="Calibri" w:hAnsi="Calibri"/>
          <w:color w:val="24292E"/>
          <w:sz w:val="22"/>
        </w:rPr>
        <w:t xml:space="preserve">, </w:t>
      </w:r>
      <w:r>
        <w:rPr>
          <w:rFonts w:ascii="Consolas" w:hAnsi="Consolas"/>
          <w:color w:val="032F62"/>
          <w:sz w:val="21"/>
        </w:rPr>
        <w:t>UP_SELL</w:t>
      </w:r>
      <w:r>
        <w:rPr>
          <w:rFonts w:ascii="Calibri" w:hAnsi="Calibri"/>
          <w:color w:val="24292E"/>
          <w:sz w:val="22"/>
        </w:rPr>
        <w:t xml:space="preserve">, </w:t>
      </w:r>
      <w:r>
        <w:rPr>
          <w:rFonts w:ascii="Consolas" w:hAnsi="Consolas"/>
          <w:color w:val="032F62"/>
          <w:sz w:val="21"/>
        </w:rPr>
        <w:t>CROSS_SELL</w:t>
      </w:r>
      <w:r>
        <w:rPr>
          <w:rFonts w:ascii="Calibri" w:hAnsi="Calibri"/>
          <w:color w:val="24292E"/>
          <w:sz w:val="22"/>
        </w:rPr>
        <w:t xml:space="preserve">). Mandate </w:t>
      </w:r>
      <w:r>
        <w:rPr>
          <w:rFonts w:ascii="Consolas" w:hAnsi="Consolas"/>
          <w:color w:val="032F62"/>
          <w:sz w:val="21"/>
        </w:rPr>
        <w:t>parentProjectId</w:t>
      </w:r>
      <w:r>
        <w:rPr>
          <w:rFonts w:ascii="Calibri" w:hAnsi="Calibri"/>
          <w:color w:val="24292E"/>
          <w:sz w:val="22"/>
        </w:rPr>
        <w:t xml:space="preserve"> for </w:t>
      </w:r>
      <w:r>
        <w:rPr>
          <w:rFonts w:ascii="Consolas" w:hAnsi="Consolas"/>
          <w:color w:val="032F62"/>
          <w:sz w:val="21"/>
        </w:rPr>
        <w:t>RENEWAL</w:t>
      </w:r>
      <w:r>
        <w:rPr>
          <w:rFonts w:ascii="Calibri" w:hAnsi="Calibri"/>
          <w:color w:val="24292E"/>
          <w:sz w:val="22"/>
        </w:rPr>
        <w:t xml:space="preserve"> and </w:t>
      </w:r>
      <w:r>
        <w:rPr>
          <w:rFonts w:ascii="Consolas" w:hAnsi="Consolas"/>
          <w:color w:val="032F62"/>
          <w:sz w:val="21"/>
        </w:rPr>
        <w:t>UP_SELL</w:t>
      </w:r>
      <w:r>
        <w:rPr>
          <w:rFonts w:ascii="Calibri" w:hAnsi="Calibri"/>
          <w:color w:val="24292E"/>
          <w:sz w:val="22"/>
        </w:rPr>
        <w:t xml:space="preserve">. Standardize NRR calculation based on cohort ARR expansion, contraction, and churn. </w:t>
      </w:r>
      <w:r>
        <w:rPr>
          <w:rFonts w:ascii="Calibri" w:hAnsi="Calibri"/>
          <w:i/>
          <w:color w:val="24292E"/>
          <w:sz w:val="22"/>
        </w:rPr>
        <w:t>(Source: Master Rec Doc Section 16)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Creating renewals without an existing contract link makes it impossible to calculate customer retention or identify recurring revenue expansion.</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NRR Mathematical Formula</w:t>
      </w:r>
      <w:r>
        <w:rPr>
          <w:rFonts w:ascii="Calibri" w:hAnsi="Calibri"/>
          <w:color w:val="24292E"/>
          <w:sz w:val="21"/>
        </w:rPr>
        <w:t>:</w:t>
      </w:r>
    </w:p>
    <w:p>
      <w:pPr>
        <w:spacing w:before="40" w:after="80" w:line="276" w:lineRule="auto"/>
      </w:pPr>
      <w:r>
        <w:rPr>
          <w:rFonts w:ascii="Calibri" w:hAnsi="Calibri"/>
          <w:color w:val="24292E"/>
          <w:sz w:val="22"/>
        </w:rPr>
        <w:t xml:space="preserve">    $$\text{NRR}_{\text{Cohort}} = \frac{\sum \text{Starting ARR} + \sum \text{Expansion ARR} - \sum \text{Contraction ARR} - \sum \text{Churn ARR}}{\sum \text{Starting ARR}} \times 100\%$$</w:t>
      </w:r>
    </w:p>
    <w:p>
      <w:pPr>
        <w:spacing w:before="120" w:after="120"/>
        <w:pBdr>
          <w:bottom w:val="single" w:sz="6" w:space="1" w:color="E1E4E8"/>
        </w:pBdr>
      </w:pPr>
    </w:p>
    <w:p>
      <w:pPr>
        <w:keepNext/>
        <w:spacing w:before="160" w:after="40"/>
      </w:pPr>
      <w:r>
        <w:rPr>
          <w:rFonts w:ascii="Calibri" w:hAnsi="Calibri"/>
          <w:b/>
          <w:color w:val="262626"/>
          <w:sz w:val="23"/>
        </w:rPr>
        <w:t>Question 9: Permitted Lineage Anchor (Parent Project vs. Parent Lead)</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parent Lead diizinkan atau hanya parent Project?"</w:t>
      </w:r>
    </w:p>
    <w:p>
      <w:pPr>
        <w:pStyle w:val="ListBullet"/>
        <w:spacing w:before="20" w:after="40"/>
        <w:ind w:left="360"/>
      </w:pPr>
      <w:r>
        <w:rPr>
          <w:rFonts w:ascii="Calibri" w:hAnsi="Calibri"/>
          <w:b/>
          <w:color w:val="24292E"/>
          <w:sz w:val="21"/>
        </w:rPr>
        <w:t>English Translation</w:t>
      </w:r>
      <w:r>
        <w:rPr>
          <w:rFonts w:ascii="Calibri" w:hAnsi="Calibri"/>
          <w:color w:val="24292E"/>
          <w:sz w:val="21"/>
        </w:rPr>
        <w:t>: "Is a parent Lead allowed, or strictly a parent Project?"</w:t>
      </w:r>
    </w:p>
    <w:p>
      <w:pPr>
        <w:pStyle w:val="ListBullet"/>
        <w:spacing w:before="20" w:after="40"/>
        <w:ind w:left="360"/>
      </w:pPr>
      <w:r>
        <w:rPr>
          <w:rFonts w:ascii="Calibri" w:hAnsi="Calibri"/>
          <w:b/>
          <w:color w:val="24292E"/>
          <w:sz w:val="21"/>
        </w:rPr>
        <w:t>In the Simplest Terms</w:t>
      </w:r>
      <w:r>
        <w:rPr>
          <w:rFonts w:ascii="Calibri" w:hAnsi="Calibri"/>
          <w:color w:val="24292E"/>
          <w:sz w:val="21"/>
        </w:rPr>
        <w:t>: Deals can only link to an existing completed or active Project. Linking lead-to-lead is forbidden to prevent infinite loops and confusing history.</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Restrict deal lineage strictly to parent </w:t>
      </w:r>
      <w:r>
        <w:rPr>
          <w:rFonts w:ascii="Consolas" w:hAnsi="Consolas"/>
          <w:color w:val="032F62"/>
          <w:sz w:val="21"/>
        </w:rPr>
        <w:t>Project</w:t>
      </w:r>
      <w:r>
        <w:rPr>
          <w:rFonts w:ascii="Calibri" w:hAnsi="Calibri"/>
          <w:color w:val="24292E"/>
          <w:sz w:val="22"/>
        </w:rPr>
        <w:t xml:space="preserve"> records (</w:t>
      </w:r>
      <w:r>
        <w:rPr>
          <w:rFonts w:ascii="Consolas" w:hAnsi="Consolas"/>
          <w:color w:val="032F62"/>
          <w:sz w:val="21"/>
        </w:rPr>
        <w:t>parentProjectId</w:t>
      </w:r>
      <w:r>
        <w:rPr>
          <w:rFonts w:ascii="Calibri" w:hAnsi="Calibri"/>
          <w:color w:val="24292E"/>
          <w:sz w:val="22"/>
        </w:rPr>
        <w:t xml:space="preserve">). Disallow lead-to-lead parentage. </w:t>
      </w:r>
      <w:r>
        <w:rPr>
          <w:rFonts w:ascii="Calibri" w:hAnsi="Calibri"/>
          <w:i/>
          <w:color w:val="24292E"/>
          <w:sz w:val="22"/>
        </w:rPr>
        <w:t>(Source: Master Rec Doc Section 16)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Anchoring to executed </w:t>
      </w:r>
      <w:r>
        <w:rPr>
          <w:rFonts w:ascii="Consolas" w:hAnsi="Consolas"/>
          <w:color w:val="032F62"/>
          <w:sz w:val="21"/>
        </w:rPr>
        <w:t>Project</w:t>
      </w:r>
      <w:r>
        <w:rPr>
          <w:rFonts w:ascii="Calibri" w:hAnsi="Calibri"/>
          <w:color w:val="24292E"/>
          <w:sz w:val="22"/>
        </w:rPr>
        <w:t xml:space="preserve"> records guarantees solid contractual lineage.</w:t>
      </w:r>
    </w:p>
    <w:p>
      <w:pPr>
        <w:spacing w:before="120" w:after="120"/>
        <w:pBdr>
          <w:bottom w:val="single" w:sz="6" w:space="1" w:color="E1E4E8"/>
        </w:pBdr>
      </w:pPr>
    </w:p>
    <w:p>
      <w:pPr>
        <w:keepNext/>
        <w:spacing w:before="160" w:after="40"/>
      </w:pPr>
      <w:r>
        <w:rPr>
          <w:rFonts w:ascii="Calibri" w:hAnsi="Calibri"/>
          <w:b/>
          <w:color w:val="262626"/>
          <w:sz w:val="23"/>
        </w:rPr>
        <w:t>Question 10: Sequential Lead Numbering &amp; Same-Transaction Atomic Creation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"Lead numbering format/timezone?"</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is the Lead numbering format and timezone rule?"</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Lead numbers (e.g., </w:t>
      </w:r>
      <w:r>
        <w:rPr>
          <w:rFonts w:ascii="Consolas" w:hAnsi="Consolas"/>
          <w:color w:val="032F62"/>
          <w:sz w:val="20"/>
        </w:rPr>
        <w:t>LEAD-2026-0001</w:t>
      </w:r>
      <w:r>
        <w:rPr>
          <w:rFonts w:ascii="Calibri" w:hAnsi="Calibri"/>
          <w:color w:val="24292E"/>
          <w:sz w:val="21"/>
        </w:rPr>
        <w:t>) are allocated atomically inside the exact same database transaction that creates the Lead. Ordinary application rollbacks do not waste numbers.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3.3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Adopt the sequential format </w:t>
      </w:r>
      <w:r>
        <w:rPr>
          <w:rFonts w:ascii="Consolas" w:hAnsi="Consolas"/>
          <w:color w:val="032F62"/>
          <w:sz w:val="21"/>
        </w:rPr>
        <w:t>LEAD-{YYYY}-{0000}</w:t>
      </w:r>
      <w:r>
        <w:rPr>
          <w:rFonts w:ascii="Calibri" w:hAnsi="Calibri"/>
          <w:color w:val="24292E"/>
          <w:sz w:val="22"/>
        </w:rPr>
        <w:t xml:space="preserve"> resetting annually on January 1 at 00:00 </w:t>
      </w:r>
      <w:r>
        <w:rPr>
          <w:rFonts w:ascii="Consolas" w:hAnsi="Consolas"/>
          <w:color w:val="032F62"/>
          <w:sz w:val="21"/>
        </w:rPr>
        <w:t>Asia/Jakarta</w:t>
      </w:r>
      <w:r>
        <w:rPr>
          <w:rFonts w:ascii="Calibri" w:hAnsi="Calibri"/>
          <w:color w:val="24292E"/>
          <w:sz w:val="22"/>
        </w:rPr>
        <w:t xml:space="preserve"> (WIB/UTC+7).  </w:t>
      </w:r>
    </w:p>
    <w:p>
      <w:pPr>
        <w:spacing w:before="40" w:after="80" w:line="276" w:lineRule="auto"/>
      </w:pPr>
      <w:r>
        <w:rPr>
          <w:rFonts w:ascii="Calibri" w:hAnsi="Calibri"/>
          <w:color w:val="24292E"/>
          <w:sz w:val="22"/>
        </w:rPr>
        <w:t xml:space="preserve">  &gt; </w:t>
      </w:r>
      <w:r>
        <w:rPr>
          <w:rFonts w:ascii="Calibri" w:hAnsi="Calibri"/>
          <w:b/>
          <w:color w:val="24292E"/>
          <w:sz w:val="22"/>
        </w:rPr>
        <w:t>Decision 3.3b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Same-Transaction Allocation &amp; Gap Reconciliation Policy</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i/>
          <w:color w:val="24292E"/>
          <w:sz w:val="22"/>
        </w:rPr>
        <w:t>"Same-transaction allocation prevents ordinary sequence gaps caused by application validation failures or transaction rollback. The identifier remains uniqueness-first and is not intended as a statutory gapless sequence. Out-of-transaction reconciliation is reserved for ambiguous commit outcomes or infrastructure failures where the client cannot determine whether the transaction committed. Audit logging under total database failure is best-effort."</w:t>
      </w:r>
      <w:r>
        <w:rPr>
          <w:rFonts w:ascii="Calibri" w:hAnsi="Calibri"/>
          <w:color w:val="24292E"/>
          <w:sz w:val="22"/>
        </w:rPr>
        <w:t xml:space="preserve"> </w:t>
      </w:r>
      <w:r>
        <w:rPr>
          <w:rFonts w:ascii="Calibri" w:hAnsi="Calibri"/>
          <w:i/>
          <w:color w:val="24292E"/>
          <w:sz w:val="22"/>
        </w:rPr>
        <w:t>(Source: Author Review 4 - Item #6)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Running counter increment in the same transaction as lead creation prevents ordinary gaps, while recognizing that network timeouts during commit require automated reconciliation.</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Atomic Allocator inside Same Transaction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async function allocateNextLeadNumber(tx: Prisma.TransactionClient, jakartaYear: number): Promise&lt;string&gt; {</w:t>
      </w:r>
    </w:p>
    <w:p>
      <w:pPr>
        <w:spacing w:before="40" w:after="80" w:line="276" w:lineRule="auto"/>
      </w:pPr>
      <w:r>
        <w:rPr>
          <w:rFonts w:ascii="Calibri" w:hAnsi="Calibri"/>
          <w:color w:val="24292E"/>
          <w:sz w:val="22"/>
        </w:rPr>
        <w:t xml:space="preserve">      const counter = await tx.leadNumberCounter.upsert({</w:t>
      </w:r>
    </w:p>
    <w:p>
      <w:pPr>
        <w:spacing w:before="40" w:after="80" w:line="276" w:lineRule="auto"/>
      </w:pPr>
      <w:r>
        <w:rPr>
          <w:rFonts w:ascii="Calibri" w:hAnsi="Calibri"/>
          <w:color w:val="24292E"/>
          <w:sz w:val="22"/>
        </w:rPr>
        <w:t xml:space="preserve">        where: { year: jakartaYear },</w:t>
      </w:r>
    </w:p>
    <w:p>
      <w:pPr>
        <w:spacing w:before="40" w:after="80" w:line="276" w:lineRule="auto"/>
      </w:pPr>
      <w:r>
        <w:rPr>
          <w:rFonts w:ascii="Calibri" w:hAnsi="Calibri"/>
          <w:color w:val="24292E"/>
          <w:sz w:val="22"/>
        </w:rPr>
        <w:t xml:space="preserve">        update: { currentSequence: { increment: 1 } },</w:t>
      </w:r>
    </w:p>
    <w:p>
      <w:pPr>
        <w:spacing w:before="40" w:after="80" w:line="276" w:lineRule="auto"/>
      </w:pPr>
      <w:r>
        <w:rPr>
          <w:rFonts w:ascii="Calibri" w:hAnsi="Calibri"/>
          <w:color w:val="24292E"/>
          <w:sz w:val="22"/>
        </w:rPr>
        <w:t xml:space="preserve">        create: { year: jakartaYear, currentSequence: 1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w:t>
      </w:r>
      <w:r>
        <w:rPr>
          <w:rFonts w:ascii="Consolas" w:hAnsi="Consolas"/>
          <w:color w:val="032F62"/>
          <w:sz w:val="21"/>
        </w:rPr>
        <w:t>LEAD-${jakartaYear}-${String(counter.currentSequence).padStart(4, "0")}</w:t>
      </w:r>
      <w:r>
        <w:rPr>
          <w:rFonts w:ascii="Calibri" w:hAnsi="Calibri"/>
          <w:color w:val="24292E"/>
          <w:sz w:val="22"/>
        </w:rPr>
        <w: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Atomic Execution Flow:</w:t>
      </w:r>
    </w:p>
    <w:p>
      <w:pPr>
        <w:spacing w:before="40" w:after="80" w:line="276" w:lineRule="auto"/>
      </w:pPr>
      <w:r>
        <w:rPr>
          <w:rFonts w:ascii="Calibri" w:hAnsi="Calibri"/>
          <w:color w:val="24292E"/>
          <w:sz w:val="22"/>
        </w:rPr>
        <w:t xml:space="preserve">    async function createLeadAtomically(input: CreateLeadInput) {</w:t>
      </w:r>
    </w:p>
    <w:p>
      <w:pPr>
        <w:spacing w:before="40" w:after="80" w:line="276" w:lineRule="auto"/>
      </w:pPr>
      <w:r>
        <w:rPr>
          <w:rFonts w:ascii="Calibri" w:hAnsi="Calibri"/>
          <w:color w:val="24292E"/>
          <w:sz w:val="22"/>
        </w:rPr>
        <w:t xml:space="preserve">      const now = new Date();</w:t>
      </w:r>
    </w:p>
    <w:p>
      <w:pPr>
        <w:spacing w:before="40" w:after="80" w:line="276" w:lineRule="auto"/>
      </w:pPr>
      <w:r>
        <w:rPr>
          <w:rFonts w:ascii="Calibri" w:hAnsi="Calibri"/>
          <w:color w:val="24292E"/>
          <w:sz w:val="22"/>
        </w:rPr>
        <w:t xml:space="preserve">      const jakartaYear = parseInt(</w:t>
      </w:r>
    </w:p>
    <w:p>
      <w:pPr>
        <w:spacing w:before="40" w:after="80" w:line="276" w:lineRule="auto"/>
      </w:pPr>
      <w:r>
        <w:rPr>
          <w:rFonts w:ascii="Calibri" w:hAnsi="Calibri"/>
          <w:color w:val="24292E"/>
          <w:sz w:val="22"/>
        </w:rPr>
        <w:t xml:space="preserve">        new Intl.DateTimeFormat("en-US", { timeZone: "Asia/Jakarta", year: "numeric" }).format(now),</w:t>
      </w:r>
    </w:p>
    <w:p>
      <w:pPr>
        <w:spacing w:before="40" w:after="80" w:line="276" w:lineRule="auto"/>
      </w:pPr>
      <w:r>
        <w:rPr>
          <w:rFonts w:ascii="Calibri" w:hAnsi="Calibri"/>
          <w:color w:val="24292E"/>
          <w:sz w:val="22"/>
        </w:rPr>
        <w:t xml:space="preserve">        10</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await prisma.$transaction(async (tx) =&gt; {</w:t>
      </w:r>
    </w:p>
    <w:p>
      <w:pPr>
        <w:spacing w:before="40" w:after="80" w:line="276" w:lineRule="auto"/>
      </w:pPr>
      <w:r>
        <w:rPr>
          <w:rFonts w:ascii="Calibri" w:hAnsi="Calibri"/>
          <w:color w:val="24292E"/>
          <w:sz w:val="22"/>
        </w:rPr>
        <w:t xml:space="preserve">        // 1. Allocate sequence inside the transaction using template literal</w:t>
      </w:r>
    </w:p>
    <w:p>
      <w:pPr>
        <w:spacing w:before="40" w:after="80" w:line="276" w:lineRule="auto"/>
      </w:pPr>
      <w:r>
        <w:rPr>
          <w:rFonts w:ascii="Calibri" w:hAnsi="Calibri"/>
          <w:color w:val="24292E"/>
          <w:sz w:val="22"/>
        </w:rPr>
        <w:t xml:space="preserve">        const leadNumber = await allocateNextLeadNumber(tx, jakartaYear);</w:t>
      </w:r>
    </w:p>
    <w:p>
      <w:pPr>
        <w:spacing w:before="40" w:after="80" w:line="276" w:lineRule="auto"/>
      </w:pPr>
      <w:r>
        <w:rPr>
          <w:rFonts w:ascii="Calibri" w:hAnsi="Calibri"/>
          <w:color w:val="24292E"/>
          <w:sz w:val="22"/>
        </w:rPr>
        <w:t xml:space="preserve">        // 2. Create the Lead record with the allocated sequence</w:t>
      </w:r>
    </w:p>
    <w:p>
      <w:pPr>
        <w:spacing w:before="40" w:after="80" w:line="276" w:lineRule="auto"/>
      </w:pPr>
      <w:r>
        <w:rPr>
          <w:rFonts w:ascii="Calibri" w:hAnsi="Calibri"/>
          <w:color w:val="24292E"/>
          <w:sz w:val="22"/>
        </w:rPr>
        <w:t xml:space="preserve">        const newLead = await tx.lead.create({</w:t>
      </w:r>
    </w:p>
    <w:p>
      <w:pPr>
        <w:spacing w:before="40" w:after="80" w:line="276" w:lineRule="auto"/>
      </w:pPr>
      <w:r>
        <w:rPr>
          <w:rFonts w:ascii="Calibri" w:hAnsi="Calibri"/>
          <w:color w:val="24292E"/>
          <w:sz w:val="22"/>
        </w:rPr>
        <w:t xml:space="preserve">          data: {</w:t>
      </w:r>
    </w:p>
    <w:p>
      <w:pPr>
        <w:spacing w:before="40" w:after="80" w:line="276" w:lineRule="auto"/>
      </w:pPr>
      <w:r>
        <w:rPr>
          <w:rFonts w:ascii="Calibri" w:hAnsi="Calibri"/>
          <w:color w:val="24292E"/>
          <w:sz w:val="22"/>
        </w:rPr>
        <w:t xml:space="preserve">            ...input,</w:t>
      </w:r>
    </w:p>
    <w:p>
      <w:pPr>
        <w:spacing w:before="40" w:after="80" w:line="276" w:lineRule="auto"/>
      </w:pPr>
      <w:r>
        <w:rPr>
          <w:rFonts w:ascii="Calibri" w:hAnsi="Calibri"/>
          <w:color w:val="24292E"/>
          <w:sz w:val="22"/>
        </w:rPr>
        <w:t xml:space="preserve">            leadNumber,</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newLead;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00" w:after="80"/>
      </w:pPr>
      <w:r>
        <w:rPr>
          <w:rFonts w:ascii="Calibri" w:hAnsi="Calibri"/>
          <w:b/>
          <w:color w:val="1F4E79"/>
          <w:sz w:val="26"/>
        </w:rPr>
        <w:t>🛡️ Category 4: Presales Workspace &amp; Cost Capture (</w:t>
      </w:r>
      <w:r>
        <w:rPr>
          <w:rFonts w:ascii="Consolas" w:hAnsi="Consolas"/>
          <w:color w:val="032F62"/>
          <w:sz w:val="25"/>
        </w:rPr>
        <w:t>DEMO-09</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11: Presales Workspace Creation Timing &amp; Authority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"Kapan PRESALES workspace dibuat dan siapa yang boleh memulai?"</w:t>
      </w:r>
    </w:p>
    <w:p>
      <w:pPr>
        <w:pStyle w:val="ListBullet"/>
        <w:spacing w:before="20" w:after="40"/>
        <w:ind w:left="360"/>
      </w:pPr>
      <w:r>
        <w:rPr>
          <w:rFonts w:ascii="Calibri" w:hAnsi="Calibri"/>
          <w:b/>
          <w:color w:val="24292E"/>
          <w:sz w:val="21"/>
        </w:rPr>
        <w:t>English Translation</w:t>
      </w:r>
      <w:r>
        <w:rPr>
          <w:rFonts w:ascii="Calibri" w:hAnsi="Calibri"/>
          <w:color w:val="24292E"/>
          <w:sz w:val="21"/>
        </w:rPr>
        <w:t>: "When is a PRESALES workspace created, and who is authorized to initiate it?"</w:t>
      </w:r>
    </w:p>
    <w:p>
      <w:pPr>
        <w:pStyle w:val="ListBullet"/>
        <w:spacing w:before="20" w:after="40"/>
        <w:ind w:left="360"/>
      </w:pPr>
      <w:r>
        <w:rPr>
          <w:rFonts w:ascii="Calibri" w:hAnsi="Calibri"/>
          <w:b/>
          <w:color w:val="24292E"/>
          <w:sz w:val="21"/>
        </w:rPr>
        <w:t>In the Simplest Terms</w:t>
      </w:r>
      <w:r>
        <w:rPr>
          <w:rFonts w:ascii="Calibri" w:hAnsi="Calibri"/>
          <w:color w:val="24292E"/>
          <w:sz w:val="21"/>
        </w:rPr>
        <w:t>: Never auto-create projects for every lead. Sales or Principals can click "Start Presales Workspace" only when a lead is qualified and needs technical effort.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Strictly Opt-In Presales Workspace</w:t>
      </w:r>
      <w:r>
        <w:rPr>
          <w:rFonts w:ascii="Calibri" w:hAnsi="Calibri"/>
          <w:color w:val="24292E"/>
          <w:sz w:val="22"/>
        </w:rPr>
        <w:t>. A workspace is never auto-spawned on lead creation. It can only be initiated via explicit user action (</w:t>
      </w:r>
      <w:r>
        <w:rPr>
          <w:rFonts w:ascii="Consolas" w:hAnsi="Consolas"/>
          <w:color w:val="032F62"/>
          <w:sz w:val="21"/>
        </w:rPr>
        <w:t>POST /api/leads/:id/presales-workspace</w:t>
      </w:r>
      <w:r>
        <w:rPr>
          <w:rFonts w:ascii="Calibri" w:hAnsi="Calibri"/>
          <w:color w:val="24292E"/>
          <w:sz w:val="22"/>
        </w:rPr>
        <w:t xml:space="preserve">) by the assigned </w:t>
      </w:r>
      <w:r>
        <w:rPr>
          <w:rFonts w:ascii="Consolas" w:hAnsi="Consolas"/>
          <w:color w:val="032F62"/>
          <w:sz w:val="21"/>
        </w:rPr>
        <w:t>SALES</w:t>
      </w:r>
      <w:r>
        <w:rPr>
          <w:rFonts w:ascii="Calibri" w:hAnsi="Calibri"/>
          <w:color w:val="24292E"/>
          <w:sz w:val="22"/>
        </w:rPr>
        <w:t xml:space="preserve"> owner or BU </w:t>
      </w:r>
      <w:r>
        <w:rPr>
          <w:rFonts w:ascii="Consolas" w:hAnsi="Consolas"/>
          <w:color w:val="032F62"/>
          <w:sz w:val="21"/>
        </w:rPr>
        <w:t>PRINCIPAL_KONSULTAN</w:t>
      </w:r>
      <w:r>
        <w:rPr>
          <w:rFonts w:ascii="Calibri" w:hAnsi="Calibri"/>
          <w:color w:val="24292E"/>
          <w:sz w:val="22"/>
        </w:rPr>
        <w:t xml:space="preserve"> once the lead reaches </w:t>
      </w:r>
      <w:r>
        <w:rPr>
          <w:rFonts w:ascii="Consolas" w:hAnsi="Consolas"/>
          <w:color w:val="032F62"/>
          <w:sz w:val="21"/>
        </w:rPr>
        <w:t>QUALIFIED</w:t>
      </w:r>
      <w:r>
        <w:rPr>
          <w:rFonts w:ascii="Calibri" w:hAnsi="Calibri"/>
          <w:color w:val="24292E"/>
          <w:sz w:val="22"/>
        </w:rPr>
        <w:t xml:space="preserve"> stage. </w:t>
      </w:r>
      <w:r>
        <w:rPr>
          <w:rFonts w:ascii="Calibri" w:hAnsi="Calibri"/>
          <w:i/>
          <w:color w:val="24292E"/>
          <w:sz w:val="22"/>
        </w:rPr>
        <w:t>(Source: Master Rec Doc Section 16 &amp; Author Review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project dashboard explosion and keeps presales proposal tasks isolated from delivery projects.</w:t>
      </w:r>
    </w:p>
    <w:p>
      <w:pPr>
        <w:spacing w:before="120" w:after="120"/>
        <w:pBdr>
          <w:bottom w:val="single" w:sz="6" w:space="1" w:color="E1E4E8"/>
        </w:pBdr>
      </w:pPr>
    </w:p>
    <w:p>
      <w:pPr>
        <w:keepNext/>
        <w:spacing w:before="160" w:after="40"/>
      </w:pPr>
      <w:r>
        <w:rPr>
          <w:rFonts w:ascii="Calibri" w:hAnsi="Calibri"/>
          <w:b/>
          <w:color w:val="262626"/>
          <w:sz w:val="23"/>
        </w:rPr>
        <w:t>Question 12: Won Deal Conversion (Promotion vs. Dedicated Delivery Project)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"Saat WON: promote PRESALES workspace atau create delivery Project terpisah?"</w:t>
      </w:r>
    </w:p>
    <w:p>
      <w:pPr>
        <w:pStyle w:val="ListBullet"/>
        <w:spacing w:before="20" w:after="40"/>
        <w:ind w:left="360"/>
      </w:pPr>
      <w:r>
        <w:rPr>
          <w:rFonts w:ascii="Calibri" w:hAnsi="Calibri"/>
          <w:b/>
          <w:color w:val="24292E"/>
          <w:sz w:val="21"/>
        </w:rPr>
        <w:t>English Translation</w:t>
      </w:r>
      <w:r>
        <w:rPr>
          <w:rFonts w:ascii="Calibri" w:hAnsi="Calibri"/>
          <w:color w:val="24292E"/>
          <w:sz w:val="21"/>
        </w:rPr>
        <w:t>: "When a deal is WON: promote the PRESALES workspace or create a separate delivery Project?"</w:t>
      </w:r>
    </w:p>
    <w:p>
      <w:pPr>
        <w:pStyle w:val="ListBullet"/>
        <w:spacing w:before="20" w:after="40"/>
        <w:ind w:left="360"/>
      </w:pPr>
      <w:r>
        <w:rPr>
          <w:rFonts w:ascii="Calibri" w:hAnsi="Calibri"/>
          <w:b/>
          <w:color w:val="24292E"/>
          <w:sz w:val="21"/>
        </w:rPr>
        <w:t>In the Simplest Terms</w:t>
      </w:r>
      <w:r>
        <w:rPr>
          <w:rFonts w:ascii="Calibri" w:hAnsi="Calibri"/>
          <w:color w:val="24292E"/>
          <w:sz w:val="21"/>
        </w:rPr>
        <w:t>: Create a fresh, official delivery Project with its own project code, link it to the Lead, and close the presales workspace.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 </w:t>
      </w:r>
      <w:r>
        <w:rPr>
          <w:rFonts w:ascii="Calibri" w:hAnsi="Calibri"/>
          <w:b/>
          <w:color w:val="24292E"/>
          <w:sz w:val="22"/>
        </w:rPr>
        <w:t>Deterministic Conversion Flow</w:t>
      </w:r>
      <w:r>
        <w:rPr>
          <w:rFonts w:ascii="Calibri" w:hAnsi="Calibri"/>
          <w:color w:val="24292E"/>
          <w:sz w:val="22"/>
        </w:rPr>
        <w:t xml:space="preserve">. When a lead is marked </w:t>
      </w:r>
      <w:r>
        <w:rPr>
          <w:rFonts w:ascii="Consolas" w:hAnsi="Consolas"/>
          <w:color w:val="032F62"/>
          <w:sz w:val="21"/>
        </w:rPr>
        <w:t>WON</w:t>
      </w:r>
      <w:r>
        <w:rPr>
          <w:rFonts w:ascii="Calibri" w:hAnsi="Calibri"/>
          <w:color w:val="24292E"/>
          <w:sz w:val="22"/>
        </w:rPr>
        <w:t xml:space="preserve">, create a dedicated delivery </w:t>
      </w:r>
      <w:r>
        <w:rPr>
          <w:rFonts w:ascii="Consolas" w:hAnsi="Consolas"/>
          <w:color w:val="032F62"/>
          <w:sz w:val="21"/>
        </w:rPr>
        <w:t>Project</w:t>
      </w:r>
      <w:r>
        <w:rPr>
          <w:rFonts w:ascii="Calibri" w:hAnsi="Calibri"/>
          <w:color w:val="24292E"/>
          <w:sz w:val="22"/>
        </w:rPr>
        <w:t xml:space="preserve"> (</w:t>
      </w:r>
      <w:r>
        <w:rPr>
          <w:rFonts w:ascii="Consolas" w:hAnsi="Consolas"/>
          <w:color w:val="032F62"/>
          <w:sz w:val="21"/>
        </w:rPr>
        <w:t>ProjectKind.CLIENT</w:t>
      </w:r>
      <w:r>
        <w:rPr>
          <w:rFonts w:ascii="Calibri" w:hAnsi="Calibri"/>
          <w:color w:val="24292E"/>
          <w:sz w:val="22"/>
        </w:rPr>
        <w:t>) with an official project code (</w:t>
      </w:r>
      <w:r>
        <w:rPr>
          <w:rFonts w:ascii="Consolas" w:hAnsi="Consolas"/>
          <w:color w:val="032F62"/>
          <w:sz w:val="21"/>
        </w:rPr>
        <w:t>PRJ-YYYY-NNNN</w:t>
      </w:r>
      <w:r>
        <w:rPr>
          <w:rFonts w:ascii="Calibri" w:hAnsi="Calibri"/>
          <w:color w:val="24292E"/>
          <w:sz w:val="22"/>
        </w:rPr>
        <w:t xml:space="preserve">), transfer the approved commercial scope/budget, link </w:t>
      </w:r>
      <w:r>
        <w:rPr>
          <w:rFonts w:ascii="Consolas" w:hAnsi="Consolas"/>
          <w:color w:val="032F62"/>
          <w:sz w:val="21"/>
        </w:rPr>
        <w:t>Lead.convertedProjectId = project.id</w:t>
      </w:r>
      <w:r>
        <w:rPr>
          <w:rFonts w:ascii="Calibri" w:hAnsi="Calibri"/>
          <w:color w:val="24292E"/>
          <w:sz w:val="22"/>
        </w:rPr>
        <w:t xml:space="preserve">, and transition the linked presales workspace to </w:t>
      </w:r>
      <w:r>
        <w:rPr>
          <w:rFonts w:ascii="Consolas" w:hAnsi="Consolas"/>
          <w:color w:val="032F62"/>
          <w:sz w:val="21"/>
        </w:rPr>
        <w:t>ProjectStatus.CLOSED</w:t>
      </w:r>
      <w:r>
        <w:rPr>
          <w:rFonts w:ascii="Calibri" w:hAnsi="Calibri"/>
          <w:color w:val="24292E"/>
          <w:sz w:val="22"/>
        </w:rPr>
        <w:t xml:space="preserve">. </w:t>
      </w:r>
      <w:r>
        <w:rPr>
          <w:rFonts w:ascii="Calibri" w:hAnsi="Calibri"/>
          <w:i/>
          <w:color w:val="24292E"/>
          <w:sz w:val="22"/>
        </w:rPr>
        <w:t>(Source: Master Rec Doc Section 16)</w:t>
      </w:r>
    </w:p>
    <w:p>
      <w:pPr>
        <w:spacing w:before="120" w:after="120"/>
        <w:pBdr>
          <w:bottom w:val="single" w:sz="6" w:space="1" w:color="E1E4E8"/>
        </w:pBdr>
      </w:pPr>
    </w:p>
    <w:p>
      <w:pPr>
        <w:keepNext/>
        <w:spacing w:before="160" w:after="40"/>
      </w:pPr>
      <w:r>
        <w:rPr>
          <w:rFonts w:ascii="Calibri" w:hAnsi="Calibri"/>
          <w:b/>
          <w:color w:val="262626"/>
          <w:sz w:val="23"/>
        </w:rPr>
        <w:t>Question 13: Presales Cost Accounting (CAC vs. Delivery EVM)</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presales cost menjadi bagian project total cost atau separate CAC ledger/report?"</w:t>
      </w:r>
    </w:p>
    <w:p>
      <w:pPr>
        <w:pStyle w:val="ListBullet"/>
        <w:spacing w:before="20" w:after="40"/>
        <w:ind w:left="360"/>
      </w:pPr>
      <w:r>
        <w:rPr>
          <w:rFonts w:ascii="Calibri" w:hAnsi="Calibri"/>
          <w:b/>
          <w:color w:val="24292E"/>
          <w:sz w:val="21"/>
        </w:rPr>
        <w:t>English Translation</w:t>
      </w:r>
      <w:r>
        <w:rPr>
          <w:rFonts w:ascii="Calibri" w:hAnsi="Calibri"/>
          <w:color w:val="24292E"/>
          <w:sz w:val="21"/>
        </w:rPr>
        <w:t>: "Is presales cost part of the total project delivery cost or a separate CAC ledger/report?"</w:t>
      </w:r>
    </w:p>
    <w:p>
      <w:pPr>
        <w:pStyle w:val="ListBullet"/>
        <w:spacing w:before="20" w:after="40"/>
        <w:ind w:left="360"/>
      </w:pPr>
      <w:r>
        <w:rPr>
          <w:rFonts w:ascii="Calibri" w:hAnsi="Calibri"/>
          <w:b/>
          <w:color w:val="24292E"/>
          <w:sz w:val="21"/>
        </w:rPr>
        <w:t>In the Simplest Terms</w:t>
      </w:r>
      <w:r>
        <w:rPr>
          <w:rFonts w:ascii="Calibri" w:hAnsi="Calibri"/>
          <w:color w:val="24292E"/>
          <w:sz w:val="21"/>
        </w:rPr>
        <w:t>: Keep presales costs in a separate CAC (Customer Acquisition Cost) report. Do not add it to the delivery project so project delivery profit and EVM stay 100% accurate.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4.3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Hard Isolation of Presales Costs into Commercial CAC</w:t>
      </w:r>
      <w:r>
        <w:rPr>
          <w:rFonts w:ascii="Calibri" w:hAnsi="Calibri"/>
          <w:color w:val="24292E"/>
          <w:sz w:val="22"/>
        </w:rPr>
        <w:t xml:space="preserve">. Presales timesheets and expenses are booked to </w:t>
      </w:r>
      <w:r>
        <w:rPr>
          <w:rFonts w:ascii="Consolas" w:hAnsi="Consolas"/>
          <w:color w:val="032F62"/>
          <w:sz w:val="21"/>
        </w:rPr>
        <w:t>ProjectKind.PRESALES</w:t>
      </w:r>
      <w:r>
        <w:rPr>
          <w:rFonts w:ascii="Calibri" w:hAnsi="Calibri"/>
          <w:color w:val="24292E"/>
          <w:sz w:val="22"/>
        </w:rPr>
        <w:t xml:space="preserve"> and reported under Customer Acquisition Cost (CAC). They are strictly excluded from the delivery project's Planned Value (PV), Budget at Completion (BAC), and client billing milestones. </w:t>
      </w:r>
      <w:r>
        <w:rPr>
          <w:rFonts w:ascii="Calibri" w:hAnsi="Calibri"/>
          <w:i/>
          <w:color w:val="24292E"/>
          <w:sz w:val="22"/>
        </w:rPr>
        <w:t>(Source: Master Rec Doc Section 16)</w:t>
      </w:r>
    </w:p>
    <w:p>
      <w:pPr>
        <w:spacing w:before="120" w:after="120"/>
        <w:pBdr>
          <w:bottom w:val="single" w:sz="6" w:space="1" w:color="E1E4E8"/>
        </w:pBdr>
      </w:pPr>
    </w:p>
    <w:p>
      <w:pPr>
        <w:keepNext/>
        <w:spacing w:before="200" w:after="80"/>
      </w:pPr>
      <w:r>
        <w:rPr>
          <w:rFonts w:ascii="Calibri" w:hAnsi="Calibri"/>
          <w:b/>
          <w:color w:val="1F4E79"/>
          <w:sz w:val="26"/>
        </w:rPr>
        <w:t>📊 Category 5: Sales Stages &amp; Probability Forecasting (</w:t>
      </w:r>
      <w:r>
        <w:rPr>
          <w:rFonts w:ascii="Consolas" w:hAnsi="Consolas"/>
          <w:color w:val="032F62"/>
          <w:sz w:val="25"/>
        </w:rPr>
        <w:t>DEMO-08</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14: Sales Stage Taxonomy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CONTACTED/CONTRACTING menjadi stage resmi?"</w:t>
      </w:r>
    </w:p>
    <w:p>
      <w:pPr>
        <w:pStyle w:val="ListBullet"/>
        <w:spacing w:before="20" w:after="40"/>
        <w:ind w:left="360"/>
      </w:pPr>
      <w:r>
        <w:rPr>
          <w:rFonts w:ascii="Calibri" w:hAnsi="Calibri"/>
          <w:b/>
          <w:color w:val="24292E"/>
          <w:sz w:val="21"/>
        </w:rPr>
        <w:t>English Translation</w:t>
      </w:r>
      <w:r>
        <w:rPr>
          <w:rFonts w:ascii="Calibri" w:hAnsi="Calibri"/>
          <w:color w:val="24292E"/>
          <w:sz w:val="21"/>
        </w:rPr>
        <w:t>: "Are CONTACTED/CONTRACTING official stages in the system?"</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Keep the current 6 clean stages (NEW, QUALIFIED, PROPOSAL, NEGOTIATION, WON, LOST) to avoid breaking existing funnels and integrations.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5.1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Retain the existing 6 canonical </w:t>
      </w:r>
      <w:r>
        <w:rPr>
          <w:rFonts w:ascii="Consolas" w:hAnsi="Consolas"/>
          <w:color w:val="032F62"/>
          <w:sz w:val="21"/>
        </w:rPr>
        <w:t>LeadStage</w:t>
      </w:r>
      <w:r>
        <w:rPr>
          <w:rFonts w:ascii="Calibri" w:hAnsi="Calibri"/>
          <w:color w:val="24292E"/>
          <w:sz w:val="22"/>
        </w:rPr>
        <w:t xml:space="preserve"> Prisma enum values (</w:t>
      </w:r>
      <w:r>
        <w:rPr>
          <w:rFonts w:ascii="Consolas" w:hAnsi="Consolas"/>
          <w:color w:val="032F62"/>
          <w:sz w:val="21"/>
        </w:rPr>
        <w:t>NEW</w:t>
      </w:r>
      <w:r>
        <w:rPr>
          <w:rFonts w:ascii="Calibri" w:hAnsi="Calibri"/>
          <w:color w:val="24292E"/>
          <w:sz w:val="22"/>
        </w:rPr>
        <w:t xml:space="preserve">, </w:t>
      </w:r>
      <w:r>
        <w:rPr>
          <w:rFonts w:ascii="Consolas" w:hAnsi="Consolas"/>
          <w:color w:val="032F62"/>
          <w:sz w:val="21"/>
        </w:rPr>
        <w:t>QUALIFIED</w:t>
      </w:r>
      <w:r>
        <w:rPr>
          <w:rFonts w:ascii="Calibri" w:hAnsi="Calibri"/>
          <w:color w:val="24292E"/>
          <w:sz w:val="22"/>
        </w:rPr>
        <w:t xml:space="preserve">, </w:t>
      </w:r>
      <w:r>
        <w:rPr>
          <w:rFonts w:ascii="Consolas" w:hAnsi="Consolas"/>
          <w:color w:val="032F62"/>
          <w:sz w:val="21"/>
        </w:rPr>
        <w:t>PROPOSAL</w:t>
      </w:r>
      <w:r>
        <w:rPr>
          <w:rFonts w:ascii="Calibri" w:hAnsi="Calibri"/>
          <w:color w:val="24292E"/>
          <w:sz w:val="22"/>
        </w:rPr>
        <w:t xml:space="preserve">, </w:t>
      </w:r>
      <w:r>
        <w:rPr>
          <w:rFonts w:ascii="Consolas" w:hAnsi="Consolas"/>
          <w:color w:val="032F62"/>
          <w:sz w:val="21"/>
        </w:rPr>
        <w:t>NEGOTIATION</w:t>
      </w:r>
      <w:r>
        <w:rPr>
          <w:rFonts w:ascii="Calibri" w:hAnsi="Calibri"/>
          <w:color w:val="24292E"/>
          <w:sz w:val="22"/>
        </w:rPr>
        <w:t xml:space="preserve">, </w:t>
      </w:r>
      <w:r>
        <w:rPr>
          <w:rFonts w:ascii="Consolas" w:hAnsi="Consolas"/>
          <w:color w:val="032F62"/>
          <w:sz w:val="21"/>
        </w:rPr>
        <w:t>WON</w:t>
      </w:r>
      <w:r>
        <w:rPr>
          <w:rFonts w:ascii="Calibri" w:hAnsi="Calibri"/>
          <w:color w:val="24292E"/>
          <w:sz w:val="22"/>
        </w:rPr>
        <w:t xml:space="preserve">, </w:t>
      </w:r>
      <w:r>
        <w:rPr>
          <w:rFonts w:ascii="Consolas" w:hAnsi="Consolas"/>
          <w:color w:val="032F62"/>
          <w:sz w:val="21"/>
        </w:rPr>
        <w:t>LOST</w:t>
      </w:r>
      <w:r>
        <w:rPr>
          <w:rFonts w:ascii="Calibri" w:hAnsi="Calibri"/>
          <w:color w:val="24292E"/>
          <w:sz w:val="22"/>
        </w:rPr>
        <w:t xml:space="preserve">). Map external CRM sub-stages into these 6 stages. </w:t>
      </w:r>
      <w:r>
        <w:rPr>
          <w:rFonts w:ascii="Calibri" w:hAnsi="Calibri"/>
          <w:i/>
          <w:color w:val="24292E"/>
          <w:sz w:val="22"/>
        </w:rPr>
        <w:t>(Source: Codebase c7080af Audit &amp; Master Rec Doc)</w:t>
      </w:r>
    </w:p>
    <w:p>
      <w:pPr>
        <w:spacing w:before="120" w:after="120"/>
        <w:pBdr>
          <w:bottom w:val="single" w:sz="6" w:space="1" w:color="E1E4E8"/>
        </w:pBdr>
      </w:pPr>
    </w:p>
    <w:p>
      <w:pPr>
        <w:keepNext/>
        <w:spacing w:before="160" w:after="40"/>
      </w:pPr>
      <w:r>
        <w:rPr>
          <w:rFonts w:ascii="Calibri" w:hAnsi="Calibri"/>
          <w:b/>
          <w:color w:val="262626"/>
          <w:sz w:val="23"/>
        </w:rPr>
        <w:t>Question 15: Default Win Probability &amp; Manual Override Governance</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"Default probability dan override policy?"</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default stage probabilities and the manual override policy?"</w:t>
      </w:r>
    </w:p>
    <w:p>
      <w:pPr>
        <w:pStyle w:val="ListBullet"/>
        <w:spacing w:before="20" w:after="40"/>
        <w:ind w:left="360"/>
      </w:pPr>
      <w:r>
        <w:rPr>
          <w:rFonts w:ascii="Calibri" w:hAnsi="Calibri"/>
          <w:b/>
          <w:color w:val="24292E"/>
          <w:sz w:val="21"/>
        </w:rPr>
        <w:t>In the Simplest Terms</w:t>
      </w:r>
      <w:r>
        <w:rPr>
          <w:rFonts w:ascii="Calibri" w:hAnsi="Calibri"/>
          <w:color w:val="24292E"/>
          <w:sz w:val="21"/>
        </w:rPr>
        <w:t>: The system automatically sets win probability based on stage (e.g., NEW=20%, PROPOSAL=60%, WON=100%, LOST=0%). Sales can override it, but they must enter a reason that gets saved in an audit log.</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5.2</w:t>
      </w:r>
      <w:r>
        <w:rPr>
          <w:rFonts w:ascii="Calibri" w:hAnsi="Calibri"/>
          <w:color w:val="24292E"/>
          <w:sz w:val="22"/>
        </w:rPr>
        <w:t xml:space="preserve"> </w:t>
      </w:r>
      <w:r>
        <w:rPr>
          <w:rFonts w:ascii="Consolas" w:hAnsi="Consolas"/>
          <w:color w:val="032F62"/>
          <w:sz w:val="21"/>
        </w:rPr>
        <w:t>[APPROVED / CANONICAL POLICY SETTLED]</w:t>
      </w:r>
      <w:r>
        <w:rPr>
          <w:rFonts w:ascii="Calibri" w:hAnsi="Calibri"/>
          <w:color w:val="24292E"/>
          <w:sz w:val="22"/>
        </w:rPr>
        <w:t xml:space="preserve">: Automate default win probability on stage changes following the single canonical policy: </w:t>
      </w:r>
      <w:r>
        <w:rPr>
          <w:rFonts w:ascii="Consolas" w:hAnsi="Consolas"/>
          <w:color w:val="032F62"/>
          <w:sz w:val="21"/>
        </w:rPr>
        <w:t>NEW</w:t>
      </w:r>
      <w:r>
        <w:rPr>
          <w:rFonts w:ascii="Calibri" w:hAnsi="Calibri"/>
          <w:color w:val="24292E"/>
          <w:sz w:val="22"/>
        </w:rPr>
        <w:t xml:space="preserve"> 20%, </w:t>
      </w:r>
      <w:r>
        <w:rPr>
          <w:rFonts w:ascii="Consolas" w:hAnsi="Consolas"/>
          <w:color w:val="032F62"/>
          <w:sz w:val="21"/>
        </w:rPr>
        <w:t>QUALIFIED</w:t>
      </w:r>
      <w:r>
        <w:rPr>
          <w:rFonts w:ascii="Calibri" w:hAnsi="Calibri"/>
          <w:color w:val="24292E"/>
          <w:sz w:val="22"/>
        </w:rPr>
        <w:t xml:space="preserve"> 40%, </w:t>
      </w:r>
      <w:r>
        <w:rPr>
          <w:rFonts w:ascii="Consolas" w:hAnsi="Consolas"/>
          <w:color w:val="032F62"/>
          <w:sz w:val="21"/>
        </w:rPr>
        <w:t>PROPOSAL</w:t>
      </w:r>
      <w:r>
        <w:rPr>
          <w:rFonts w:ascii="Calibri" w:hAnsi="Calibri"/>
          <w:color w:val="24292E"/>
          <w:sz w:val="22"/>
        </w:rPr>
        <w:t xml:space="preserve"> 60%, </w:t>
      </w:r>
      <w:r>
        <w:rPr>
          <w:rFonts w:ascii="Consolas" w:hAnsi="Consolas"/>
          <w:color w:val="032F62"/>
          <w:sz w:val="21"/>
        </w:rPr>
        <w:t>NEGOTIATION</w:t>
      </w:r>
      <w:r>
        <w:rPr>
          <w:rFonts w:ascii="Calibri" w:hAnsi="Calibri"/>
          <w:color w:val="24292E"/>
          <w:sz w:val="22"/>
        </w:rPr>
        <w:t xml:space="preserve"> 80%, </w:t>
      </w:r>
      <w:r>
        <w:rPr>
          <w:rFonts w:ascii="Consolas" w:hAnsi="Consolas"/>
          <w:color w:val="032F62"/>
          <w:sz w:val="21"/>
        </w:rPr>
        <w:t>WON</w:t>
      </w:r>
      <w:r>
        <w:rPr>
          <w:rFonts w:ascii="Calibri" w:hAnsi="Calibri"/>
          <w:color w:val="24292E"/>
          <w:sz w:val="22"/>
        </w:rPr>
        <w:t xml:space="preserve"> 100%, </w:t>
      </w:r>
      <w:r>
        <w:rPr>
          <w:rFonts w:ascii="Consolas" w:hAnsi="Consolas"/>
          <w:color w:val="032F62"/>
          <w:sz w:val="21"/>
        </w:rPr>
        <w:t>LOST</w:t>
      </w:r>
      <w:r>
        <w:rPr>
          <w:rFonts w:ascii="Calibri" w:hAnsi="Calibri"/>
          <w:color w:val="24292E"/>
          <w:sz w:val="22"/>
        </w:rPr>
        <w:t xml:space="preserve"> 0%.  </w:t>
      </w:r>
    </w:p>
    <w:tbl>
      <w:tblPr>
        <w:tblW w:type="auto" w:w="0"/>
        <w:jc w:val="center"/>
        <w:tblLook w:firstColumn="1" w:firstRow="1" w:lastColumn="0" w:lastRow="0" w:noHBand="0" w:noVBand="1" w:val="04A0"/>
      </w:tblPr>
      <w:tblGrid>
        <w:gridCol w:w="9360"/>
      </w:tblGrid>
      <w:tr>
        <w:tc>
          <w:tcPr>
            <w:tcW w:type="dxa" w:w="9360"/>
            <w:shd w:fill="F1F8FF"/>
            <w:tcMar>
              <w:top w:w="140" w:type="dxa"/>
              <w:bottom w:w="140" w:type="dxa"/>
              <w:left w:w="200" w:type="dxa"/>
              <w:right w:w="200" w:type="dxa"/>
            </w:tcMar>
            <w:tcBorders>
              <w:top w:val="none"/>
              <w:left w:val="single" w:sz="24" w:space="0" w:color="0366D6"/>
              <w:bottom w:val="none"/>
              <w:right w:val="none"/>
            </w:tcBorders>
          </w:tcPr>
          <w:p>
            <w:pPr>
              <w:spacing w:before="40" w:after="40"/>
            </w:pPr>
            <w:r>
              <w:rPr>
                <w:rFonts w:ascii="Calibri" w:hAnsi="Calibri"/>
                <w:b/>
                <w:color w:val="0366D6"/>
                <w:sz w:val="21"/>
              </w:rPr>
              <w:t xml:space="preserve">[NOTE] </w:t>
            </w:r>
            <w:r>
              <w:rPr>
                <w:rFonts w:ascii="Calibri" w:hAnsi="Calibri"/>
                <w:color w:val="24292E"/>
                <w:sz w:val="21"/>
              </w:rPr>
              <w:t xml:space="preserve">- </w:t>
            </w:r>
            <w:r>
              <w:rPr>
                <w:rFonts w:ascii="Calibri" w:hAnsi="Calibri"/>
                <w:b/>
                <w:color w:val="24292E"/>
                <w:sz w:val="21"/>
              </w:rPr>
              <w:t>Canonical Policy Invariant</w:t>
            </w:r>
            <w:r>
              <w:rPr>
                <w:rFonts w:ascii="Calibri" w:hAnsi="Calibri"/>
                <w:color w:val="24292E"/>
                <w:sz w:val="21"/>
              </w:rPr>
              <w:t xml:space="preserve">: This 6-stage policy reflects the native Prisma </w:t>
            </w:r>
            <w:r>
              <w:rPr>
                <w:rFonts w:ascii="Consolas" w:hAnsi="Consolas"/>
                <w:color w:val="032F62"/>
                <w:sz w:val="20"/>
              </w:rPr>
              <w:t>LeadStage</w:t>
            </w:r>
            <w:r>
              <w:rPr>
                <w:rFonts w:ascii="Calibri" w:hAnsi="Calibri"/>
                <w:color w:val="24292E"/>
                <w:sz w:val="21"/>
              </w:rPr>
              <w:t xml:space="preserve"> enum in the verification baseline (</w:t>
            </w:r>
            <w:r>
              <w:rPr>
                <w:rFonts w:ascii="Consolas" w:hAnsi="Consolas"/>
                <w:color w:val="032F62"/>
                <w:sz w:val="20"/>
              </w:rPr>
              <w:t>aa3425a</w:t>
            </w:r>
            <w:r>
              <w:rPr>
                <w:rFonts w:ascii="Calibri" w:hAnsi="Calibri"/>
                <w:color w:val="24292E"/>
                <w:sz w:val="21"/>
              </w:rPr>
              <w:t>). The divergent 6-stage proposal in earlier FSD DEMO-08 v0.03 (</w:t>
            </w:r>
            <w:r>
              <w:rPr>
                <w:rFonts w:ascii="Consolas" w:hAnsi="Consolas"/>
                <w:color w:val="032F62"/>
                <w:sz w:val="20"/>
              </w:rPr>
              <w:t>DISCOVERY 10%</w:t>
            </w:r>
            <w:r>
              <w:rPr>
                <w:rFonts w:ascii="Calibri" w:hAnsi="Calibri"/>
                <w:color w:val="24292E"/>
                <w:sz w:val="21"/>
              </w:rPr>
              <w:t xml:space="preserve">, </w:t>
            </w:r>
            <w:r>
              <w:rPr>
                <w:rFonts w:ascii="Consolas" w:hAnsi="Consolas"/>
                <w:color w:val="032F62"/>
                <w:sz w:val="20"/>
              </w:rPr>
              <w:t>QUALIFIED 30%</w:t>
            </w:r>
            <w:r>
              <w:rPr>
                <w:rFonts w:ascii="Calibri" w:hAnsi="Calibri"/>
                <w:color w:val="24292E"/>
                <w:sz w:val="21"/>
              </w:rPr>
              <w:t xml:space="preserve">...) is formally </w:t>
            </w:r>
            <w:r>
              <w:rPr>
                <w:rFonts w:ascii="Calibri" w:hAnsi="Calibri"/>
                <w:b/>
                <w:color w:val="24292E"/>
                <w:sz w:val="21"/>
              </w:rPr>
              <w:t>deprecated and superseded</w:t>
            </w:r>
            <w:r>
              <w:rPr>
                <w:rFonts w:ascii="Calibri" w:hAnsi="Calibri"/>
                <w:color w:val="24292E"/>
                <w:sz w:val="21"/>
              </w:rPr>
              <w:t xml:space="preserve">. - </w:t>
            </w:r>
            <w:r>
              <w:rPr>
                <w:rFonts w:ascii="Calibri" w:hAnsi="Calibri"/>
                <w:b/>
                <w:color w:val="24292E"/>
                <w:sz w:val="21"/>
              </w:rPr>
              <w:t>Implementation Status</w:t>
            </w:r>
            <w:r>
              <w:rPr>
                <w:rFonts w:ascii="Calibri" w:hAnsi="Calibri"/>
                <w:color w:val="24292E"/>
                <w:sz w:val="21"/>
              </w:rPr>
              <w:t xml:space="preserve">: </w:t>
            </w:r>
            <w:r>
              <w:rPr>
                <w:rFonts w:ascii="Consolas" w:hAnsi="Consolas"/>
                <w:color w:val="032F62"/>
                <w:sz w:val="20"/>
              </w:rPr>
              <w:t>PARTIALLY IMPLEMENTED — REQUIREMENT CONFLICT OPEN</w:t>
            </w:r>
            <w:r>
              <w:rPr>
                <w:rFonts w:ascii="Calibri" w:hAnsi="Calibri"/>
                <w:color w:val="24292E"/>
                <w:sz w:val="21"/>
              </w:rPr>
              <w:t xml:space="preserve">. Native enum exists, but CSV import defaults and stage-transition service must be synchronized to reset probabilities and audit </w:t>
            </w:r>
            <w:r>
              <w:rPr>
                <w:rFonts w:ascii="Consolas" w:hAnsi="Consolas"/>
                <w:color w:val="032F62"/>
                <w:sz w:val="20"/>
              </w:rPr>
              <w:t>probabilityOverrideReason</w:t>
            </w:r>
            <w:r>
              <w:rPr>
                <w:rFonts w:ascii="Calibri" w:hAnsi="Calibri"/>
                <w:color w:val="24292E"/>
                <w:sz w:val="21"/>
              </w:rPr>
              <w:t xml:space="preserve">. Manual overrides require a mandatory written justification reason, capturing the actor ID and timestamp. </w:t>
            </w:r>
            <w:r>
              <w:rPr>
                <w:rFonts w:ascii="Calibri" w:hAnsi="Calibri"/>
                <w:i/>
                <w:color w:val="24292E"/>
                <w:sz w:val="21"/>
              </w:rPr>
              <w:t>(Source: SPH-14-FSD-v1.01 Review - Item #3)</w:t>
            </w:r>
          </w:p>
        </w:tc>
      </w:tr>
    </w:tbl>
    <w:p>
      <w:pPr>
        <w:spacing w:before="0" w:after="80"/>
      </w:pPr>
    </w:p>
    <w:p>
      <w:pPr>
        <w:spacing w:before="120" w:after="120"/>
        <w:pBdr>
          <w:bottom w:val="single" w:sz="6" w:space="1" w:color="E1E4E8"/>
        </w:pBdr>
      </w:pPr>
    </w:p>
    <w:p>
      <w:pPr>
        <w:keepNext/>
        <w:spacing w:before="200" w:after="80"/>
      </w:pPr>
      <w:r>
        <w:rPr>
          <w:rFonts w:ascii="Calibri" w:hAnsi="Calibri"/>
          <w:b/>
          <w:color w:val="1F4E79"/>
          <w:sz w:val="26"/>
        </w:rPr>
        <w:t>💰 Category 6: Commercial Offerings, Margin Evaluation, &amp; Finance Approval (</w:t>
      </w:r>
      <w:r>
        <w:rPr>
          <w:rFonts w:ascii="Consolas" w:hAnsi="Consolas"/>
          <w:color w:val="032F62"/>
          <w:sz w:val="25"/>
        </w:rPr>
        <w:t>DEMO-02</w:t>
      </w:r>
      <w:r>
        <w:rPr>
          <w:rFonts w:ascii="Calibri" w:hAnsi="Calibri"/>
          <w:color w:val="1F4E79"/>
          <w:sz w:val="26"/>
        </w:rPr>
        <w:t xml:space="preserve">, </w:t>
      </w:r>
      <w:r>
        <w:rPr>
          <w:rFonts w:ascii="Consolas" w:hAnsi="Consolas"/>
          <w:color w:val="032F62"/>
          <w:sz w:val="25"/>
        </w:rPr>
        <w:t>DEMO-07</w:t>
      </w:r>
      <w:r>
        <w:rPr>
          <w:rFonts w:ascii="Calibri" w:hAnsi="Calibri"/>
          <w:color w:val="1F4E79"/>
          <w:sz w:val="26"/>
        </w:rPr>
        <w:t xml:space="preserve">, </w:t>
      </w:r>
      <w:r>
        <w:rPr>
          <w:rFonts w:ascii="Consolas" w:hAnsi="Consolas"/>
          <w:color w:val="032F62"/>
          <w:sz w:val="25"/>
        </w:rPr>
        <w:t>DEMO-10</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16: Offering Scope-to-Project Delivery Mapping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"Offering-to-project scope/workstream/task/billing mappings?"</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do commercial offerings map to project scope, workstreams, tasks, and billing upon conversion?"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The products/services chosen during sales automatically generate the project workstreams, initial scope descriptions, and standard task templates when the deal is won.</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Introduce a BU-owned </w:t>
      </w:r>
      <w:r>
        <w:rPr>
          <w:rFonts w:ascii="Consolas" w:hAnsi="Consolas"/>
          <w:color w:val="032F62"/>
          <w:sz w:val="21"/>
        </w:rPr>
        <w:t>OfferingCatalog</w:t>
      </w:r>
      <w:r>
        <w:rPr>
          <w:rFonts w:ascii="Calibri" w:hAnsi="Calibri"/>
          <w:color w:val="24292E"/>
          <w:sz w:val="22"/>
        </w:rPr>
        <w:t xml:space="preserve"> and point-in-time </w:t>
      </w:r>
      <w:r>
        <w:rPr>
          <w:rFonts w:ascii="Consolas" w:hAnsi="Consolas"/>
          <w:color w:val="032F62"/>
          <w:sz w:val="21"/>
        </w:rPr>
        <w:t>LeadOffering</w:t>
      </w:r>
      <w:r>
        <w:rPr>
          <w:rFonts w:ascii="Calibri" w:hAnsi="Calibri"/>
          <w:color w:val="24292E"/>
          <w:sz w:val="22"/>
        </w:rPr>
        <w:t xml:space="preserve"> line snapshots. On project conversion, each selected offering automatically instantiates a corresponding </w:t>
      </w:r>
      <w:r>
        <w:rPr>
          <w:rFonts w:ascii="Consolas" w:hAnsi="Consolas"/>
          <w:color w:val="032F62"/>
          <w:sz w:val="21"/>
        </w:rPr>
        <w:t>ProjectWorkstream</w:t>
      </w:r>
      <w:r>
        <w:rPr>
          <w:rFonts w:ascii="Calibri" w:hAnsi="Calibri"/>
          <w:color w:val="24292E"/>
          <w:sz w:val="22"/>
        </w:rPr>
        <w:t xml:space="preserve"> and attaches standard BU </w:t>
      </w:r>
      <w:r>
        <w:rPr>
          <w:rFonts w:ascii="Consolas" w:hAnsi="Consolas"/>
          <w:color w:val="032F62"/>
          <w:sz w:val="21"/>
        </w:rPr>
        <w:t>TaskTemplate</w:t>
      </w:r>
      <w:r>
        <w:rPr>
          <w:rFonts w:ascii="Calibri" w:hAnsi="Calibri"/>
          <w:color w:val="24292E"/>
          <w:sz w:val="22"/>
        </w:rPr>
        <w:t xml:space="preserve"> items. </w:t>
      </w:r>
      <w:r>
        <w:rPr>
          <w:rFonts w:ascii="Calibri" w:hAnsi="Calibri"/>
          <w:i/>
          <w:color w:val="24292E"/>
          <w:sz w:val="22"/>
        </w:rPr>
        <w:t>(Source: Master Rec Doc Section 16)</w:t>
      </w:r>
    </w:p>
    <w:p>
      <w:pPr>
        <w:spacing w:before="120" w:after="120"/>
        <w:pBdr>
          <w:bottom w:val="single" w:sz="6" w:space="1" w:color="E1E4E8"/>
        </w:pBdr>
      </w:pPr>
    </w:p>
    <w:p>
      <w:pPr>
        <w:keepNext/>
        <w:spacing w:before="160" w:after="40"/>
      </w:pPr>
      <w:r>
        <w:rPr>
          <w:rFonts w:ascii="Calibri" w:hAnsi="Calibri"/>
          <w:b/>
          <w:color w:val="262626"/>
          <w:sz w:val="23"/>
        </w:rPr>
        <w:t>Question 17: Margin Evaluation Formulas, Configurable VAT, &amp; Pass-Through Costs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"Margin thresholds, VAT, currency, discount/pass-through formula?"</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are the margin thresholds, VAT handling, currency conversions, and calculation formulas?"</w:t>
      </w:r>
    </w:p>
    <w:p>
      <w:pPr>
        <w:pStyle w:val="ListBullet"/>
        <w:spacing w:before="20" w:after="40"/>
        <w:ind w:left="360"/>
      </w:pPr>
      <w:r>
        <w:rPr>
          <w:rFonts w:ascii="Calibri" w:hAnsi="Calibri"/>
          <w:b/>
          <w:color w:val="24292E"/>
          <w:sz w:val="21"/>
        </w:rPr>
        <w:t>In the Simplest Terms</w:t>
      </w:r>
      <w:r>
        <w:rPr>
          <w:rFonts w:ascii="Calibri" w:hAnsi="Calibri"/>
          <w:color w:val="24292E"/>
          <w:sz w:val="21"/>
        </w:rPr>
        <w:t>: Target margin: $\ge 30\%$ is Green (Healthy), $20–29\%$ is Yellow (Moderate), $&lt; 20\%$ is Red (Critical). VAT is calculated dynamically from system settings so profit calculations reflect real net revenue.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Calculate margins on net revenue (DPP) using exact Decimal arithmetic. Establish 3 commercial health tiers: 🟢 </w:t>
      </w:r>
      <w:r>
        <w:rPr>
          <w:rFonts w:ascii="Calibri" w:hAnsi="Calibri"/>
          <w:b/>
          <w:color w:val="24292E"/>
          <w:sz w:val="22"/>
        </w:rPr>
        <w:t>Healthy</w:t>
      </w:r>
      <w:r>
        <w:rPr>
          <w:rFonts w:ascii="Calibri" w:hAnsi="Calibri"/>
          <w:color w:val="24292E"/>
          <w:sz w:val="22"/>
        </w:rPr>
        <w:t xml:space="preserve"> ($\ge 30.0\%$), 🟡 </w:t>
      </w:r>
      <w:r>
        <w:rPr>
          <w:rFonts w:ascii="Calibri" w:hAnsi="Calibri"/>
          <w:b/>
          <w:color w:val="24292E"/>
          <w:sz w:val="22"/>
        </w:rPr>
        <w:t>Moderate</w:t>
      </w:r>
      <w:r>
        <w:rPr>
          <w:rFonts w:ascii="Calibri" w:hAnsi="Calibri"/>
          <w:color w:val="24292E"/>
          <w:sz w:val="22"/>
        </w:rPr>
        <w:t xml:space="preserve"> ($20.0\% \le M &lt; 30.0\%$), and 🔴 </w:t>
      </w:r>
      <w:r>
        <w:rPr>
          <w:rFonts w:ascii="Calibri" w:hAnsi="Calibri"/>
          <w:b/>
          <w:color w:val="24292E"/>
          <w:sz w:val="22"/>
        </w:rPr>
        <w:t>Critical</w:t>
      </w:r>
      <w:r>
        <w:rPr>
          <w:rFonts w:ascii="Calibri" w:hAnsi="Calibri"/>
          <w:color w:val="24292E"/>
          <w:sz w:val="22"/>
        </w:rPr>
        <w:t xml:space="preserve"> ($&lt; 20.0\%$).  </w:t>
      </w:r>
    </w:p>
    <w:p>
      <w:pPr>
        <w:spacing w:before="40" w:after="80" w:line="276" w:lineRule="auto"/>
      </w:pPr>
      <w:r>
        <w:rPr>
          <w:rFonts w:ascii="Calibri" w:hAnsi="Calibri"/>
          <w:color w:val="24292E"/>
          <w:sz w:val="22"/>
        </w:rPr>
        <w:t xml:space="preserve">  &gt; </w:t>
      </w:r>
      <w:r>
        <w:rPr>
          <w:rFonts w:ascii="Calibri" w:hAnsi="Calibri"/>
          <w:b/>
          <w:color w:val="24292E"/>
          <w:sz w:val="22"/>
        </w:rPr>
        <w:t>Decision 6.2b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Make VAT Configurable &amp; Versioned</w:t>
      </w:r>
      <w:r>
        <w:rPr>
          <w:rFonts w:ascii="Calibri" w:hAnsi="Calibri"/>
          <w:color w:val="24292E"/>
          <w:sz w:val="22"/>
        </w:rPr>
        <w:t>. VAT rate is retrieved from global system settings (</w:t>
      </w:r>
      <w:r>
        <w:rPr>
          <w:rFonts w:ascii="Consolas" w:hAnsi="Consolas"/>
          <w:color w:val="032F62"/>
          <w:sz w:val="21"/>
        </w:rPr>
        <w:t>AppSetting</w:t>
      </w:r>
      <w:r>
        <w:rPr>
          <w:rFonts w:ascii="Calibri" w:hAnsi="Calibri"/>
          <w:color w:val="24292E"/>
          <w:sz w:val="22"/>
        </w:rPr>
        <w:t xml:space="preserve">) or tax policy, confirmed by Finance, and stored as an immutable point-in-time snapshot on </w:t>
      </w:r>
      <w:r>
        <w:rPr>
          <w:rFonts w:ascii="Consolas" w:hAnsi="Consolas"/>
          <w:color w:val="032F62"/>
          <w:sz w:val="21"/>
        </w:rPr>
        <w:t>CommercialBudgetRevision.vatPercent</w:t>
      </w:r>
      <w:r>
        <w:rPr>
          <w:rFonts w:ascii="Calibri" w:hAnsi="Calibri"/>
          <w:color w:val="24292E"/>
          <w:sz w:val="22"/>
        </w:rPr>
        <w:t xml:space="preserve"> using exact </w:t>
      </w:r>
      <w:r>
        <w:rPr>
          <w:rFonts w:ascii="Consolas" w:hAnsi="Consolas"/>
          <w:color w:val="032F62"/>
          <w:sz w:val="21"/>
        </w:rPr>
        <w:t>Decimal(5, 2)</w:t>
      </w:r>
      <w:r>
        <w:rPr>
          <w:rFonts w:ascii="Calibri" w:hAnsi="Calibri"/>
          <w:color w:val="24292E"/>
          <w:sz w:val="22"/>
        </w:rPr>
        <w:t xml:space="preserve">. </w:t>
      </w:r>
      <w:r>
        <w:rPr>
          <w:rFonts w:ascii="Calibri" w:hAnsi="Calibri"/>
          <w:i/>
          <w:color w:val="24292E"/>
          <w:sz w:val="22"/>
        </w:rPr>
        <w:t>(Source: Author Review 1 - Revision #13)</w:t>
      </w:r>
    </w:p>
    <w:p>
      <w:pPr>
        <w:spacing w:before="120" w:after="120"/>
        <w:pBdr>
          <w:bottom w:val="single" w:sz="6" w:space="1" w:color="E1E4E8"/>
        </w:pBdr>
      </w:pPr>
    </w:p>
    <w:p>
      <w:pPr>
        <w:keepNext/>
        <w:spacing w:before="160" w:after="40"/>
      </w:pPr>
      <w:r>
        <w:rPr>
          <w:rFonts w:ascii="Calibri" w:hAnsi="Calibri"/>
          <w:b/>
          <w:color w:val="262626"/>
          <w:sz w:val="23"/>
        </w:rPr>
        <w:t>Question 18: Approver Roles, Escalation, &amp; Non-Financial Edits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"Approver/escalation dan separation of duties?"</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are the approvers, how does escalation work, and how is Separation of Duties enforced?"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Finance approves standard budgets ($\ge 20\%$). If margin is Critical ($&lt; 20\%$), Management must also approve. The salesperson who owns the deal can never approve their own budget.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6.3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versioned, immutable </w:t>
      </w:r>
      <w:r>
        <w:rPr>
          <w:rFonts w:ascii="Consolas" w:hAnsi="Consolas"/>
          <w:color w:val="032F62"/>
          <w:sz w:val="21"/>
        </w:rPr>
        <w:t>CommercialBudgetRevision</w:t>
      </w:r>
      <w:r>
        <w:rPr>
          <w:rFonts w:ascii="Calibri" w:hAnsi="Calibri"/>
          <w:color w:val="24292E"/>
          <w:sz w:val="22"/>
        </w:rPr>
        <w:t xml:space="preserve"> records. Enforce </w:t>
      </w:r>
      <w:r>
        <w:rPr>
          <w:rFonts w:ascii="Calibri" w:hAnsi="Calibri"/>
          <w:b/>
          <w:color w:val="24292E"/>
          <w:sz w:val="22"/>
        </w:rPr>
        <w:t>Separation of Duties (SoD)</w:t>
      </w:r>
      <w:r>
        <w:rPr>
          <w:rFonts w:ascii="Calibri" w:hAnsi="Calibri"/>
          <w:color w:val="24292E"/>
          <w:sz w:val="22"/>
        </w:rPr>
        <w:t xml:space="preserve"> so a deal owner cannot approve their own budget. Require </w:t>
      </w:r>
      <w:r>
        <w:rPr>
          <w:rFonts w:ascii="Consolas" w:hAnsi="Consolas"/>
          <w:color w:val="032F62"/>
          <w:sz w:val="21"/>
        </w:rPr>
        <w:t>FINANCE</w:t>
      </w:r>
      <w:r>
        <w:rPr>
          <w:rFonts w:ascii="Calibri" w:hAnsi="Calibri"/>
          <w:color w:val="24292E"/>
          <w:sz w:val="22"/>
        </w:rPr>
        <w:t xml:space="preserve"> approval for standard margins ($\ge 20\%$) and joint </w:t>
      </w:r>
      <w:r>
        <w:rPr>
          <w:rFonts w:ascii="Consolas" w:hAnsi="Consolas"/>
          <w:color w:val="032F62"/>
          <w:sz w:val="21"/>
        </w:rPr>
        <w:t>FINANCE</w:t>
      </w:r>
      <w:r>
        <w:rPr>
          <w:rFonts w:ascii="Calibri" w:hAnsi="Calibri"/>
          <w:color w:val="24292E"/>
          <w:sz w:val="22"/>
        </w:rPr>
        <w:t xml:space="preserve"> + </w:t>
      </w:r>
      <w:r>
        <w:rPr>
          <w:rFonts w:ascii="Consolas" w:hAnsi="Consolas"/>
          <w:color w:val="032F62"/>
          <w:sz w:val="21"/>
        </w:rPr>
        <w:t>MANAGEMENT</w:t>
      </w:r>
      <w:r>
        <w:rPr>
          <w:rFonts w:ascii="Calibri" w:hAnsi="Calibri"/>
          <w:color w:val="24292E"/>
          <w:sz w:val="22"/>
        </w:rPr>
        <w:t xml:space="preserve"> escalation for Critical margins ($&lt; 20\%$). </w:t>
      </w:r>
      <w:r>
        <w:rPr>
          <w:rFonts w:ascii="Calibri" w:hAnsi="Calibri"/>
          <w:i/>
          <w:color w:val="24292E"/>
          <w:sz w:val="22"/>
        </w:rPr>
        <w:t>(Source: Author Review 1 - Revision #5)</w:t>
      </w:r>
    </w:p>
    <w:p>
      <w:pPr>
        <w:spacing w:before="120" w:after="120"/>
        <w:pBdr>
          <w:bottom w:val="single" w:sz="6" w:space="1" w:color="E1E4E8"/>
        </w:pBdr>
      </w:pPr>
    </w:p>
    <w:p>
      <w:pPr>
        <w:keepNext/>
        <w:spacing w:before="200" w:after="80"/>
      </w:pPr>
      <w:r>
        <w:rPr>
          <w:rFonts w:ascii="Calibri" w:hAnsi="Calibri"/>
          <w:b/>
          <w:color w:val="1F4E79"/>
          <w:sz w:val="26"/>
        </w:rPr>
        <w:t>📈 Category 7: Project Baseline Auto-Sync (</w:t>
      </w:r>
      <w:r>
        <w:rPr>
          <w:rFonts w:ascii="Consolas" w:hAnsi="Consolas"/>
          <w:color w:val="032F62"/>
          <w:sz w:val="25"/>
        </w:rPr>
        <w:t>DEMO-11</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Dedicated Decision Section for DEMO-11: Project Baseline Synchronization, c7080af Source Schema, Target Extension, Discriminated Union Guards &amp; Concurrency Control</w:t>
      </w:r>
    </w:p>
    <w:p>
      <w:pPr>
        <w:pStyle w:val="ListBullet"/>
        <w:spacing w:before="20" w:after="40"/>
        <w:ind w:left="360"/>
      </w:pPr>
      <w:r>
        <w:rPr>
          <w:rFonts w:ascii="Calibri" w:hAnsi="Calibri"/>
          <w:b/>
          <w:color w:val="24292E"/>
          <w:sz w:val="21"/>
        </w:rPr>
        <w:t>In the Simplest Terms</w:t>
      </w:r>
      <w:r>
        <w:rPr>
          <w:rFonts w:ascii="Calibri" w:hAnsi="Calibri"/>
          <w:color w:val="24292E"/>
          <w:sz w:val="21"/>
        </w:rPr>
        <w:t>: When a deal is won, the system takes the approved budget and creates Baseline #1. Any later scope changes require an approved Change Request to create Baseline #2. The database guarantees that at most one baseline is active, while application lifecycle guarantees that at least one baseline is active, resulting in exactly one active baseline.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7.0</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Implement an </w:t>
      </w:r>
      <w:r>
        <w:rPr>
          <w:rFonts w:ascii="Calibri" w:hAnsi="Calibri"/>
          <w:b/>
          <w:color w:val="24292E"/>
          <w:sz w:val="22"/>
        </w:rPr>
        <w:t>Automated Baseline Synchronization Engine</w:t>
      </w:r>
      <w:r>
        <w:rPr>
          <w:rFonts w:ascii="Calibri" w:hAnsi="Calibri"/>
          <w:color w:val="24292E"/>
          <w:sz w:val="22"/>
        </w:rPr>
        <w:t xml:space="preserve"> extending the existing </w:t>
      </w:r>
      <w:r>
        <w:rPr>
          <w:rFonts w:ascii="Consolas" w:hAnsi="Consolas"/>
          <w:color w:val="032F62"/>
          <w:sz w:val="21"/>
        </w:rPr>
        <w:t>ProjectBaseline</w:t>
      </w:r>
      <w:r>
        <w:rPr>
          <w:rFonts w:ascii="Calibri" w:hAnsi="Calibri"/>
          <w:color w:val="24292E"/>
          <w:sz w:val="22"/>
        </w:rPr>
        <w:t xml:space="preserve"> architecture.  </w:t>
      </w:r>
    </w:p>
    <w:p>
      <w:pPr>
        <w:spacing w:before="40" w:after="80" w:line="276" w:lineRule="auto"/>
      </w:pPr>
      <w:r>
        <w:rPr>
          <w:rFonts w:ascii="Calibri" w:hAnsi="Calibri"/>
          <w:color w:val="24292E"/>
          <w:sz w:val="22"/>
        </w:rPr>
        <w:t xml:space="preserve">  &gt; 1. </w:t>
      </w:r>
      <w:r>
        <w:rPr>
          <w:rFonts w:ascii="Calibri" w:hAnsi="Calibri"/>
          <w:b/>
          <w:color w:val="24292E"/>
          <w:sz w:val="22"/>
        </w:rPr>
        <w:t>Initial Baseline Trigger (`source: "ACTIVATION"`)</w:t>
      </w:r>
      <w:r>
        <w:rPr>
          <w:rFonts w:ascii="Calibri" w:hAnsi="Calibri"/>
          <w:color w:val="24292E"/>
          <w:sz w:val="22"/>
        </w:rPr>
        <w:t xml:space="preserve">: When a lead converts to a delivery project upon </w:t>
      </w:r>
      <w:r>
        <w:rPr>
          <w:rFonts w:ascii="Consolas" w:hAnsi="Consolas"/>
          <w:color w:val="032F62"/>
          <w:sz w:val="21"/>
        </w:rPr>
        <w:t>WON</w:t>
      </w:r>
      <w:r>
        <w:rPr>
          <w:rFonts w:ascii="Calibri" w:hAnsi="Calibri"/>
          <w:color w:val="24292E"/>
          <w:sz w:val="22"/>
        </w:rPr>
        <w:t xml:space="preserve"> stage, the active </w:t>
      </w:r>
      <w:r>
        <w:rPr>
          <w:rFonts w:ascii="Consolas" w:hAnsi="Consolas"/>
          <w:color w:val="032F62"/>
          <w:sz w:val="21"/>
        </w:rPr>
        <w:t>CommercialBudgetRevision</w:t>
      </w:r>
      <w:r>
        <w:rPr>
          <w:rFonts w:ascii="Calibri" w:hAnsi="Calibri"/>
          <w:color w:val="24292E"/>
          <w:sz w:val="22"/>
        </w:rPr>
        <w:t xml:space="preserve"> automatically generates the initial </w:t>
      </w:r>
      <w:r>
        <w:rPr>
          <w:rFonts w:ascii="Consolas" w:hAnsi="Consolas"/>
          <w:color w:val="032F62"/>
          <w:sz w:val="21"/>
        </w:rPr>
        <w:t>ProjectBaseline</w:t>
      </w:r>
      <w:r>
        <w:rPr>
          <w:rFonts w:ascii="Calibri" w:hAnsi="Calibri"/>
          <w:color w:val="24292E"/>
          <w:sz w:val="22"/>
        </w:rPr>
        <w:t xml:space="preserve"> (Version 1, </w:t>
      </w:r>
      <w:r>
        <w:rPr>
          <w:rFonts w:ascii="Consolas" w:hAnsi="Consolas"/>
          <w:color w:val="032F62"/>
          <w:sz w:val="21"/>
        </w:rPr>
        <w:t>isCurrent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2. </w:t>
      </w:r>
      <w:r>
        <w:rPr>
          <w:rFonts w:ascii="Calibri" w:hAnsi="Calibri"/>
          <w:b/>
          <w:color w:val="24292E"/>
          <w:sz w:val="22"/>
        </w:rPr>
        <w:t>Change Request Baselines (`source: "CHANGE_REQUEST"`)</w:t>
      </w:r>
      <w:r>
        <w:rPr>
          <w:rFonts w:ascii="Calibri" w:hAnsi="Calibri"/>
          <w:color w:val="24292E"/>
          <w:sz w:val="22"/>
        </w:rPr>
        <w:t>: Any post-activation scope or budget adjustment requires a formal approved Change Request, generating Baseline Version $N+1$ and archiving Version $N$ (</w:t>
      </w:r>
      <w:r>
        <w:rPr>
          <w:rFonts w:ascii="Consolas" w:hAnsi="Consolas"/>
          <w:color w:val="032F62"/>
          <w:sz w:val="21"/>
        </w:rPr>
        <w:t>isCurrent = false</w:t>
      </w:r>
      <w:r>
        <w:rPr>
          <w:rFonts w:ascii="Calibri" w:hAnsi="Calibri"/>
          <w:color w:val="24292E"/>
          <w:sz w:val="22"/>
        </w:rPr>
        <w:t xml:space="preserve">).  </w:t>
      </w:r>
    </w:p>
    <w:p>
      <w:pPr>
        <w:spacing w:before="40" w:after="80" w:line="276" w:lineRule="auto"/>
      </w:pPr>
      <w:r>
        <w:rPr>
          <w:rFonts w:ascii="Calibri" w:hAnsi="Calibri"/>
          <w:color w:val="24292E"/>
          <w:sz w:val="22"/>
        </w:rPr>
        <w:t xml:space="preserve">  &gt; 3. </w:t>
      </w:r>
      <w:r>
        <w:rPr>
          <w:rFonts w:ascii="Calibri" w:hAnsi="Calibri"/>
          <w:b/>
          <w:color w:val="24292E"/>
          <w:sz w:val="22"/>
        </w:rPr>
        <w:t>Exactly-One-Current Baseline Invariant Architecture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Database Partial Unique Index (At Most One)</w:t>
      </w:r>
      <w:r>
        <w:rPr>
          <w:rFonts w:ascii="Calibri" w:hAnsi="Calibri"/>
          <w:color w:val="24292E"/>
          <w:sz w:val="22"/>
        </w:rPr>
        <w:t xml:space="preserve">: </w:t>
      </w:r>
      <w:r>
        <w:rPr>
          <w:rFonts w:ascii="Consolas" w:hAnsi="Consolas"/>
          <w:color w:val="032F62"/>
          <w:sz w:val="21"/>
        </w:rPr>
        <w:t>CREATE UNIQUE INDEX one_current_baseline_per_project ON "ProjectBaseline" ("projectId") WHERE "isCurrent" = true;</w:t>
      </w:r>
      <w:r>
        <w:rPr>
          <w:rFonts w:ascii="Calibri" w:hAnsi="Calibri"/>
          <w:color w:val="24292E"/>
          <w:sz w:val="22"/>
        </w:rPr>
        <w:t xml:space="preserve"> guarantees that no more than one baseline per project can be marked current simultaneously.  </w:t>
      </w:r>
    </w:p>
    <w:p>
      <w:pPr>
        <w:spacing w:before="40" w:after="80" w:line="276" w:lineRule="auto"/>
      </w:pPr>
      <w:r>
        <w:rPr>
          <w:rFonts w:ascii="Calibri" w:hAnsi="Calibri"/>
          <w:color w:val="24292E"/>
          <w:sz w:val="22"/>
        </w:rPr>
        <w:t xml:space="preserve">  &gt;    - </w:t>
      </w:r>
      <w:r>
        <w:rPr>
          <w:rFonts w:ascii="Calibri" w:hAnsi="Calibri"/>
          <w:b/>
          <w:color w:val="24292E"/>
          <w:sz w:val="22"/>
        </w:rPr>
        <w:t>Application Lifecycle Invariant (At Least One)</w:t>
      </w:r>
      <w:r>
        <w:rPr>
          <w:rFonts w:ascii="Calibri" w:hAnsi="Calibri"/>
          <w:color w:val="24292E"/>
          <w:sz w:val="22"/>
        </w:rPr>
        <w:t>: Project creation and change request transactions guarantee that active delivery projects always maintain an active baseline (</w:t>
      </w:r>
      <w:r>
        <w:rPr>
          <w:rFonts w:ascii="Consolas" w:hAnsi="Consolas"/>
          <w:color w:val="032F62"/>
          <w:sz w:val="21"/>
        </w:rPr>
        <w:t>isCurrent = true</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Combined Enforcement</w:t>
      </w:r>
      <w:r>
        <w:rPr>
          <w:rFonts w:ascii="Calibri" w:hAnsi="Calibri"/>
          <w:color w:val="24292E"/>
          <w:sz w:val="22"/>
        </w:rPr>
        <w:t xml:space="preserve">: Delivers an </w:t>
      </w:r>
      <w:r>
        <w:rPr>
          <w:rFonts w:ascii="Calibri" w:hAnsi="Calibri"/>
          <w:b/>
          <w:color w:val="24292E"/>
          <w:sz w:val="22"/>
        </w:rPr>
        <w:t>exactly-one-current baseline guarantee</w:t>
      </w:r>
      <w:r>
        <w:rPr>
          <w:rFonts w:ascii="Calibri" w:hAnsi="Calibri"/>
          <w:color w:val="24292E"/>
          <w:sz w:val="22"/>
        </w:rPr>
        <w:t xml:space="preserve">.  </w:t>
      </w:r>
    </w:p>
    <w:p>
      <w:pPr>
        <w:spacing w:before="40" w:after="80" w:line="276" w:lineRule="auto"/>
      </w:pPr>
      <w:r>
        <w:rPr>
          <w:rFonts w:ascii="Calibri" w:hAnsi="Calibri"/>
          <w:color w:val="24292E"/>
          <w:sz w:val="22"/>
        </w:rPr>
        <w:t xml:space="preserve">  &gt; 4. </w:t>
      </w:r>
      <w:r>
        <w:rPr>
          <w:rFonts w:ascii="Calibri" w:hAnsi="Calibri"/>
          <w:b/>
          <w:color w:val="24292E"/>
          <w:sz w:val="22"/>
        </w:rPr>
        <w:t>Discriminated Union &amp; Idempotent Retry Ordering Invariant</w:t>
      </w:r>
      <w:r>
        <w:rPr>
          <w:rFonts w:ascii="Calibri" w:hAnsi="Calibri"/>
          <w:color w:val="24292E"/>
          <w:sz w:val="22"/>
        </w:rPr>
        <w:t xml:space="preserve">: </w:t>
      </w:r>
      <w:r>
        <w:rPr>
          <w:rFonts w:ascii="Consolas" w:hAnsi="Consolas"/>
          <w:color w:val="032F62"/>
          <w:sz w:val="21"/>
        </w:rPr>
        <w:t>ACTIVATION</w:t>
      </w:r>
      <w:r>
        <w:rPr>
          <w:rFonts w:ascii="Calibri" w:hAnsi="Calibri"/>
          <w:color w:val="24292E"/>
          <w:sz w:val="22"/>
        </w:rPr>
        <w:t xml:space="preserve"> does not generate a duplicate baseline if one already exists; </w:t>
      </w:r>
      <w:r>
        <w:rPr>
          <w:rFonts w:ascii="Consolas" w:hAnsi="Consolas"/>
          <w:color w:val="032F62"/>
          <w:sz w:val="21"/>
        </w:rPr>
        <w:t>CHANGE_REQUEST</w:t>
      </w:r>
      <w:r>
        <w:rPr>
          <w:rFonts w:ascii="Calibri" w:hAnsi="Calibri"/>
          <w:color w:val="24292E"/>
          <w:sz w:val="22"/>
        </w:rPr>
        <w:t xml:space="preserve"> baseline creation strictly searches for an existing baseline by </w:t>
      </w:r>
      <w:r>
        <w:rPr>
          <w:rFonts w:ascii="Consolas" w:hAnsi="Consolas"/>
          <w:color w:val="032F62"/>
          <w:sz w:val="21"/>
        </w:rPr>
        <w:t>changeRequestId</w:t>
      </w:r>
      <w:r>
        <w:rPr>
          <w:rFonts w:ascii="Calibri" w:hAnsi="Calibri"/>
          <w:color w:val="24292E"/>
          <w:sz w:val="22"/>
        </w:rPr>
        <w:t xml:space="preserve"> first to guarantee idempotent retry safety before validating </w:t>
      </w:r>
      <w:r>
        <w:rPr>
          <w:rFonts w:ascii="Consolas" w:hAnsi="Consolas"/>
          <w:color w:val="032F62"/>
          <w:sz w:val="21"/>
        </w:rPr>
        <w:t>status: "APPROVED"</w:t>
      </w:r>
      <w:r>
        <w:rPr>
          <w:rFonts w:ascii="Calibri" w:hAnsi="Calibri"/>
          <w:color w:val="24292E"/>
          <w:sz w:val="22"/>
        </w:rPr>
        <w:t>.</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Target Atomic Transaction Boundary for Activation &amp; Baseline Synchronization</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 Recommended Atomic Transaction Boundary (Target Engine):</w:t>
      </w:r>
    </w:p>
    <w:p>
      <w:pPr>
        <w:spacing w:before="40" w:after="80" w:line="276" w:lineRule="auto"/>
      </w:pPr>
      <w:r>
        <w:rPr>
          <w:rFonts w:ascii="Calibri" w:hAnsi="Calibri"/>
          <w:color w:val="24292E"/>
          <w:sz w:val="22"/>
        </w:rPr>
        <w:t xml:space="preserve">    // Wraps lock, effective state merge, readiness check, status update, baseline init, activity, and audit.</w:t>
      </w:r>
    </w:p>
    <w:p>
      <w:pPr>
        <w:spacing w:before="40" w:after="80" w:line="276" w:lineRule="auto"/>
      </w:pPr>
      <w:r>
        <w:rPr>
          <w:rFonts w:ascii="Calibri" w:hAnsi="Calibri"/>
          <w:color w:val="24292E"/>
          <w:sz w:val="22"/>
        </w:rPr>
        <w:t xml:space="preserve">    await prisma.$transaction(async (tx) =&gt; {</w:t>
      </w:r>
    </w:p>
    <w:p>
      <w:pPr>
        <w:spacing w:before="40" w:after="80" w:line="276" w:lineRule="auto"/>
      </w:pPr>
      <w:r>
        <w:rPr>
          <w:rFonts w:ascii="Calibri" w:hAnsi="Calibri"/>
          <w:color w:val="24292E"/>
          <w:sz w:val="22"/>
        </w:rPr>
        <w:t xml:space="preserve">      // 1. Acquire transaction advisory lock on project ID to prevent concurrent races</w:t>
      </w:r>
    </w:p>
    <w:p>
      <w:pPr>
        <w:spacing w:before="40" w:after="80" w:line="276" w:lineRule="auto"/>
      </w:pPr>
      <w:r>
        <w:rPr>
          <w:rFonts w:ascii="Calibri" w:hAnsi="Calibri"/>
          <w:color w:val="24292E"/>
          <w:sz w:val="22"/>
        </w:rPr>
        <w:t xml:space="preserve">      await tx.$executeRaw</w:t>
      </w:r>
      <w:r>
        <w:rPr>
          <w:rFonts w:ascii="Consolas" w:hAnsi="Consolas"/>
          <w:color w:val="032F62"/>
          <w:sz w:val="21"/>
        </w:rPr>
        <w:t>SELECT pg_advisory_xact_lock(hashtext(${projectId}))</w:t>
      </w:r>
      <w:r>
        <w:rPr>
          <w:rFonts w:ascii="Calibri" w:hAnsi="Calibri"/>
          <w:color w:val="24292E"/>
          <w:sz w:val="22"/>
        </w:rPr>
        <w:t>;</w:t>
      </w:r>
    </w:p>
    <w:p>
      <w:pPr>
        <w:spacing w:before="40" w:after="80" w:line="276" w:lineRule="auto"/>
      </w:pPr>
      <w:r>
        <w:rPr>
          <w:rFonts w:ascii="Calibri" w:hAnsi="Calibri"/>
          <w:color w:val="24292E"/>
          <w:sz w:val="22"/>
        </w:rPr>
        <w:t xml:space="preserve">      // 2. Load persisted DB record and merge incoming PATCH payload</w:t>
      </w:r>
    </w:p>
    <w:p>
      <w:pPr>
        <w:spacing w:before="40" w:after="80" w:line="276" w:lineRule="auto"/>
      </w:pPr>
      <w:r>
        <w:rPr>
          <w:rFonts w:ascii="Calibri" w:hAnsi="Calibri"/>
          <w:color w:val="24292E"/>
          <w:sz w:val="22"/>
        </w:rPr>
        <w:t xml:space="preserve">      const effectiveState = await loadAndMergeEffectiveState(tx, projectId, patch);</w:t>
      </w:r>
    </w:p>
    <w:p>
      <w:pPr>
        <w:spacing w:before="40" w:after="80" w:line="276" w:lineRule="auto"/>
      </w:pPr>
      <w:r>
        <w:rPr>
          <w:rFonts w:ascii="Calibri" w:hAnsi="Calibri"/>
          <w:color w:val="24292E"/>
          <w:sz w:val="22"/>
        </w:rPr>
        <w:t xml:space="preserve">      // 3. Evaluate readiness against the single shared validator</w:t>
      </w:r>
    </w:p>
    <w:p>
      <w:pPr>
        <w:spacing w:before="40" w:after="80" w:line="276" w:lineRule="auto"/>
      </w:pPr>
      <w:r>
        <w:rPr>
          <w:rFonts w:ascii="Calibri" w:hAnsi="Calibri"/>
          <w:color w:val="24292E"/>
          <w:sz w:val="22"/>
        </w:rPr>
        <w:t xml:space="preserve">      const readiness = await evaluateActivationReadiness(tx, effectiveState);</w:t>
      </w:r>
    </w:p>
    <w:p>
      <w:pPr>
        <w:spacing w:before="40" w:after="80" w:line="276" w:lineRule="auto"/>
      </w:pPr>
      <w:r>
        <w:rPr>
          <w:rFonts w:ascii="Calibri" w:hAnsi="Calibri"/>
          <w:color w:val="24292E"/>
          <w:sz w:val="22"/>
        </w:rPr>
        <w:t xml:space="preserve">      if (!readiness.ready) {</w:t>
      </w:r>
    </w:p>
    <w:p>
      <w:pPr>
        <w:spacing w:before="40" w:after="80" w:line="276" w:lineRule="auto"/>
      </w:pPr>
      <w:r>
        <w:rPr>
          <w:rFonts w:ascii="Calibri" w:hAnsi="Calibri"/>
          <w:color w:val="24292E"/>
          <w:sz w:val="22"/>
        </w:rPr>
        <w:t xml:space="preserve">        throw activationGateViolation(readiness);</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4. Update status to ACTIVE atomically</w:t>
      </w:r>
    </w:p>
    <w:p>
      <w:pPr>
        <w:spacing w:before="40" w:after="80" w:line="276" w:lineRule="auto"/>
      </w:pPr>
      <w:r>
        <w:rPr>
          <w:rFonts w:ascii="Calibri" w:hAnsi="Calibri"/>
          <w:color w:val="24292E"/>
          <w:sz w:val="22"/>
        </w:rPr>
        <w:t xml:space="preserve">      await updateProjectStatusToActive(tx, projectId, patch);</w:t>
      </w:r>
    </w:p>
    <w:p>
      <w:pPr>
        <w:spacing w:before="40" w:after="80" w:line="276" w:lineRule="auto"/>
      </w:pPr>
      <w:r>
        <w:rPr>
          <w:rFonts w:ascii="Calibri" w:hAnsi="Calibri"/>
          <w:color w:val="24292E"/>
          <w:sz w:val="22"/>
        </w:rPr>
        <w:t xml:space="preserve">      // 5. Initialize ProjectBaseline v1.00 if missing (guarantees AT LEAST ONE baseline)</w:t>
      </w:r>
    </w:p>
    <w:p>
      <w:pPr>
        <w:spacing w:before="40" w:after="80" w:line="276" w:lineRule="auto"/>
      </w:pPr>
      <w:r>
        <w:rPr>
          <w:rFonts w:ascii="Calibri" w:hAnsi="Calibri"/>
          <w:color w:val="24292E"/>
          <w:sz w:val="22"/>
        </w:rPr>
        <w:t xml:space="preserve">      await createInitialBaselineIfMissing(tx, projectId);</w:t>
      </w:r>
    </w:p>
    <w:p>
      <w:pPr>
        <w:spacing w:before="40" w:after="80" w:line="276" w:lineRule="auto"/>
      </w:pPr>
      <w:r>
        <w:rPr>
          <w:rFonts w:ascii="Calibri" w:hAnsi="Calibri"/>
          <w:color w:val="24292E"/>
          <w:sz w:val="22"/>
        </w:rPr>
        <w:t xml:space="preserve">      // 6. Record activity event and audit log inside the same transaction</w:t>
      </w:r>
    </w:p>
    <w:p>
      <w:pPr>
        <w:spacing w:before="40" w:after="80" w:line="276" w:lineRule="auto"/>
      </w:pPr>
      <w:r>
        <w:rPr>
          <w:rFonts w:ascii="Calibri" w:hAnsi="Calibri"/>
          <w:color w:val="24292E"/>
          <w:sz w:val="22"/>
        </w:rPr>
        <w:t xml:space="preserve">      await createProjectActivity(tx, projectId);</w:t>
      </w:r>
    </w:p>
    <w:p>
      <w:pPr>
        <w:spacing w:before="40" w:after="80" w:line="276" w:lineRule="auto"/>
      </w:pPr>
      <w:r>
        <w:rPr>
          <w:rFonts w:ascii="Calibri" w:hAnsi="Calibri"/>
          <w:color w:val="24292E"/>
          <w:sz w:val="22"/>
        </w:rPr>
        <w:t xml:space="preserve">      await createAuditRecord(tx, projectId);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Source Baseline Model in Referenced Codebase (Historical: c7080af; Verification HEAD: aa3425a)</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 Exact source baseline model from the referenced codebase:</w:t>
      </w:r>
    </w:p>
    <w:p>
      <w:pPr>
        <w:spacing w:before="40" w:after="80" w:line="276" w:lineRule="auto"/>
      </w:pPr>
      <w:r>
        <w:rPr>
          <w:rFonts w:ascii="Calibri" w:hAnsi="Calibri"/>
          <w:color w:val="24292E"/>
          <w:sz w:val="22"/>
        </w:rPr>
        <w:t xml:space="preserve">    // lib/db/prisma/schema.prisma at commit c7080af (Lines 310-330)</w:t>
      </w:r>
    </w:p>
    <w:p>
      <w:pPr>
        <w:spacing w:before="40" w:after="80" w:line="276" w:lineRule="auto"/>
      </w:pPr>
      <w:r>
        <w:rPr>
          <w:rFonts w:ascii="Calibri" w:hAnsi="Calibri"/>
          <w:color w:val="24292E"/>
          <w:sz w:val="22"/>
        </w:rPr>
        <w:t xml:space="preserve">    enum ProjectBaselineSource {</w:t>
      </w:r>
    </w:p>
    <w:p>
      <w:pPr>
        <w:spacing w:before="40" w:after="80" w:line="276" w:lineRule="auto"/>
      </w:pPr>
      <w:r>
        <w:rPr>
          <w:rFonts w:ascii="Calibri" w:hAnsi="Calibri"/>
          <w:color w:val="24292E"/>
          <w:sz w:val="22"/>
        </w:rPr>
        <w:t xml:space="preserve">      ACTIVATION</w:t>
      </w:r>
    </w:p>
    <w:p>
      <w:pPr>
        <w:spacing w:before="40" w:after="80" w:line="276" w:lineRule="auto"/>
      </w:pPr>
      <w:r>
        <w:rPr>
          <w:rFonts w:ascii="Calibri" w:hAnsi="Calibri"/>
          <w:color w:val="24292E"/>
          <w:sz w:val="22"/>
        </w:rPr>
        <w:t xml:space="preserve">      CHANGE_REQUEST</w:t>
      </w:r>
    </w:p>
    <w:p>
      <w:pPr>
        <w:spacing w:before="40" w:after="80" w:line="276" w:lineRule="auto"/>
      </w:pPr>
      <w:r>
        <w:rPr>
          <w:rFonts w:ascii="Calibri" w:hAnsi="Calibri"/>
          <w:color w:val="24292E"/>
          <w:sz w:val="22"/>
        </w:rPr>
        <w:t xml:space="preserve">      MANUAL</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ProjectBaseline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projectId       String</w:t>
      </w:r>
    </w:p>
    <w:p>
      <w:pPr>
        <w:spacing w:before="40" w:after="80" w:line="276" w:lineRule="auto"/>
      </w:pPr>
      <w:r>
        <w:rPr>
          <w:rFonts w:ascii="Calibri" w:hAnsi="Calibri"/>
          <w:color w:val="24292E"/>
          <w:sz w:val="22"/>
        </w:rPr>
        <w:t xml:space="preserve">      project         Project               @relation(fields: [projectId], references: [id], onDelete: Cascade)</w:t>
      </w:r>
    </w:p>
    <w:p>
      <w:pPr>
        <w:spacing w:before="40" w:after="80" w:line="276" w:lineRule="auto"/>
      </w:pPr>
      <w:r>
        <w:rPr>
          <w:rFonts w:ascii="Calibri" w:hAnsi="Calibri"/>
          <w:color w:val="24292E"/>
          <w:sz w:val="22"/>
        </w:rPr>
        <w:t xml:space="preserve">      version         Int</w:t>
      </w:r>
    </w:p>
    <w:p>
      <w:pPr>
        <w:spacing w:before="40" w:after="80" w:line="276" w:lineRule="auto"/>
      </w:pPr>
      <w:r>
        <w:rPr>
          <w:rFonts w:ascii="Calibri" w:hAnsi="Calibri"/>
          <w:color w:val="24292E"/>
          <w:sz w:val="22"/>
        </w:rPr>
        <w:t xml:space="preserve">      isCurrent       Boolean               @default(true)</w:t>
      </w:r>
    </w:p>
    <w:p>
      <w:pPr>
        <w:spacing w:before="40" w:after="80" w:line="276" w:lineRule="auto"/>
      </w:pPr>
      <w:r>
        <w:rPr>
          <w:rFonts w:ascii="Calibri" w:hAnsi="Calibri"/>
          <w:color w:val="24292E"/>
          <w:sz w:val="22"/>
        </w:rPr>
        <w:t xml:space="preserve">      source          ProjectBaselineSource @default(ACTIVATION)</w:t>
      </w:r>
    </w:p>
    <w:p>
      <w:pPr>
        <w:spacing w:before="40" w:after="80" w:line="276" w:lineRule="auto"/>
      </w:pPr>
      <w:r>
        <w:rPr>
          <w:rFonts w:ascii="Calibri" w:hAnsi="Calibri"/>
          <w:color w:val="24292E"/>
          <w:sz w:val="22"/>
        </w:rPr>
        <w:t xml:space="preserve">      changeRequestId String?</w:t>
      </w:r>
    </w:p>
    <w:p>
      <w:pPr>
        <w:spacing w:before="40" w:after="80" w:line="276" w:lineRule="auto"/>
      </w:pPr>
      <w:r>
        <w:rPr>
          <w:rFonts w:ascii="Calibri" w:hAnsi="Calibri"/>
          <w:color w:val="24292E"/>
          <w:sz w:val="22"/>
        </w:rPr>
        <w:t xml:space="preserve">      changeRequest   ChangeRequest?        @relation("BaselineChangeRequest", fields: [changeRequestId], references: [id])</w:t>
      </w:r>
    </w:p>
    <w:p>
      <w:pPr>
        <w:spacing w:before="40" w:after="80" w:line="276" w:lineRule="auto"/>
      </w:pPr>
      <w:r>
        <w:rPr>
          <w:rFonts w:ascii="Calibri" w:hAnsi="Calibri"/>
          <w:color w:val="24292E"/>
          <w:sz w:val="22"/>
        </w:rPr>
        <w:t xml:space="preserve">      startDate       DateTime?</w:t>
      </w:r>
    </w:p>
    <w:p>
      <w:pPr>
        <w:spacing w:before="40" w:after="80" w:line="276" w:lineRule="auto"/>
      </w:pPr>
      <w:r>
        <w:rPr>
          <w:rFonts w:ascii="Calibri" w:hAnsi="Calibri"/>
          <w:color w:val="24292E"/>
          <w:sz w:val="22"/>
        </w:rPr>
        <w:t xml:space="preserve">      endDate         DateTime?</w:t>
      </w:r>
    </w:p>
    <w:p>
      <w:pPr>
        <w:spacing w:before="40" w:after="80" w:line="276" w:lineRule="auto"/>
      </w:pPr>
      <w:r>
        <w:rPr>
          <w:rFonts w:ascii="Calibri" w:hAnsi="Calibri"/>
          <w:color w:val="24292E"/>
          <w:sz w:val="22"/>
        </w:rPr>
        <w:t xml:space="preserve">      plannedMandays  Float                 @default(0)</w:t>
      </w:r>
    </w:p>
    <w:p>
      <w:pPr>
        <w:spacing w:before="40" w:after="80" w:line="276" w:lineRule="auto"/>
      </w:pPr>
      <w:r>
        <w:rPr>
          <w:rFonts w:ascii="Calibri" w:hAnsi="Calibri"/>
          <w:color w:val="24292E"/>
          <w:sz w:val="22"/>
        </w:rPr>
        <w:t xml:space="preserve">      estimatedCost   Float                 @default(0)</w:t>
      </w:r>
    </w:p>
    <w:p>
      <w:pPr>
        <w:spacing w:before="40" w:after="80" w:line="276" w:lineRule="auto"/>
      </w:pPr>
      <w:r>
        <w:rPr>
          <w:rFonts w:ascii="Calibri" w:hAnsi="Calibri"/>
          <w:color w:val="24292E"/>
          <w:sz w:val="22"/>
        </w:rPr>
        <w:t xml:space="preserve">      contractValue   Float                 @default(0)</w:t>
      </w:r>
    </w:p>
    <w:p>
      <w:pPr>
        <w:spacing w:before="40" w:after="80" w:line="276" w:lineRule="auto"/>
      </w:pPr>
      <w:r>
        <w:rPr>
          <w:rFonts w:ascii="Calibri" w:hAnsi="Calibri"/>
          <w:color w:val="24292E"/>
          <w:sz w:val="22"/>
        </w:rPr>
        <w:t xml:space="preserve">      createdById     String?</w:t>
      </w:r>
    </w:p>
    <w:p>
      <w:pPr>
        <w:spacing w:before="40" w:after="80" w:line="276" w:lineRule="auto"/>
      </w:pPr>
      <w:r>
        <w:rPr>
          <w:rFonts w:ascii="Calibri" w:hAnsi="Calibri"/>
          <w:color w:val="24292E"/>
          <w:sz w:val="22"/>
        </w:rPr>
        <w:t xml:space="preserve">      createdBy       User?                 @relation("ProjectBaselineCreator", fields: [createdById], references: [id])</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@@unique([projectId, version])</w:t>
      </w:r>
    </w:p>
    <w:p>
      <w:pPr>
        <w:spacing w:before="40" w:after="80" w:line="276" w:lineRule="auto"/>
      </w:pPr>
      <w:r>
        <w:rPr>
          <w:rFonts w:ascii="Calibri" w:hAnsi="Calibri"/>
          <w:color w:val="24292E"/>
          <w:sz w:val="22"/>
        </w:rPr>
        <w:t xml:space="preserve">      @@index([projectId, isCurrent])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Proposed Non-Destructive Target Extension for DEMO-11 (Decimal Migration &amp; Commercial Link)</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 Proposed Non-Destructive Target Extension:</w:t>
      </w:r>
    </w:p>
    <w:p>
      <w:pPr>
        <w:spacing w:before="40" w:after="80" w:line="276" w:lineRule="auto"/>
      </w:pPr>
      <w:r>
        <w:rPr>
          <w:rFonts w:ascii="Calibri" w:hAnsi="Calibri"/>
          <w:color w:val="24292E"/>
          <w:sz w:val="22"/>
        </w:rPr>
        <w:t xml:space="preserve">    // Preserves all existing operational fields (startDate, endDate, plannedMandays, createdBy, changeRequest)</w:t>
      </w:r>
    </w:p>
    <w:p>
      <w:pPr>
        <w:spacing w:before="40" w:after="80" w:line="276" w:lineRule="auto"/>
      </w:pPr>
      <w:r>
        <w:rPr>
          <w:rFonts w:ascii="Calibri" w:hAnsi="Calibri"/>
          <w:color w:val="24292E"/>
          <w:sz w:val="22"/>
        </w:rPr>
        <w:t xml:space="preserve">    // while migrating financial fields Float -&gt; Decimal(15, 2) and adding CommercialBudgetRevision link.</w:t>
      </w:r>
    </w:p>
    <w:p>
      <w:pPr>
        <w:spacing w:before="40" w:after="80" w:line="276" w:lineRule="auto"/>
      </w:pPr>
      <w:r>
        <w:rPr>
          <w:rFonts w:ascii="Calibri" w:hAnsi="Calibri"/>
          <w:color w:val="24292E"/>
          <w:sz w:val="22"/>
        </w:rPr>
        <w:t xml:space="preserve">    model ProjectBaseline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projectId                  String</w:t>
      </w:r>
    </w:p>
    <w:p>
      <w:pPr>
        <w:spacing w:before="40" w:after="80" w:line="276" w:lineRule="auto"/>
      </w:pPr>
      <w:r>
        <w:rPr>
          <w:rFonts w:ascii="Calibri" w:hAnsi="Calibri"/>
          <w:color w:val="24292E"/>
          <w:sz w:val="22"/>
        </w:rPr>
        <w:t xml:space="preserve">      project                    Project               @relation(fields: [projectId], references: [id], onDelete: Cascade)</w:t>
      </w:r>
    </w:p>
    <w:p>
      <w:pPr>
        <w:spacing w:before="40" w:after="80" w:line="276" w:lineRule="auto"/>
      </w:pPr>
      <w:r>
        <w:rPr>
          <w:rFonts w:ascii="Calibri" w:hAnsi="Calibri"/>
          <w:color w:val="24292E"/>
          <w:sz w:val="22"/>
        </w:rPr>
        <w:t xml:space="preserve">      version                    Int                   @default(1)</w:t>
      </w:r>
    </w:p>
    <w:p>
      <w:pPr>
        <w:spacing w:before="40" w:after="80" w:line="276" w:lineRule="auto"/>
      </w:pPr>
      <w:r>
        <w:rPr>
          <w:rFonts w:ascii="Calibri" w:hAnsi="Calibri"/>
          <w:color w:val="24292E"/>
          <w:sz w:val="22"/>
        </w:rPr>
        <w:t xml:space="preserve">      source                     ProjectBaselineSource @default(ACTIVATION)</w:t>
      </w:r>
    </w:p>
    <w:p>
      <w:pPr>
        <w:spacing w:before="40" w:after="80" w:line="276" w:lineRule="auto"/>
      </w:pPr>
      <w:r>
        <w:rPr>
          <w:rFonts w:ascii="Calibri" w:hAnsi="Calibri"/>
          <w:color w:val="24292E"/>
          <w:sz w:val="22"/>
        </w:rPr>
        <w:t xml:space="preserve">      changeRequestId            String?               @unique // Idempotency: 1 CR -&gt; 1 Baseline</w:t>
      </w:r>
    </w:p>
    <w:p>
      <w:pPr>
        <w:spacing w:before="40" w:after="80" w:line="276" w:lineRule="auto"/>
      </w:pPr>
      <w:r>
        <w:rPr>
          <w:rFonts w:ascii="Calibri" w:hAnsi="Calibri"/>
          <w:color w:val="24292E"/>
          <w:sz w:val="22"/>
        </w:rPr>
        <w:t xml:space="preserve">      changeRequest              ChangeRequest?        @relation("BaselineChangeRequest", fields: [changeRequestId], references: [id])</w:t>
      </w:r>
    </w:p>
    <w:p>
      <w:pPr>
        <w:spacing w:before="40" w:after="80" w:line="276" w:lineRule="auto"/>
      </w:pPr>
      <w:r>
        <w:rPr>
          <w:rFonts w:ascii="Calibri" w:hAnsi="Calibri"/>
          <w:color w:val="24292E"/>
          <w:sz w:val="22"/>
        </w:rPr>
        <w:t xml:space="preserve">      startDate                  DateTime?             // Preserved from c7080af</w:t>
      </w:r>
    </w:p>
    <w:p>
      <w:pPr>
        <w:spacing w:before="40" w:after="80" w:line="276" w:lineRule="auto"/>
      </w:pPr>
      <w:r>
        <w:rPr>
          <w:rFonts w:ascii="Calibri" w:hAnsi="Calibri"/>
          <w:color w:val="24292E"/>
          <w:sz w:val="22"/>
        </w:rPr>
        <w:t xml:space="preserve">      endDate                    DateTime?             // Preserved from c7080af</w:t>
      </w:r>
    </w:p>
    <w:p>
      <w:pPr>
        <w:spacing w:before="40" w:after="80" w:line="276" w:lineRule="auto"/>
      </w:pPr>
      <w:r>
        <w:rPr>
          <w:rFonts w:ascii="Calibri" w:hAnsi="Calibri"/>
          <w:color w:val="24292E"/>
          <w:sz w:val="22"/>
        </w:rPr>
        <w:t xml:space="preserve">      plannedMandays             Decimal               @default(0) @db.Decimal(8, 2) // Migrated Float -&gt; Decimal (deterministic effort precision)</w:t>
      </w:r>
    </w:p>
    <w:p>
      <w:pPr>
        <w:spacing w:before="40" w:after="80" w:line="276" w:lineRule="auto"/>
      </w:pPr>
      <w:r>
        <w:rPr>
          <w:rFonts w:ascii="Calibri" w:hAnsi="Calibri"/>
          <w:color w:val="24292E"/>
          <w:sz w:val="22"/>
        </w:rPr>
        <w:t xml:space="preserve">      estimatedCost              Decimal               @default(0) @db.Decimal(15, 2) // Migrated Float -&gt; Decimal</w:t>
      </w:r>
    </w:p>
    <w:p>
      <w:pPr>
        <w:spacing w:before="40" w:after="80" w:line="276" w:lineRule="auto"/>
      </w:pPr>
      <w:r>
        <w:rPr>
          <w:rFonts w:ascii="Calibri" w:hAnsi="Calibri"/>
          <w:color w:val="24292E"/>
          <w:sz w:val="22"/>
        </w:rPr>
        <w:t xml:space="preserve">      contractValue              Decimal               @default(0) @db.Decimal(15, 2) // Migrated Float -&gt; Decimal</w:t>
      </w:r>
    </w:p>
    <w:p>
      <w:pPr>
        <w:spacing w:before="40" w:after="80" w:line="276" w:lineRule="auto"/>
      </w:pPr>
      <w:r>
        <w:rPr>
          <w:rFonts w:ascii="Calibri" w:hAnsi="Calibri"/>
          <w:color w:val="24292E"/>
          <w:sz w:val="22"/>
        </w:rPr>
        <w:t xml:space="preserve">      commercialBudgetRevisionId String?</w:t>
      </w:r>
    </w:p>
    <w:p>
      <w:pPr>
        <w:spacing w:before="40" w:after="80" w:line="276" w:lineRule="auto"/>
      </w:pPr>
      <w:r>
        <w:rPr>
          <w:rFonts w:ascii="Calibri" w:hAnsi="Calibri"/>
          <w:color w:val="24292E"/>
          <w:sz w:val="22"/>
        </w:rPr>
        <w:t xml:space="preserve">      commercialBudgetRevision   CommercialBudgetRevision? @relation(fields: [commercialBudgetRevisionId], references: [id])</w:t>
      </w:r>
    </w:p>
    <w:p>
      <w:pPr>
        <w:spacing w:before="40" w:after="80" w:line="276" w:lineRule="auto"/>
      </w:pPr>
      <w:r>
        <w:rPr>
          <w:rFonts w:ascii="Calibri" w:hAnsi="Calibri"/>
          <w:color w:val="24292E"/>
          <w:sz w:val="22"/>
        </w:rPr>
        <w:t xml:space="preserve">      approvedById               String?</w:t>
      </w:r>
    </w:p>
    <w:p>
      <w:pPr>
        <w:spacing w:before="40" w:after="80" w:line="276" w:lineRule="auto"/>
      </w:pPr>
      <w:r>
        <w:rPr>
          <w:rFonts w:ascii="Calibri" w:hAnsi="Calibri"/>
          <w:color w:val="24292E"/>
          <w:sz w:val="22"/>
        </w:rPr>
        <w:t xml:space="preserve">      approvedBy                 User?                 @relation("BaselineApprover", fields: [approvedById], references: [id])</w:t>
      </w:r>
    </w:p>
    <w:p>
      <w:pPr>
        <w:spacing w:before="40" w:after="80" w:line="276" w:lineRule="auto"/>
      </w:pPr>
      <w:r>
        <w:rPr>
          <w:rFonts w:ascii="Calibri" w:hAnsi="Calibri"/>
          <w:color w:val="24292E"/>
          <w:sz w:val="22"/>
        </w:rPr>
        <w:t xml:space="preserve">      approvedAt                 DateTime?</w:t>
      </w:r>
    </w:p>
    <w:p>
      <w:pPr>
        <w:spacing w:before="40" w:after="80" w:line="276" w:lineRule="auto"/>
      </w:pPr>
      <w:r>
        <w:rPr>
          <w:rFonts w:ascii="Calibri" w:hAnsi="Calibri"/>
          <w:color w:val="24292E"/>
          <w:sz w:val="22"/>
        </w:rPr>
        <w:t xml:space="preserve">      scopeSummary               String?</w:t>
      </w:r>
    </w:p>
    <w:p>
      <w:pPr>
        <w:spacing w:before="40" w:after="80" w:line="276" w:lineRule="auto"/>
      </w:pPr>
      <w:r>
        <w:rPr>
          <w:rFonts w:ascii="Calibri" w:hAnsi="Calibri"/>
          <w:color w:val="24292E"/>
          <w:sz w:val="22"/>
        </w:rPr>
        <w:t xml:space="preserve">      createdById                String?               // Preserved from c7080af</w:t>
      </w:r>
    </w:p>
    <w:p>
      <w:pPr>
        <w:spacing w:before="40" w:after="80" w:line="276" w:lineRule="auto"/>
      </w:pPr>
      <w:r>
        <w:rPr>
          <w:rFonts w:ascii="Calibri" w:hAnsi="Calibri"/>
          <w:color w:val="24292E"/>
          <w:sz w:val="22"/>
        </w:rPr>
        <w:t xml:space="preserve">      createdBy                  User?                 @relation("ProjectBaselineCreator", fields: [createdById], references: [id])</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@@unique([projectId, version])</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Authoritative Monetary Decimal Serialization &amp; Migration Policy</w:t>
      </w:r>
      <w:r>
        <w:rPr>
          <w:rFonts w:ascii="Calibri" w:hAnsi="Calibri"/>
          <w:color w:val="24292E"/>
          <w:sz w:val="21"/>
        </w:rPr>
        <w:t>:</w:t>
      </w:r>
    </w:p>
    <w:p>
      <w:pPr>
        <w:pStyle w:val="ListBullet"/>
        <w:spacing w:before="20" w:after="40"/>
        <w:ind w:left="1080"/>
      </w:pPr>
      <w:r>
        <w:rPr>
          <w:rFonts w:ascii="Calibri" w:hAnsi="Calibri"/>
          <w:i/>
          <w:color w:val="24292E"/>
          <w:sz w:val="21"/>
        </w:rPr>
        <w:t>Monetary Decimal Serialization</w:t>
      </w:r>
      <w:r>
        <w:rPr>
          <w:rFonts w:ascii="Calibri" w:hAnsi="Calibri"/>
          <w:color w:val="24292E"/>
          <w:sz w:val="21"/>
        </w:rPr>
        <w:t xml:space="preserve">: Monetary </w:t>
      </w:r>
      <w:r>
        <w:rPr>
          <w:rFonts w:ascii="Consolas" w:hAnsi="Consolas"/>
          <w:color w:val="032F62"/>
          <w:sz w:val="20"/>
        </w:rPr>
        <w:t>Decimal</w:t>
      </w:r>
      <w:r>
        <w:rPr>
          <w:rFonts w:ascii="Calibri" w:hAnsi="Calibri"/>
          <w:color w:val="24292E"/>
          <w:sz w:val="21"/>
        </w:rPr>
        <w:t xml:space="preserve"> values are serialized across REST APIs as </w:t>
      </w:r>
      <w:r>
        <w:rPr>
          <w:rFonts w:ascii="Calibri" w:hAnsi="Calibri"/>
          <w:b/>
          <w:color w:val="24292E"/>
          <w:sz w:val="21"/>
        </w:rPr>
        <w:t>canonical decimal strings</w:t>
      </w:r>
      <w:r>
        <w:rPr>
          <w:rFonts w:ascii="Calibri" w:hAnsi="Calibri"/>
          <w:color w:val="24292E"/>
          <w:sz w:val="21"/>
        </w:rPr>
        <w:t xml:space="preserve"> (e.g. </w:t>
      </w:r>
      <w:r>
        <w:rPr>
          <w:rFonts w:ascii="Consolas" w:hAnsi="Consolas"/>
          <w:color w:val="032F62"/>
          <w:sz w:val="20"/>
        </w:rPr>
        <w:t>"150000000.00"</w:t>
      </w:r>
      <w:r>
        <w:rPr>
          <w:rFonts w:ascii="Calibri" w:hAnsi="Calibri"/>
          <w:color w:val="24292E"/>
          <w:sz w:val="21"/>
        </w:rPr>
        <w:t>) or integer minor units where explicitly required by banking interfaces. JavaScript floating-point numbers must NOT be used for authoritative monetary calculations to prevent precision corruption.</w:t>
      </w:r>
    </w:p>
    <w:p>
      <w:pPr>
        <w:pStyle w:val="ListBullet"/>
        <w:spacing w:before="20" w:after="40"/>
        <w:ind w:left="1080"/>
      </w:pPr>
      <w:r>
        <w:rPr>
          <w:rFonts w:ascii="Calibri" w:hAnsi="Calibri"/>
          <w:i/>
          <w:color w:val="24292E"/>
          <w:sz w:val="21"/>
        </w:rPr>
        <w:t>plannedMandays Effort Precision</w:t>
      </w:r>
      <w:r>
        <w:rPr>
          <w:rFonts w:ascii="Calibri" w:hAnsi="Calibri"/>
          <w:color w:val="24292E"/>
          <w:sz w:val="21"/>
        </w:rPr>
        <w:t xml:space="preserve">: </w:t>
      </w:r>
      <w:r>
        <w:rPr>
          <w:rFonts w:ascii="Consolas" w:hAnsi="Consolas"/>
          <w:color w:val="032F62"/>
          <w:sz w:val="20"/>
        </w:rPr>
        <w:t>plannedMandays</w:t>
      </w:r>
      <w:r>
        <w:rPr>
          <w:rFonts w:ascii="Calibri" w:hAnsi="Calibri"/>
          <w:color w:val="24292E"/>
          <w:sz w:val="21"/>
        </w:rPr>
        <w:t xml:space="preserve"> is typed as </w:t>
      </w:r>
      <w:r>
        <w:rPr>
          <w:rFonts w:ascii="Consolas" w:hAnsi="Consolas"/>
          <w:color w:val="032F62"/>
          <w:sz w:val="20"/>
        </w:rPr>
        <w:t>Decimal(8, 2)</w:t>
      </w:r>
      <w:r>
        <w:rPr>
          <w:rFonts w:ascii="Calibri" w:hAnsi="Calibri"/>
          <w:color w:val="24292E"/>
          <w:sz w:val="21"/>
        </w:rPr>
        <w:t xml:space="preserve"> for deterministic manday effort tracking and variance calculations.</w:t>
      </w:r>
    </w:p>
    <w:p>
      <w:pPr>
        <w:pStyle w:val="ListBullet"/>
        <w:spacing w:before="20" w:after="40"/>
        <w:ind w:left="1080"/>
      </w:pPr>
      <w:r>
        <w:rPr>
          <w:rFonts w:ascii="Calibri" w:hAnsi="Calibri"/>
          <w:i/>
          <w:color w:val="24292E"/>
          <w:sz w:val="21"/>
        </w:rPr>
        <w:t>Data Conversion</w:t>
      </w:r>
      <w:r>
        <w:rPr>
          <w:rFonts w:ascii="Calibri" w:hAnsi="Calibri"/>
          <w:color w:val="24292E"/>
          <w:sz w:val="21"/>
        </w:rPr>
        <w:t xml:space="preserve">: Database migration converts existing </w:t>
      </w:r>
      <w:r>
        <w:rPr>
          <w:rFonts w:ascii="Consolas" w:hAnsi="Consolas"/>
          <w:color w:val="032F62"/>
          <w:sz w:val="20"/>
        </w:rPr>
        <w:t>Float</w:t>
      </w:r>
      <w:r>
        <w:rPr>
          <w:rFonts w:ascii="Calibri" w:hAnsi="Calibri"/>
          <w:color w:val="24292E"/>
          <w:sz w:val="21"/>
        </w:rPr>
        <w:t xml:space="preserve"> rows to </w:t>
      </w:r>
      <w:r>
        <w:rPr>
          <w:rFonts w:ascii="Consolas" w:hAnsi="Consolas"/>
          <w:color w:val="032F62"/>
          <w:sz w:val="20"/>
        </w:rPr>
        <w:t>Decimal(15, 2)</w:t>
      </w:r>
      <w:r>
        <w:rPr>
          <w:rFonts w:ascii="Calibri" w:hAnsi="Calibri"/>
          <w:color w:val="24292E"/>
          <w:sz w:val="21"/>
        </w:rPr>
        <w:t xml:space="preserve"> using standard half-up rounding: </w:t>
      </w:r>
      <w:r>
        <w:rPr>
          <w:rFonts w:ascii="Consolas" w:hAnsi="Consolas"/>
          <w:color w:val="032F62"/>
          <w:sz w:val="20"/>
        </w:rPr>
        <w:t>ROUND(contractValue::numeric, 2)</w:t>
      </w:r>
      <w:r>
        <w:rPr>
          <w:rFonts w:ascii="Calibri" w:hAnsi="Calibri"/>
          <w:color w:val="24292E"/>
          <w:sz w:val="21"/>
        </w:rPr>
        <w:t>.</w:t>
      </w:r>
    </w:p>
    <w:p>
      <w:pPr>
        <w:pStyle w:val="ListBullet"/>
        <w:spacing w:before="20" w:after="40"/>
        <w:ind w:left="1080"/>
      </w:pPr>
      <w:r>
        <w:rPr>
          <w:rFonts w:ascii="Calibri" w:hAnsi="Calibri"/>
          <w:i/>
          <w:color w:val="24292E"/>
          <w:sz w:val="21"/>
        </w:rPr>
        <w:t>Legacy Migration Acceptance Criteria</w:t>
      </w:r>
      <w:r>
        <w:rPr>
          <w:rFonts w:ascii="Calibri" w:hAnsi="Calibri"/>
          <w:color w:val="24292E"/>
          <w:sz w:val="21"/>
        </w:rPr>
        <w:t>: (1) Backfill initial baseline for active legacy projects lacking a baseline; (2) Detect and repair projects with zero active baselines; (3) Reconcile legacy multiple-current records prior to applying the PostgreSQL partial unique index.</w:t>
      </w:r>
    </w:p>
    <w:p>
      <w:pPr>
        <w:pStyle w:val="ListBullet"/>
        <w:spacing w:before="20" w:after="40"/>
        <w:ind w:left="720"/>
      </w:pPr>
      <w:r>
        <w:rPr>
          <w:rFonts w:ascii="Calibri" w:hAnsi="Calibri"/>
          <w:b/>
          <w:color w:val="24292E"/>
          <w:sz w:val="21"/>
        </w:rPr>
        <w:t>PostgreSQL Partial Unique Index DDL</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`sql</w:t>
      </w:r>
    </w:p>
    <w:p>
      <w:pPr>
        <w:spacing w:before="40" w:after="80" w:line="276" w:lineRule="auto"/>
      </w:pPr>
      <w:r>
        <w:rPr>
          <w:rFonts w:ascii="Calibri" w:hAnsi="Calibri"/>
          <w:color w:val="24292E"/>
          <w:sz w:val="22"/>
        </w:rPr>
        <w:t xml:space="preserve">    CREATE UNIQUE INDEX one_current_baseline_per_project </w:t>
      </w:r>
    </w:p>
    <w:p>
      <w:pPr>
        <w:spacing w:before="40" w:after="80" w:line="276" w:lineRule="auto"/>
      </w:pPr>
      <w:r>
        <w:rPr>
          <w:rFonts w:ascii="Calibri" w:hAnsi="Calibri"/>
          <w:color w:val="24292E"/>
          <w:sz w:val="22"/>
        </w:rPr>
        <w:t xml:space="preserve">    ON "ProjectBaseline" ("projectId") </w:t>
      </w:r>
    </w:p>
    <w:p>
      <w:pPr>
        <w:spacing w:before="40" w:after="80" w:line="276" w:lineRule="auto"/>
      </w:pPr>
      <w:r>
        <w:rPr>
          <w:rFonts w:ascii="Calibri" w:hAnsi="Calibri"/>
          <w:color w:val="24292E"/>
          <w:sz w:val="22"/>
        </w:rPr>
        <w:t xml:space="preserve">    WHERE "isCurrent" = true;</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pStyle w:val="ListBullet"/>
        <w:spacing w:before="20" w:after="40"/>
        <w:ind w:left="720"/>
      </w:pPr>
      <w:r>
        <w:rPr>
          <w:rFonts w:ascii="Calibri" w:hAnsi="Calibri"/>
          <w:b/>
          <w:color w:val="24292E"/>
          <w:sz w:val="21"/>
        </w:rPr>
        <w:t>Atomic &amp; Idempotent Baseline Synchronization Function with Preserved Retry Ordering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`typescript</w:t>
      </w:r>
    </w:p>
    <w:p>
      <w:pPr>
        <w:spacing w:before="40" w:after="80" w:line="276" w:lineRule="auto"/>
      </w:pPr>
      <w:r>
        <w:rPr>
          <w:rFonts w:ascii="Calibri" w:hAnsi="Calibri"/>
          <w:color w:val="24292E"/>
          <w:sz w:val="22"/>
        </w:rPr>
        <w:t xml:space="preserve">    type BaselineSyncOptions =</w:t>
      </w:r>
    </w:p>
    <w:p>
      <w:pPr>
        <w:spacing w:before="40" w:after="80" w:line="276" w:lineRule="auto"/>
      </w:pPr>
      <w:r>
        <w:rPr>
          <w:rFonts w:ascii="Calibri" w:hAnsi="Calibri"/>
          <w:color w:val="24292E"/>
          <w:sz w:val="22"/>
        </w:rPr>
        <w:t xml:space="preserve">      | { source: "ACTIVATION"; changeRequestId?: never }</w:t>
      </w:r>
    </w:p>
    <w:p>
      <w:pPr>
        <w:spacing w:before="40" w:after="80" w:line="276" w:lineRule="auto"/>
      </w:pPr>
      <w:r>
        <w:rPr>
          <w:rFonts w:ascii="Calibri" w:hAnsi="Calibri"/>
          <w:color w:val="24292E"/>
          <w:sz w:val="22"/>
        </w:rPr>
        <w:t xml:space="preserve">      | { source: "CHANGE_REQUEST"; changeRequestId: string };</w:t>
      </w:r>
    </w:p>
    <w:p>
      <w:pPr>
        <w:spacing w:before="40" w:after="80" w:line="276" w:lineRule="auto"/>
      </w:pPr>
      <w:r>
        <w:rPr>
          <w:rFonts w:ascii="Calibri" w:hAnsi="Calibri"/>
          <w:color w:val="24292E"/>
          <w:sz w:val="22"/>
        </w:rPr>
        <w:t xml:space="preserve">    async function syncProjectBaselineFromCommercial(</w:t>
      </w:r>
    </w:p>
    <w:p>
      <w:pPr>
        <w:spacing w:before="40" w:after="80" w:line="276" w:lineRule="auto"/>
      </w:pPr>
      <w:r>
        <w:rPr>
          <w:rFonts w:ascii="Calibri" w:hAnsi="Calibri"/>
          <w:color w:val="24292E"/>
          <w:sz w:val="22"/>
        </w:rPr>
        <w:t xml:space="preserve">      tx: Prisma.TransactionClient, </w:t>
      </w:r>
    </w:p>
    <w:p>
      <w:pPr>
        <w:spacing w:before="40" w:after="80" w:line="276" w:lineRule="auto"/>
      </w:pPr>
      <w:r>
        <w:rPr>
          <w:rFonts w:ascii="Calibri" w:hAnsi="Calibri"/>
          <w:color w:val="24292E"/>
          <w:sz w:val="22"/>
        </w:rPr>
        <w:t xml:space="preserve">      projectId: string, </w:t>
      </w:r>
    </w:p>
    <w:p>
      <w:pPr>
        <w:spacing w:before="40" w:after="80" w:line="276" w:lineRule="auto"/>
      </w:pPr>
      <w:r>
        <w:rPr>
          <w:rFonts w:ascii="Calibri" w:hAnsi="Calibri"/>
          <w:color w:val="24292E"/>
          <w:sz w:val="22"/>
        </w:rPr>
        <w:t xml:space="preserve">      budgetRevision: CommercialBudgetRevision, </w:t>
      </w:r>
    </w:p>
    <w:p>
      <w:pPr>
        <w:spacing w:before="40" w:after="80" w:line="276" w:lineRule="auto"/>
      </w:pPr>
      <w:r>
        <w:rPr>
          <w:rFonts w:ascii="Calibri" w:hAnsi="Calibri"/>
          <w:color w:val="24292E"/>
          <w:sz w:val="22"/>
        </w:rPr>
        <w:t xml:space="preserve">      options: BaselineSyncOptions</w:t>
      </w:r>
    </w:p>
    <w:p>
      <w:pPr>
        <w:spacing w:before="40" w:after="80" w:line="276" w:lineRule="auto"/>
      </w:pPr>
      <w:r>
        <w:rPr>
          <w:rFonts w:ascii="Calibri" w:hAnsi="Calibri"/>
          <w:color w:val="24292E"/>
          <w:sz w:val="22"/>
        </w:rPr>
        <w:t xml:space="preserve">    ) {</w:t>
      </w:r>
    </w:p>
    <w:p>
      <w:pPr>
        <w:spacing w:before="40" w:after="80" w:line="276" w:lineRule="auto"/>
      </w:pPr>
      <w:r>
        <w:rPr>
          <w:rFonts w:ascii="Calibri" w:hAnsi="Calibri"/>
          <w:color w:val="24292E"/>
          <w:sz w:val="22"/>
        </w:rPr>
        <w:t xml:space="preserve">      // 1. Acquire per-project transaction advisory lock using tagged template literal</w:t>
      </w:r>
    </w:p>
    <w:p>
      <w:pPr>
        <w:spacing w:before="40" w:after="80" w:line="276" w:lineRule="auto"/>
      </w:pPr>
      <w:r>
        <w:rPr>
          <w:rFonts w:ascii="Calibri" w:hAnsi="Calibri"/>
          <w:color w:val="24292E"/>
          <w:sz w:val="22"/>
        </w:rPr>
        <w:t xml:space="preserve">      await tx.$executeRaw</w:t>
      </w:r>
      <w:r>
        <w:rPr>
          <w:rFonts w:ascii="Consolas" w:hAnsi="Consolas"/>
          <w:color w:val="032F62"/>
          <w:sz w:val="21"/>
        </w:rPr>
        <w:t>SELECT pg_advisory_xact_lock(hashtext(${projectId}))</w:t>
      </w:r>
      <w:r>
        <w:rPr>
          <w:rFonts w:ascii="Calibri" w:hAnsi="Calibri"/>
          <w:color w:val="24292E"/>
          <w:sz w:val="22"/>
        </w:rPr>
        <w:t>;</w:t>
      </w:r>
    </w:p>
    <w:p>
      <w:pPr>
        <w:spacing w:before="40" w:after="80" w:line="276" w:lineRule="auto"/>
      </w:pPr>
      <w:r>
        <w:rPr>
          <w:rFonts w:ascii="Calibri" w:hAnsi="Calibri"/>
          <w:color w:val="24292E"/>
          <w:sz w:val="22"/>
        </w:rPr>
        <w:t xml:space="preserve">      // 2. Idempotent check for ACTIVATION: return existing baseline if already activated</w:t>
      </w:r>
    </w:p>
    <w:p>
      <w:pPr>
        <w:spacing w:before="40" w:after="80" w:line="276" w:lineRule="auto"/>
      </w:pPr>
      <w:r>
        <w:rPr>
          <w:rFonts w:ascii="Calibri" w:hAnsi="Calibri"/>
          <w:color w:val="24292E"/>
          <w:sz w:val="22"/>
        </w:rPr>
        <w:t xml:space="preserve">      if (options.source === "ACTIVATION") {</w:t>
      </w:r>
    </w:p>
    <w:p>
      <w:pPr>
        <w:spacing w:before="40" w:after="80" w:line="276" w:lineRule="auto"/>
      </w:pPr>
      <w:r>
        <w:rPr>
          <w:rFonts w:ascii="Calibri" w:hAnsi="Calibri"/>
          <w:color w:val="24292E"/>
          <w:sz w:val="22"/>
        </w:rPr>
        <w:t xml:space="preserve">        const existingActivation = await tx.projectBaseline.findFirst({</w:t>
      </w:r>
    </w:p>
    <w:p>
      <w:pPr>
        <w:spacing w:before="40" w:after="80" w:line="276" w:lineRule="auto"/>
      </w:pPr>
      <w:r>
        <w:rPr>
          <w:rFonts w:ascii="Calibri" w:hAnsi="Calibri"/>
          <w:color w:val="24292E"/>
          <w:sz w:val="22"/>
        </w:rPr>
        <w:t xml:space="preserve">          where: { projectId, source: "ACTIVATION"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(existingActivation) {</w:t>
      </w:r>
    </w:p>
    <w:p>
      <w:pPr>
        <w:spacing w:before="40" w:after="80" w:line="276" w:lineRule="auto"/>
      </w:pPr>
      <w:r>
        <w:rPr>
          <w:rFonts w:ascii="Calibri" w:hAnsi="Calibri"/>
          <w:color w:val="24292E"/>
          <w:sz w:val="22"/>
        </w:rPr>
        <w:t xml:space="preserve">          return existingActivation; // Idempotently return existing baseline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3. Idempotent check and validation for CHANGE_REQUEST</w:t>
      </w:r>
    </w:p>
    <w:p>
      <w:pPr>
        <w:spacing w:before="40" w:after="80" w:line="276" w:lineRule="auto"/>
      </w:pPr>
      <w:r>
        <w:rPr>
          <w:rFonts w:ascii="Calibri" w:hAnsi="Calibri"/>
          <w:color w:val="24292E"/>
          <w:sz w:val="22"/>
        </w:rPr>
        <w:t xml:space="preserve">      if (options.source === "CHANGE_REQUEST") {</w:t>
      </w:r>
    </w:p>
    <w:p>
      <w:pPr>
        <w:spacing w:before="40" w:after="80" w:line="276" w:lineRule="auto"/>
      </w:pPr>
      <w:r>
        <w:rPr>
          <w:rFonts w:ascii="Calibri" w:hAnsi="Calibri"/>
          <w:color w:val="24292E"/>
          <w:sz w:val="22"/>
        </w:rPr>
        <w:t xml:space="preserve">        if (!options.changeRequestId) {</w:t>
      </w:r>
    </w:p>
    <w:p>
      <w:pPr>
        <w:spacing w:before="40" w:after="80" w:line="276" w:lineRule="auto"/>
      </w:pPr>
      <w:r>
        <w:rPr>
          <w:rFonts w:ascii="Calibri" w:hAnsi="Calibri"/>
          <w:color w:val="24292E"/>
          <w:sz w:val="22"/>
        </w:rPr>
        <w:t xml:space="preserve">          throw new Error("CHANGE_REQUEST_ID_REQUIRED: A change request baseline requires a valid changeRequestId.");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STEP 3A: Check existing baseline FIRST to preserve retry safety after CR is APPLIED</w:t>
      </w:r>
    </w:p>
    <w:p>
      <w:pPr>
        <w:spacing w:before="40" w:after="80" w:line="276" w:lineRule="auto"/>
      </w:pPr>
      <w:r>
        <w:rPr>
          <w:rFonts w:ascii="Calibri" w:hAnsi="Calibri"/>
          <w:color w:val="24292E"/>
          <w:sz w:val="22"/>
        </w:rPr>
        <w:t xml:space="preserve">        const existingCRBaseline = await tx.projectBaseline.findUnique({</w:t>
      </w:r>
    </w:p>
    <w:p>
      <w:pPr>
        <w:spacing w:before="40" w:after="80" w:line="276" w:lineRule="auto"/>
      </w:pPr>
      <w:r>
        <w:rPr>
          <w:rFonts w:ascii="Calibri" w:hAnsi="Calibri"/>
          <w:color w:val="24292E"/>
          <w:sz w:val="22"/>
        </w:rPr>
        <w:t xml:space="preserve">          where: { changeRequestId: options.changeRequestId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(existingCRBaseline) {</w:t>
      </w:r>
    </w:p>
    <w:p>
      <w:pPr>
        <w:spacing w:before="40" w:after="80" w:line="276" w:lineRule="auto"/>
      </w:pPr>
      <w:r>
        <w:rPr>
          <w:rFonts w:ascii="Calibri" w:hAnsi="Calibri"/>
          <w:color w:val="24292E"/>
          <w:sz w:val="22"/>
        </w:rPr>
        <w:t xml:space="preserve">          if (existingCRBaseline.projectId !== projectId) {</w:t>
      </w:r>
    </w:p>
    <w:p>
      <w:pPr>
        <w:spacing w:before="40" w:after="80" w:line="276" w:lineRule="auto"/>
      </w:pPr>
      <w:r>
        <w:rPr>
          <w:rFonts w:ascii="Calibri" w:hAnsi="Calibri"/>
          <w:color w:val="24292E"/>
          <w:sz w:val="22"/>
        </w:rPr>
        <w:t xml:space="preserve">            throw new Error("CHANGE_REQUEST_BASELINE_PROJECT_MISMATCH: Baseline project ID does not match.");</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return existingCRBaseline; // Idempotently return existing CR baseline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STEP 3B: If baseline does not exist yet, require APPROVED status</w:t>
      </w:r>
    </w:p>
    <w:p>
      <w:pPr>
        <w:spacing w:before="40" w:after="80" w:line="276" w:lineRule="auto"/>
      </w:pPr>
      <w:r>
        <w:rPr>
          <w:rFonts w:ascii="Calibri" w:hAnsi="Calibri"/>
          <w:color w:val="24292E"/>
          <w:sz w:val="22"/>
        </w:rPr>
        <w:t xml:space="preserve">        const approvedChangeRequest = await tx.changeRequest.findFirst({</w:t>
      </w:r>
    </w:p>
    <w:p>
      <w:pPr>
        <w:spacing w:before="40" w:after="80" w:line="276" w:lineRule="auto"/>
      </w:pPr>
      <w:r>
        <w:rPr>
          <w:rFonts w:ascii="Calibri" w:hAnsi="Calibri"/>
          <w:color w:val="24292E"/>
          <w:sz w:val="22"/>
        </w:rPr>
        <w:t xml:space="preserve">          where: { </w:t>
      </w:r>
    </w:p>
    <w:p>
      <w:pPr>
        <w:spacing w:before="40" w:after="80" w:line="276" w:lineRule="auto"/>
      </w:pPr>
      <w:r>
        <w:rPr>
          <w:rFonts w:ascii="Calibri" w:hAnsi="Calibri"/>
          <w:color w:val="24292E"/>
          <w:sz w:val="22"/>
        </w:rPr>
        <w:t xml:space="preserve">            id: options.changeRequestId, </w:t>
      </w:r>
    </w:p>
    <w:p>
      <w:pPr>
        <w:spacing w:before="40" w:after="80" w:line="276" w:lineRule="auto"/>
      </w:pPr>
      <w:r>
        <w:rPr>
          <w:rFonts w:ascii="Calibri" w:hAnsi="Calibri"/>
          <w:color w:val="24292E"/>
          <w:sz w:val="22"/>
        </w:rPr>
        <w:t xml:space="preserve">            projectId, </w:t>
      </w:r>
    </w:p>
    <w:p>
      <w:pPr>
        <w:spacing w:before="40" w:after="80" w:line="276" w:lineRule="auto"/>
      </w:pPr>
      <w:r>
        <w:rPr>
          <w:rFonts w:ascii="Calibri" w:hAnsi="Calibri"/>
          <w:color w:val="24292E"/>
          <w:sz w:val="22"/>
        </w:rPr>
        <w:t xml:space="preserve">            status: "APPROVED"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if (!approvedChangeRequest) {</w:t>
      </w:r>
    </w:p>
    <w:p>
      <w:pPr>
        <w:spacing w:before="40" w:after="80" w:line="276" w:lineRule="auto"/>
      </w:pPr>
      <w:r>
        <w:rPr>
          <w:rFonts w:ascii="Calibri" w:hAnsi="Calibri"/>
          <w:color w:val="24292E"/>
          <w:sz w:val="22"/>
        </w:rPr>
        <w:t xml:space="preserve">          throw new Error("INVALID_CHANGE_REQUEST: Change request must belong to this project and be APPROVED.");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4. Archive current baseline in the same atomic transaction</w:t>
      </w:r>
    </w:p>
    <w:p>
      <w:pPr>
        <w:spacing w:before="40" w:after="80" w:line="276" w:lineRule="auto"/>
      </w:pPr>
      <w:r>
        <w:rPr>
          <w:rFonts w:ascii="Calibri" w:hAnsi="Calibri"/>
          <w:color w:val="24292E"/>
          <w:sz w:val="22"/>
        </w:rPr>
        <w:t xml:space="preserve">      await tx.projectBaseline.updateMany({</w:t>
      </w:r>
    </w:p>
    <w:p>
      <w:pPr>
        <w:spacing w:before="40" w:after="80" w:line="276" w:lineRule="auto"/>
      </w:pPr>
      <w:r>
        <w:rPr>
          <w:rFonts w:ascii="Calibri" w:hAnsi="Calibri"/>
          <w:color w:val="24292E"/>
          <w:sz w:val="22"/>
        </w:rPr>
        <w:t xml:space="preserve">        where: { projectId, isCurrent: true },</w:t>
      </w:r>
    </w:p>
    <w:p>
      <w:pPr>
        <w:spacing w:before="40" w:after="80" w:line="276" w:lineRule="auto"/>
      </w:pPr>
      <w:r>
        <w:rPr>
          <w:rFonts w:ascii="Calibri" w:hAnsi="Calibri"/>
          <w:color w:val="24292E"/>
          <w:sz w:val="22"/>
        </w:rPr>
        <w:t xml:space="preserve">        data: { isCurrent: false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 5. Fetch latest version number</w:t>
      </w:r>
    </w:p>
    <w:p>
      <w:pPr>
        <w:spacing w:before="40" w:after="80" w:line="276" w:lineRule="auto"/>
      </w:pPr>
      <w:r>
        <w:rPr>
          <w:rFonts w:ascii="Calibri" w:hAnsi="Calibri"/>
          <w:color w:val="24292E"/>
          <w:sz w:val="22"/>
        </w:rPr>
        <w:t xml:space="preserve">      const latest = await tx.projectBaseline.findFirst({</w:t>
      </w:r>
    </w:p>
    <w:p>
      <w:pPr>
        <w:spacing w:before="40" w:after="80" w:line="276" w:lineRule="auto"/>
      </w:pPr>
      <w:r>
        <w:rPr>
          <w:rFonts w:ascii="Calibri" w:hAnsi="Calibri"/>
          <w:color w:val="24292E"/>
          <w:sz w:val="22"/>
        </w:rPr>
        <w:t xml:space="preserve">        where: { projectId },</w:t>
      </w:r>
    </w:p>
    <w:p>
      <w:pPr>
        <w:spacing w:before="40" w:after="80" w:line="276" w:lineRule="auto"/>
      </w:pPr>
      <w:r>
        <w:rPr>
          <w:rFonts w:ascii="Calibri" w:hAnsi="Calibri"/>
          <w:color w:val="24292E"/>
          <w:sz w:val="22"/>
        </w:rPr>
        <w:t xml:space="preserve">        orderBy: { version: 'desc'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const nextVersion = latest ? latest.version + 1 : 1;</w:t>
      </w:r>
    </w:p>
    <w:p>
      <w:pPr>
        <w:spacing w:before="40" w:after="80" w:line="276" w:lineRule="auto"/>
      </w:pPr>
      <w:r>
        <w:rPr>
          <w:rFonts w:ascii="Calibri" w:hAnsi="Calibri"/>
          <w:color w:val="24292E"/>
          <w:sz w:val="22"/>
        </w:rPr>
        <w:t xml:space="preserve">      // 6. Create new current baseline using string template literal</w:t>
      </w:r>
    </w:p>
    <w:p>
      <w:pPr>
        <w:spacing w:before="40" w:after="80" w:line="276" w:lineRule="auto"/>
      </w:pPr>
      <w:r>
        <w:rPr>
          <w:rFonts w:ascii="Calibri" w:hAnsi="Calibri"/>
          <w:color w:val="24292E"/>
          <w:sz w:val="22"/>
        </w:rPr>
        <w:t xml:space="preserve">      return await tx.projectBaseline.create({</w:t>
      </w:r>
    </w:p>
    <w:p>
      <w:pPr>
        <w:spacing w:before="40" w:after="80" w:line="276" w:lineRule="auto"/>
      </w:pPr>
      <w:r>
        <w:rPr>
          <w:rFonts w:ascii="Calibri" w:hAnsi="Calibri"/>
          <w:color w:val="24292E"/>
          <w:sz w:val="22"/>
        </w:rPr>
        <w:t xml:space="preserve">        data: {</w:t>
      </w:r>
    </w:p>
    <w:p>
      <w:pPr>
        <w:spacing w:before="40" w:after="80" w:line="276" w:lineRule="auto"/>
      </w:pPr>
      <w:r>
        <w:rPr>
          <w:rFonts w:ascii="Calibri" w:hAnsi="Calibri"/>
          <w:color w:val="24292E"/>
          <w:sz w:val="22"/>
        </w:rPr>
        <w:t xml:space="preserve">          projectId,</w:t>
      </w:r>
    </w:p>
    <w:p>
      <w:pPr>
        <w:spacing w:before="40" w:after="80" w:line="276" w:lineRule="auto"/>
      </w:pPr>
      <w:r>
        <w:rPr>
          <w:rFonts w:ascii="Calibri" w:hAnsi="Calibri"/>
          <w:color w:val="24292E"/>
          <w:sz w:val="22"/>
        </w:rPr>
        <w:t xml:space="preserve">          version: nextVersion,</w:t>
      </w:r>
    </w:p>
    <w:p>
      <w:pPr>
        <w:spacing w:before="40" w:after="80" w:line="276" w:lineRule="auto"/>
      </w:pPr>
      <w:r>
        <w:rPr>
          <w:rFonts w:ascii="Calibri" w:hAnsi="Calibri"/>
          <w:color w:val="24292E"/>
          <w:sz w:val="22"/>
        </w:rPr>
        <w:t xml:space="preserve">          source: options.source,</w:t>
      </w:r>
    </w:p>
    <w:p>
      <w:pPr>
        <w:spacing w:before="40" w:after="80" w:line="276" w:lineRule="auto"/>
      </w:pPr>
      <w:r>
        <w:rPr>
          <w:rFonts w:ascii="Calibri" w:hAnsi="Calibri"/>
          <w:color w:val="24292E"/>
          <w:sz w:val="22"/>
        </w:rPr>
        <w:t xml:space="preserve">          contractValue: budgetRevision.dppAmount,</w:t>
      </w:r>
    </w:p>
    <w:p>
      <w:pPr>
        <w:spacing w:before="40" w:after="80" w:line="276" w:lineRule="auto"/>
      </w:pPr>
      <w:r>
        <w:rPr>
          <w:rFonts w:ascii="Calibri" w:hAnsi="Calibri"/>
          <w:color w:val="24292E"/>
          <w:sz w:val="22"/>
        </w:rPr>
        <w:t xml:space="preserve">          estimatedCost: budgetRevision.totalCost,</w:t>
      </w:r>
    </w:p>
    <w:p>
      <w:pPr>
        <w:spacing w:before="40" w:after="80" w:line="276" w:lineRule="auto"/>
      </w:pPr>
      <w:r>
        <w:rPr>
          <w:rFonts w:ascii="Calibri" w:hAnsi="Calibri"/>
          <w:color w:val="24292E"/>
          <w:sz w:val="22"/>
        </w:rPr>
        <w:t xml:space="preserve">          isCurrent: true,</w:t>
      </w:r>
    </w:p>
    <w:p>
      <w:pPr>
        <w:spacing w:before="40" w:after="80" w:line="276" w:lineRule="auto"/>
      </w:pPr>
      <w:r>
        <w:rPr>
          <w:rFonts w:ascii="Calibri" w:hAnsi="Calibri"/>
          <w:color w:val="24292E"/>
          <w:sz w:val="22"/>
        </w:rPr>
        <w:t xml:space="preserve">          commercialBudgetRevisionId: budgetRevision.id,</w:t>
      </w:r>
    </w:p>
    <w:p>
      <w:pPr>
        <w:spacing w:before="40" w:after="80" w:line="276" w:lineRule="auto"/>
      </w:pPr>
      <w:r>
        <w:rPr>
          <w:rFonts w:ascii="Calibri" w:hAnsi="Calibri"/>
          <w:color w:val="24292E"/>
          <w:sz w:val="22"/>
        </w:rPr>
        <w:t xml:space="preserve">          changeRequestId: options.source === "CHANGE_REQUEST" ? options.changeRequestId : null,</w:t>
      </w:r>
    </w:p>
    <w:p>
      <w:pPr>
        <w:spacing w:before="40" w:after="80" w:line="276" w:lineRule="auto"/>
      </w:pPr>
      <w:r>
        <w:rPr>
          <w:rFonts w:ascii="Calibri" w:hAnsi="Calibri"/>
          <w:color w:val="24292E"/>
          <w:sz w:val="22"/>
        </w:rPr>
        <w:t xml:space="preserve">          approvedById: budgetRevision.approvedById,</w:t>
      </w:r>
    </w:p>
    <w:p>
      <w:pPr>
        <w:spacing w:before="40" w:after="80" w:line="276" w:lineRule="auto"/>
      </w:pPr>
      <w:r>
        <w:rPr>
          <w:rFonts w:ascii="Calibri" w:hAnsi="Calibri"/>
          <w:color w:val="24292E"/>
          <w:sz w:val="22"/>
        </w:rPr>
        <w:t xml:space="preserve">          approvedAt: budgetRevision.approvedAt || new Date(),</w:t>
      </w:r>
    </w:p>
    <w:p>
      <w:pPr>
        <w:spacing w:before="40" w:after="80" w:line="276" w:lineRule="auto"/>
      </w:pPr>
      <w:r>
        <w:rPr>
          <w:rFonts w:ascii="Calibri" w:hAnsi="Calibri"/>
          <w:color w:val="24292E"/>
          <w:sz w:val="22"/>
        </w:rPr>
        <w:t xml:space="preserve">          scopeSummary: </w:t>
      </w:r>
      <w:r>
        <w:rPr>
          <w:rFonts w:ascii="Consolas" w:hAnsi="Consolas"/>
          <w:color w:val="032F62"/>
          <w:sz w:val="21"/>
        </w:rPr>
        <w:t>Auto-synced from Commercial Budget Revision v${budgetRevision.version}</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00" w:after="80"/>
      </w:pPr>
      <w:r>
        <w:rPr>
          <w:rFonts w:ascii="Calibri" w:hAnsi="Calibri"/>
          <w:b/>
          <w:color w:val="1F4E79"/>
          <w:sz w:val="26"/>
        </w:rPr>
        <w:t>🔄 Category 8: External CRM &amp; Inbound Data Ingestion (</w:t>
      </w:r>
      <w:r>
        <w:rPr>
          <w:rFonts w:ascii="Consolas" w:hAnsi="Consolas"/>
          <w:color w:val="032F62"/>
          <w:sz w:val="25"/>
        </w:rPr>
        <w:t>DEMO-07</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19: Dedicated Pipedrive Product Mapping &amp; Inbound Sync Directionality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"Pipedrive Person/Product/Cost mappings?"</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Pipedrive Person, Product, and Cost fields mapped into SPH?"</w:t>
      </w:r>
    </w:p>
    <w:p>
      <w:pPr>
        <w:pStyle w:val="ListBullet"/>
        <w:spacing w:before="20" w:after="40"/>
        <w:ind w:left="360"/>
      </w:pPr>
      <w:r>
        <w:rPr>
          <w:rFonts w:ascii="Calibri" w:hAnsi="Calibri"/>
          <w:b/>
          <w:color w:val="24292E"/>
          <w:sz w:val="21"/>
        </w:rPr>
        <w:t>In the Simplest Terms</w:t>
      </w:r>
      <w:r>
        <w:rPr>
          <w:rFonts w:ascii="Calibri" w:hAnsi="Calibri"/>
          <w:color w:val="24292E"/>
          <w:sz w:val="21"/>
        </w:rPr>
        <w:t>: Pipedrive Person becomes a Client Contact; Product maps through an explicit mapping table to an Offering. SPH connects to a single official Pipedrive instance.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8.0</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Map Pipedrive Organizations to </w:t>
      </w:r>
      <w:r>
        <w:rPr>
          <w:rFonts w:ascii="Consolas" w:hAnsi="Consolas"/>
          <w:color w:val="032F62"/>
          <w:sz w:val="21"/>
        </w:rPr>
        <w:t>Client</w:t>
      </w:r>
      <w:r>
        <w:rPr>
          <w:rFonts w:ascii="Calibri" w:hAnsi="Calibri"/>
          <w:color w:val="24292E"/>
          <w:sz w:val="22"/>
        </w:rPr>
        <w:t xml:space="preserve"> and Persons to </w:t>
      </w:r>
      <w:r>
        <w:rPr>
          <w:rFonts w:ascii="Consolas" w:hAnsi="Consolas"/>
          <w:color w:val="032F62"/>
          <w:sz w:val="21"/>
        </w:rPr>
        <w:t>ClientContact</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8.0b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SPH operates against a Single Authoritative Pipedrive Connection (</w:t>
      </w:r>
      <w:r>
        <w:rPr>
          <w:rFonts w:ascii="Consolas" w:hAnsi="Consolas"/>
          <w:color w:val="032F62"/>
          <w:sz w:val="21"/>
        </w:rPr>
        <w:t>connectionKey = "DEFAULT"</w:t>
      </w:r>
      <w:r>
        <w:rPr>
          <w:rFonts w:ascii="Calibri" w:hAnsi="Calibri"/>
          <w:color w:val="24292E"/>
          <w:sz w:val="22"/>
        </w:rPr>
        <w:t xml:space="preserve">), while implementing composite uniqueness </w:t>
      </w:r>
      <w:r>
        <w:rPr>
          <w:rFonts w:ascii="Consolas" w:hAnsi="Consolas"/>
          <w:color w:val="032F62"/>
          <w:sz w:val="21"/>
        </w:rPr>
        <w:t>@@unique([connectionKey, pipedriveId])</w:t>
      </w:r>
      <w:r>
        <w:rPr>
          <w:rFonts w:ascii="Calibri" w:hAnsi="Calibri"/>
          <w:color w:val="24292E"/>
          <w:sz w:val="22"/>
        </w:rPr>
        <w:t xml:space="preserve"> on </w:t>
      </w:r>
      <w:r>
        <w:rPr>
          <w:rFonts w:ascii="Consolas" w:hAnsi="Consolas"/>
          <w:color w:val="032F62"/>
          <w:sz w:val="21"/>
        </w:rPr>
        <w:t>PipedriveProductMapping</w:t>
      </w:r>
      <w:r>
        <w:rPr>
          <w:rFonts w:ascii="Calibri" w:hAnsi="Calibri"/>
          <w:color w:val="24292E"/>
          <w:sz w:val="22"/>
        </w:rPr>
        <w:t xml:space="preserve">. Unknown products route to a CRM review queue. Designate Pipedrive product sync as a </w:t>
      </w:r>
      <w:r>
        <w:rPr>
          <w:rFonts w:ascii="Calibri" w:hAnsi="Calibri"/>
          <w:b/>
          <w:color w:val="24292E"/>
          <w:sz w:val="22"/>
        </w:rPr>
        <w:t>Target Design (Not Yet Implemented)</w:t>
      </w:r>
      <w:r>
        <w:rPr>
          <w:rFonts w:ascii="Calibri" w:hAnsi="Calibri"/>
          <w:color w:val="24292E"/>
          <w:sz w:val="22"/>
        </w:rPr>
        <w:t xml:space="preserve">. </w:t>
      </w:r>
      <w:r>
        <w:rPr>
          <w:rFonts w:ascii="Calibri" w:hAnsi="Calibri"/>
          <w:i/>
          <w:color w:val="24292E"/>
          <w:sz w:val="22"/>
        </w:rPr>
        <w:t>(Source: Author Review 2 - Item #8)</w:t>
      </w:r>
    </w:p>
    <w:p>
      <w:pPr>
        <w:spacing w:before="120" w:after="120"/>
        <w:pBdr>
          <w:bottom w:val="single" w:sz="6" w:space="1" w:color="E1E4E8"/>
        </w:pBdr>
      </w:pPr>
    </w:p>
    <w:p>
      <w:pPr>
        <w:keepNext/>
        <w:spacing w:before="200" w:after="80"/>
      </w:pPr>
      <w:r>
        <w:rPr>
          <w:rFonts w:ascii="Calibri" w:hAnsi="Calibri"/>
          <w:b/>
          <w:color w:val="1F4E79"/>
          <w:sz w:val="26"/>
        </w:rPr>
        <w:t>🔒 Category 9: Project Client Attribution Lock &amp; Corrections (</w:t>
      </w:r>
      <w:r>
        <w:rPr>
          <w:rFonts w:ascii="Consolas" w:hAnsi="Consolas"/>
          <w:color w:val="032F62"/>
          <w:sz w:val="25"/>
        </w:rPr>
        <w:t>DEMO-12</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20: Project Client Attribution Lock (Phase 1 Built vs. Phase 2 Design)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"Client attribution correction sebelum/after invoice?"</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client attribution corrected before vs. after invoice generation?"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You cannot change which Client owns a Project (</w:t>
      </w:r>
      <w:r>
        <w:rPr>
          <w:rFonts w:ascii="Consolas" w:hAnsi="Consolas"/>
          <w:color w:val="032F62"/>
          <w:sz w:val="20"/>
        </w:rPr>
        <w:t>Project.clientId</w:t>
      </w:r>
      <w:r>
        <w:rPr>
          <w:rFonts w:ascii="Calibri" w:hAnsi="Calibri"/>
          <w:color w:val="24292E"/>
          <w:sz w:val="21"/>
        </w:rPr>
        <w:t xml:space="preserve"> is locked). If there's a typo in the client name, edit </w:t>
      </w:r>
      <w:r>
        <w:rPr>
          <w:rFonts w:ascii="Consolas" w:hAnsi="Consolas"/>
          <w:color w:val="032F62"/>
          <w:sz w:val="20"/>
        </w:rPr>
        <w:t>Client.name</w:t>
      </w:r>
      <w:r>
        <w:rPr>
          <w:rFonts w:ascii="Calibri" w:hAnsi="Calibri"/>
          <w:color w:val="24292E"/>
          <w:sz w:val="21"/>
        </w:rPr>
        <w:t xml:space="preserve"> directly. If the wrong client was assigned before invoicing, PMO and Finance must both approve an exception. After invoicing, you must void and reissue through Xero.</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9.0 (DEMO-12 Phase 1)</w:t>
      </w:r>
      <w:r>
        <w:rPr>
          <w:rFonts w:ascii="Calibri" w:hAnsi="Calibri"/>
          <w:color w:val="24292E"/>
          <w:sz w:val="22"/>
        </w:rPr>
        <w:t xml:space="preserve"> </w:t>
      </w:r>
      <w:r>
        <w:rPr>
          <w:rFonts w:ascii="Consolas" w:hAnsi="Consolas"/>
          <w:color w:val="032F62"/>
          <w:sz w:val="21"/>
        </w:rPr>
        <w:t>[APPROVED / IMPLEMENTED]</w:t>
      </w:r>
      <w:r>
        <w:rPr>
          <w:rFonts w:ascii="Calibri" w:hAnsi="Calibri"/>
          <w:color w:val="24292E"/>
          <w:sz w:val="22"/>
        </w:rPr>
        <w:t xml:space="preserve">: </w:t>
      </w:r>
      <w:r>
        <w:rPr>
          <w:rFonts w:ascii="Calibri" w:hAnsi="Calibri"/>
          <w:b/>
          <w:color w:val="24292E"/>
          <w:sz w:val="22"/>
        </w:rPr>
        <w:t>Permanently lock `Project.clientId`</w:t>
      </w:r>
      <w:r>
        <w:rPr>
          <w:rFonts w:ascii="Calibri" w:hAnsi="Calibri"/>
          <w:color w:val="24292E"/>
          <w:sz w:val="22"/>
        </w:rPr>
        <w:t xml:space="preserve"> across all roles once created or converted. Re-submitting the identical </w:t>
      </w:r>
      <w:r>
        <w:rPr>
          <w:rFonts w:ascii="Consolas" w:hAnsi="Consolas"/>
          <w:color w:val="032F62"/>
          <w:sz w:val="21"/>
        </w:rPr>
        <w:t>clientId</w:t>
      </w:r>
      <w:r>
        <w:rPr>
          <w:rFonts w:ascii="Calibri" w:hAnsi="Calibri"/>
          <w:color w:val="24292E"/>
          <w:sz w:val="22"/>
        </w:rPr>
        <w:t xml:space="preserve"> is accepted for backward compatibility. Direct mutation attempts are rejected with error </w:t>
      </w:r>
      <w:r>
        <w:rPr>
          <w:rFonts w:ascii="Consolas" w:hAnsi="Consolas"/>
          <w:color w:val="032F62"/>
          <w:sz w:val="21"/>
        </w:rPr>
        <w:t>CLIENT_ATTRIBUTION_LOCKED</w:t>
      </w:r>
      <w:r>
        <w:rPr>
          <w:rFonts w:ascii="Calibri" w:hAnsi="Calibri"/>
          <w:color w:val="24292E"/>
          <w:sz w:val="22"/>
        </w:rPr>
        <w:t xml:space="preserve"> (</w:t>
      </w:r>
      <w:r>
        <w:rPr>
          <w:rFonts w:ascii="Calibri" w:hAnsi="Calibri"/>
          <w:i/>
          <w:color w:val="24292E"/>
          <w:sz w:val="22"/>
        </w:rPr>
        <w:t>"Client attribution cannot be changed after project creation."</w:t>
      </w:r>
      <w:r>
        <w:rPr>
          <w:rFonts w:ascii="Calibri" w:hAnsi="Calibri"/>
          <w:color w:val="24292E"/>
          <w:sz w:val="22"/>
        </w:rPr>
        <w:t xml:space="preserve">). UI displays Client as read-only. </w:t>
      </w:r>
      <w:r>
        <w:rPr>
          <w:rFonts w:ascii="Calibri" w:hAnsi="Calibri"/>
          <w:i/>
          <w:color w:val="24292E"/>
          <w:sz w:val="22"/>
        </w:rPr>
        <w:t>(Source: Implemented in Codebase c7080af)</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9.0b (DEMO-12 Phase 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 formal </w:t>
      </w:r>
      <w:r>
        <w:rPr>
          <w:rFonts w:ascii="Calibri" w:hAnsi="Calibri"/>
          <w:b/>
          <w:color w:val="24292E"/>
          <w:sz w:val="22"/>
        </w:rPr>
        <w:t>Dual-Approval State Machine (`ClientAttributionCorrection`)</w:t>
      </w:r>
      <w:r>
        <w:rPr>
          <w:rFonts w:ascii="Calibri" w:hAnsi="Calibri"/>
          <w:color w:val="24292E"/>
          <w:sz w:val="22"/>
        </w:rPr>
        <w:t xml:space="preserve"> requiring independent sign-offs from both </w:t>
      </w:r>
      <w:r>
        <w:rPr>
          <w:rFonts w:ascii="Calibri" w:hAnsi="Calibri"/>
          <w:b/>
          <w:color w:val="24292E"/>
          <w:sz w:val="22"/>
        </w:rPr>
        <w:t>PMO (`MANAGEMENT`)</w:t>
      </w:r>
      <w:r>
        <w:rPr>
          <w:rFonts w:ascii="Calibri" w:hAnsi="Calibri"/>
          <w:color w:val="24292E"/>
          <w:sz w:val="22"/>
        </w:rPr>
        <w:t xml:space="preserve"> AND </w:t>
      </w:r>
      <w:r>
        <w:rPr>
          <w:rFonts w:ascii="Calibri" w:hAnsi="Calibri"/>
          <w:b/>
          <w:color w:val="24292E"/>
          <w:sz w:val="22"/>
        </w:rPr>
        <w:t>`FINANCE`</w:t>
      </w:r>
      <w:r>
        <w:rPr>
          <w:rFonts w:ascii="Calibri" w:hAnsi="Calibri"/>
          <w:color w:val="24292E"/>
          <w:sz w:val="22"/>
        </w:rPr>
        <w:t xml:space="preserve"> with explicit statuses (</w:t>
      </w:r>
      <w:r>
        <w:rPr>
          <w:rFonts w:ascii="Consolas" w:hAnsi="Consolas"/>
          <w:color w:val="032F62"/>
          <w:sz w:val="21"/>
        </w:rPr>
        <w:t>pmoStatus</w:t>
      </w:r>
      <w:r>
        <w:rPr>
          <w:rFonts w:ascii="Calibri" w:hAnsi="Calibri"/>
          <w:color w:val="24292E"/>
          <w:sz w:val="22"/>
        </w:rPr>
        <w:t xml:space="preserve">, </w:t>
      </w:r>
      <w:r>
        <w:rPr>
          <w:rFonts w:ascii="Consolas" w:hAnsi="Consolas"/>
          <w:color w:val="032F62"/>
          <w:sz w:val="21"/>
        </w:rPr>
        <w:t>financeStatus</w:t>
      </w:r>
      <w:r>
        <w:rPr>
          <w:rFonts w:ascii="Calibri" w:hAnsi="Calibri"/>
          <w:color w:val="24292E"/>
          <w:sz w:val="22"/>
        </w:rPr>
        <w:t xml:space="preserve">), timestamps, rejection reasons, and an </w:t>
      </w:r>
      <w:r>
        <w:rPr>
          <w:rFonts w:ascii="Consolas" w:hAnsi="Consolas"/>
          <w:color w:val="032F62"/>
          <w:sz w:val="21"/>
        </w:rPr>
        <w:t>executedBy</w:t>
      </w:r>
      <w:r>
        <w:rPr>
          <w:rFonts w:ascii="Calibri" w:hAnsi="Calibri"/>
          <w:color w:val="24292E"/>
          <w:sz w:val="22"/>
        </w:rPr>
        <w:t xml:space="preserve"> user relation. </w:t>
      </w:r>
      <w:r>
        <w:rPr>
          <w:rFonts w:ascii="Calibri" w:hAnsi="Calibri"/>
          <w:i/>
          <w:color w:val="24292E"/>
          <w:sz w:val="22"/>
        </w:rPr>
        <w:t>(Source: Author Review 2 - Item #7)</w:t>
      </w:r>
    </w:p>
    <w:p>
      <w:pPr>
        <w:spacing w:before="120" w:after="120"/>
        <w:pBdr>
          <w:bottom w:val="single" w:sz="6" w:space="1" w:color="E1E4E8"/>
        </w:pBdr>
      </w:pPr>
    </w:p>
    <w:p>
      <w:pPr>
        <w:keepNext/>
        <w:spacing w:before="200" w:after="80"/>
      </w:pPr>
      <w:r>
        <w:rPr>
          <w:rFonts w:ascii="Calibri" w:hAnsi="Calibri"/>
          <w:b/>
          <w:color w:val="1F4E79"/>
          <w:sz w:val="26"/>
        </w:rPr>
        <w:t>📦 Category 10: Data Migration &amp; Backward Compatibility</w:t>
      </w:r>
    </w:p>
    <w:p>
      <w:pPr>
        <w:spacing w:before="120" w:after="120"/>
        <w:pBdr>
          <w:bottom w:val="single" w:sz="6" w:space="1" w:color="E1E4E8"/>
        </w:pBdr>
      </w:pPr>
    </w:p>
    <w:p>
      <w:pPr>
        <w:keepNext/>
        <w:spacing w:before="160" w:after="40"/>
      </w:pPr>
      <w:r>
        <w:rPr>
          <w:rFonts w:ascii="Calibri" w:hAnsi="Calibri"/>
          <w:b/>
          <w:color w:val="262626"/>
          <w:sz w:val="23"/>
        </w:rPr>
        <w:t>Question 21: Direct-Write Compatibility &amp; Retention Policy</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"Retention period untuk compatibility fields?"</w:t>
      </w:r>
    </w:p>
    <w:p>
      <w:pPr>
        <w:pStyle w:val="ListBullet"/>
        <w:spacing w:before="20" w:after="40"/>
        <w:ind w:left="360"/>
      </w:pPr>
      <w:r>
        <w:rPr>
          <w:rFonts w:ascii="Calibri" w:hAnsi="Calibri"/>
          <w:b/>
          <w:color w:val="24292E"/>
          <w:sz w:val="21"/>
        </w:rPr>
        <w:t>English Translation</w:t>
      </w:r>
      <w:r>
        <w:rPr>
          <w:rFonts w:ascii="Calibri" w:hAnsi="Calibri"/>
          <w:color w:val="24292E"/>
          <w:sz w:val="21"/>
        </w:rPr>
        <w:t>: "What is the retention period for legacy compatibility fields?"</w:t>
      </w:r>
    </w:p>
    <w:p>
      <w:pPr>
        <w:pStyle w:val="ListBullet"/>
        <w:spacing w:before="20" w:after="40"/>
        <w:ind w:left="360"/>
      </w:pPr>
      <w:r>
        <w:rPr>
          <w:rFonts w:ascii="Calibri" w:hAnsi="Calibri"/>
          <w:b/>
          <w:color w:val="24292E"/>
          <w:sz w:val="21"/>
        </w:rPr>
        <w:t>In the Simplest Terms</w:t>
      </w:r>
      <w:r>
        <w:rPr>
          <w:rFonts w:ascii="Calibri" w:hAnsi="Calibri"/>
          <w:color w:val="24292E"/>
          <w:sz w:val="21"/>
        </w:rPr>
        <w:t>: Keep the old text fields (like free-text contact and industry) for 6 months (2 major release cycles) while data is cleaned up, then safely remove them.</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10.1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Retain legacy scalar columns (</w:t>
      </w:r>
      <w:r>
        <w:rPr>
          <w:rFonts w:ascii="Consolas" w:hAnsi="Consolas"/>
          <w:color w:val="032F62"/>
          <w:sz w:val="21"/>
        </w:rPr>
        <w:t>Lead.contactName</w:t>
      </w:r>
      <w:r>
        <w:rPr>
          <w:rFonts w:ascii="Calibri" w:hAnsi="Calibri"/>
          <w:color w:val="24292E"/>
          <w:sz w:val="22"/>
        </w:rPr>
        <w:t xml:space="preserve">, </w:t>
      </w:r>
      <w:r>
        <w:rPr>
          <w:rFonts w:ascii="Consolas" w:hAnsi="Consolas"/>
          <w:color w:val="032F62"/>
          <w:sz w:val="21"/>
        </w:rPr>
        <w:t>Lead.industry</w:t>
      </w:r>
      <w:r>
        <w:rPr>
          <w:rFonts w:ascii="Calibri" w:hAnsi="Calibri"/>
          <w:color w:val="24292E"/>
          <w:sz w:val="22"/>
        </w:rPr>
        <w:t xml:space="preserve">, </w:t>
      </w:r>
      <w:r>
        <w:rPr>
          <w:rFonts w:ascii="Consolas" w:hAnsi="Consolas"/>
          <w:color w:val="032F62"/>
          <w:sz w:val="21"/>
        </w:rPr>
        <w:t>Client.industry</w:t>
      </w:r>
      <w:r>
        <w:rPr>
          <w:rFonts w:ascii="Calibri" w:hAnsi="Calibri"/>
          <w:color w:val="24292E"/>
          <w:sz w:val="22"/>
        </w:rPr>
        <w:t xml:space="preserve">) as nullable shadow fields for a </w:t>
      </w:r>
      <w:r>
        <w:rPr>
          <w:rFonts w:ascii="Calibri" w:hAnsi="Calibri"/>
          <w:b/>
          <w:color w:val="24292E"/>
          <w:sz w:val="22"/>
        </w:rPr>
        <w:t>6-month / 2-release deprecation grace period</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10.1b</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Explicit Direct-Write Policy</w:t>
      </w:r>
      <w:r>
        <w:rPr>
          <w:rFonts w:ascii="Calibri" w:hAnsi="Calibri"/>
          <w:color w:val="24292E"/>
          <w:sz w:val="22"/>
        </w:rPr>
        <w:t xml:space="preserve">. All external integrations MUST use the REST API. Direct database writes for legacy tools require PostgreSQL triggers or scheduled batch reconciliation scripts. Unmapped free-text strings route to the </w:t>
      </w:r>
      <w:r>
        <w:rPr>
          <w:rFonts w:ascii="Consolas" w:hAnsi="Consolas"/>
          <w:color w:val="032F62"/>
          <w:sz w:val="21"/>
        </w:rPr>
        <w:t>UNCLASSIFIED</w:t>
      </w:r>
      <w:r>
        <w:rPr>
          <w:rFonts w:ascii="Calibri" w:hAnsi="Calibri"/>
          <w:color w:val="24292E"/>
          <w:sz w:val="22"/>
        </w:rPr>
        <w:t xml:space="preserve"> review queue, never auto-creating master rows. </w:t>
      </w:r>
      <w:r>
        <w:rPr>
          <w:rFonts w:ascii="Calibri" w:hAnsi="Calibri"/>
          <w:i/>
          <w:color w:val="24292E"/>
          <w:sz w:val="22"/>
        </w:rPr>
        <w:t>(Source: Author Review 1 - Revision #11)</w:t>
      </w:r>
    </w:p>
    <w:p>
      <w:pPr>
        <w:spacing w:before="120" w:after="120"/>
        <w:pBdr>
          <w:bottom w:val="single" w:sz="6" w:space="1" w:color="E1E4E8"/>
        </w:pBdr>
      </w:pPr>
    </w:p>
    <w:p>
      <w:pPr>
        <w:keepNext/>
        <w:spacing w:before="200" w:after="80"/>
      </w:pPr>
      <w:r>
        <w:rPr>
          <w:rFonts w:ascii="Calibri" w:hAnsi="Calibri"/>
          <w:b/>
          <w:color w:val="1F4E79"/>
          <w:sz w:val="26"/>
        </w:rPr>
        <w:t>📊 Category 11: Dual Timeline Revenue Recognition &amp; Finance Gate (</w:t>
      </w:r>
      <w:r>
        <w:rPr>
          <w:rFonts w:ascii="Consolas" w:hAnsi="Consolas"/>
          <w:color w:val="032F62"/>
          <w:sz w:val="25"/>
        </w:rPr>
        <w:t>DEMO-13</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22: Decoupling Billing Milestones from PSAK 115 Revenue Recognition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billing milestone dan revenue recognition harus dipisahkan menjadi dua schedule yang berbeda?"</w:t>
      </w:r>
    </w:p>
    <w:p>
      <w:pPr>
        <w:pStyle w:val="ListBullet"/>
        <w:spacing w:before="20" w:after="40"/>
        <w:ind w:left="360"/>
      </w:pPr>
      <w:r>
        <w:rPr>
          <w:rFonts w:ascii="Calibri" w:hAnsi="Calibri"/>
          <w:b/>
          <w:color w:val="24292E"/>
          <w:sz w:val="21"/>
        </w:rPr>
        <w:t>English Translation</w:t>
      </w:r>
      <w:r>
        <w:rPr>
          <w:rFonts w:ascii="Calibri" w:hAnsi="Calibri"/>
          <w:color w:val="24292E"/>
          <w:sz w:val="21"/>
        </w:rPr>
        <w:t>: "Should billing milestones and revenue recognition be separated into two distinct schedules?"</w:t>
      </w:r>
    </w:p>
    <w:p>
      <w:pPr>
        <w:pStyle w:val="ListBullet"/>
        <w:spacing w:before="20" w:after="40"/>
        <w:ind w:left="360"/>
      </w:pPr>
      <w:r>
        <w:rPr>
          <w:rFonts w:ascii="Calibri" w:hAnsi="Calibri"/>
          <w:b/>
          <w:color w:val="24292E"/>
          <w:sz w:val="21"/>
        </w:rPr>
        <w:t>In the Simplest Terms</w:t>
      </w:r>
      <w:r>
        <w:rPr>
          <w:rFonts w:ascii="Calibri" w:hAnsi="Calibri"/>
          <w:color w:val="24292E"/>
          <w:sz w:val="21"/>
        </w:rPr>
        <w:t>: Yes. Invoicing a customer or collecting cash is a commercial transaction (Terms of Payment). Recognizing revenue is an accounting event that happens only when the performance obligation (service or deliverable) is actually completed under PSAK 115 / IFRS 15. A paid invoice does not automatically mean revenue is recognized.</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 dedicated </w:t>
      </w:r>
      <w:r>
        <w:rPr>
          <w:rFonts w:ascii="Consolas" w:hAnsi="Consolas"/>
          <w:color w:val="032F62"/>
          <w:sz w:val="21"/>
        </w:rPr>
        <w:t>RevenueRecognitionSchedule</w:t>
      </w:r>
      <w:r>
        <w:rPr>
          <w:rFonts w:ascii="Calibri" w:hAnsi="Calibri"/>
          <w:color w:val="24292E"/>
          <w:sz w:val="22"/>
        </w:rPr>
        <w:t xml:space="preserve"> and accounting ledger. </w:t>
      </w:r>
      <w:r>
        <w:rPr>
          <w:rFonts w:ascii="Consolas" w:hAnsi="Consolas"/>
          <w:color w:val="032F62"/>
          <w:sz w:val="21"/>
        </w:rPr>
        <w:t>BillingMilestone</w:t>
      </w:r>
      <w:r>
        <w:rPr>
          <w:rFonts w:ascii="Calibri" w:hAnsi="Calibri"/>
          <w:color w:val="24292E"/>
          <w:sz w:val="22"/>
        </w:rPr>
        <w:t xml:space="preserve"> remains exclusively dedicated to commercial invoicing (DPP, 11% PPN, and accounts receivable) and MUST NOT be used as the accounting source of truth for revenue recognition.  </w:t>
      </w:r>
    </w:p>
    <w:p>
      <w:pPr>
        <w:spacing w:before="40" w:after="80" w:line="276" w:lineRule="auto"/>
      </w:pPr>
      <w:r>
        <w:rPr>
          <w:rFonts w:ascii="Calibri" w:hAnsi="Calibri"/>
          <w:color w:val="24292E"/>
          <w:sz w:val="22"/>
        </w:rPr>
        <w:t xml:space="preserve">  &gt; - </w:t>
      </w:r>
      <w:r>
        <w:rPr>
          <w:rFonts w:ascii="Calibri" w:hAnsi="Calibri"/>
          <w:b/>
          <w:color w:val="24292E"/>
          <w:sz w:val="22"/>
        </w:rPr>
        <w:t>Implementation Status</w:t>
      </w:r>
      <w:r>
        <w:rPr>
          <w:rFonts w:ascii="Calibri" w:hAnsi="Calibri"/>
          <w:color w:val="24292E"/>
          <w:sz w:val="22"/>
        </w:rPr>
        <w:t xml:space="preserve">: </w:t>
      </w:r>
      <w:r>
        <w:rPr>
          <w:rFonts w:ascii="Consolas" w:hAnsi="Consolas"/>
          <w:color w:val="032F62"/>
          <w:sz w:val="21"/>
        </w:rPr>
        <w:t>NOT IMPLEMENTED — CURRENT LEGACY BEHAVIOR CONTRADICTS TARGET DESIGN</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Legacy Codebase Conflict in Verification Baseline (`aa3425a`)</w:t>
      </w:r>
      <w:r>
        <w:rPr>
          <w:rFonts w:ascii="Calibri" w:hAnsi="Calibri"/>
          <w:color w:val="24292E"/>
          <w:sz w:val="22"/>
        </w:rPr>
        <w:t xml:space="preserve">: The current endpoint </w:t>
      </w:r>
      <w:r>
        <w:rPr>
          <w:rFonts w:ascii="Consolas" w:hAnsi="Consolas"/>
          <w:color w:val="032F62"/>
          <w:sz w:val="21"/>
        </w:rPr>
        <w:t>artifacts/api-server/src/routes/revenue-recognition.ts</w:t>
      </w:r>
      <w:r>
        <w:rPr>
          <w:rFonts w:ascii="Calibri" w:hAnsi="Calibri"/>
          <w:color w:val="24292E"/>
          <w:sz w:val="22"/>
        </w:rPr>
        <w:t xml:space="preserve"> still dynamically derives revenue recognition if a </w:t>
      </w:r>
      <w:r>
        <w:rPr>
          <w:rFonts w:ascii="Consolas" w:hAnsi="Consolas"/>
          <w:color w:val="032F62"/>
          <w:sz w:val="21"/>
        </w:rPr>
        <w:t>BillingMilestone</w:t>
      </w:r>
      <w:r>
        <w:rPr>
          <w:rFonts w:ascii="Calibri" w:hAnsi="Calibri"/>
          <w:color w:val="24292E"/>
          <w:sz w:val="22"/>
        </w:rPr>
        <w:t xml:space="preserve"> has </w:t>
      </w:r>
      <w:r>
        <w:rPr>
          <w:rFonts w:ascii="Consolas" w:hAnsi="Consolas"/>
          <w:color w:val="032F62"/>
          <w:sz w:val="21"/>
        </w:rPr>
        <w:t>status === 'PAID'</w:t>
      </w:r>
      <w:r>
        <w:rPr>
          <w:rFonts w:ascii="Calibri" w:hAnsi="Calibri"/>
          <w:color w:val="24292E"/>
          <w:sz w:val="22"/>
        </w:rPr>
        <w:t xml:space="preserve">, or if a </w:t>
      </w:r>
      <w:r>
        <w:rPr>
          <w:rFonts w:ascii="Consolas" w:hAnsi="Consolas"/>
          <w:color w:val="032F62"/>
          <w:sz w:val="21"/>
        </w:rPr>
        <w:t>reportUrl</w:t>
      </w:r>
      <w:r>
        <w:rPr>
          <w:rFonts w:ascii="Calibri" w:hAnsi="Calibri"/>
          <w:color w:val="24292E"/>
          <w:sz w:val="22"/>
        </w:rPr>
        <w:t xml:space="preserve"> exists, or if </w:t>
      </w:r>
      <w:r>
        <w:rPr>
          <w:rFonts w:ascii="Consolas" w:hAnsi="Consolas"/>
          <w:color w:val="032F62"/>
          <w:sz w:val="21"/>
        </w:rPr>
        <w:t>BAST</w:t>
      </w:r>
      <w:r>
        <w:rPr>
          <w:rFonts w:ascii="Calibri" w:hAnsi="Calibri"/>
          <w:color w:val="24292E"/>
          <w:sz w:val="22"/>
        </w:rPr>
        <w:t xml:space="preserve"> exists. This legacy behavior directly violates PSAK 115 / IFRS 15 and MUST be deprecated/replaced. Invoice payment, advance payment, contract signing, and PO receipt must NOT recognize revenue unless a performance obligation has been fulfilled and approved by </w:t>
      </w:r>
      <w:r>
        <w:rPr>
          <w:rFonts w:ascii="Consolas" w:hAnsi="Consolas"/>
          <w:color w:val="032F62"/>
          <w:sz w:val="21"/>
        </w:rPr>
        <w:t>FINANCE</w:t>
      </w:r>
      <w:r>
        <w:rPr>
          <w:rFonts w:ascii="Calibri" w:hAnsi="Calibri"/>
          <w:color w:val="24292E"/>
          <w:sz w:val="22"/>
        </w:rPr>
        <w:t xml:space="preserve">. </w:t>
      </w:r>
      <w:r>
        <w:rPr>
          <w:rFonts w:ascii="Calibri" w:hAnsi="Calibri"/>
          <w:i/>
          <w:color w:val="24292E"/>
          <w:sz w:val="22"/>
        </w:rPr>
        <w:t>(Source: SPH-14-FSD-v1.01 Review - Item #1)</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Issuing invoices, receiving payments, and recognizing revenue represent distinct economic events. In multi-month delivery contracts with end-loaded payment terms (e.g. 6-month SOC delivery with 100% payment at the end), revenue must be recognized monthly as services are rendered to accurately match revenue against labor costs on the P&amp;L. Conversely, receiving advance cash creates a contract liability, not immediate revenue.</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Does an invoice marked </w:t>
      </w:r>
      <w:r>
        <w:rPr>
          <w:rFonts w:ascii="Consolas" w:hAnsi="Consolas"/>
          <w:color w:val="032F62"/>
          <w:sz w:val="20"/>
        </w:rPr>
        <w:t>PAID</w:t>
      </w:r>
      <w:r>
        <w:rPr>
          <w:rFonts w:ascii="Calibri" w:hAnsi="Calibri"/>
          <w:color w:val="24292E"/>
          <w:sz w:val="21"/>
        </w:rPr>
        <w:t xml:space="preserve"> automatically recognize revenue in the system?</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w:t>
      </w:r>
      <w:r>
        <w:rPr>
          <w:rFonts w:ascii="Calibri" w:hAnsi="Calibri"/>
          <w:b/>
          <w:color w:val="24292E"/>
          <w:sz w:val="21"/>
        </w:rPr>
        <w:t>No.</w:t>
      </w:r>
      <w:r>
        <w:rPr>
          <w:rFonts w:ascii="Calibri" w:hAnsi="Calibri"/>
          <w:color w:val="24292E"/>
          <w:sz w:val="21"/>
        </w:rPr>
        <w:t xml:space="preserve"> Payment receipt is a cash realization event. Revenue recognition strictly requires verified evidence that the underlying performance obligation has been fulfilled. Payment dates may serve as supportive references but never bypass delivery evidence.</w:t>
      </w:r>
    </w:p>
    <w:p>
      <w:pPr>
        <w:pStyle w:val="ListBullet"/>
        <w:spacing w:before="20" w:after="40"/>
        <w:ind w:left="360"/>
      </w:pPr>
      <w:r>
        <w:rPr>
          <w:rFonts w:ascii="Calibri" w:hAnsi="Calibri"/>
          <w:b/>
          <w:color w:val="24292E"/>
          <w:sz w:val="21"/>
        </w:rPr>
        <w:t>Mandatory Negative Acceptance Criterion (`13-AC-08`)</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`gherkin</w:t>
      </w:r>
    </w:p>
    <w:p>
      <w:pPr>
        <w:spacing w:before="40" w:after="80" w:line="276" w:lineRule="auto"/>
      </w:pPr>
      <w:r>
        <w:rPr>
          <w:rFonts w:ascii="Calibri" w:hAnsi="Calibri"/>
          <w:color w:val="24292E"/>
          <w:sz w:val="22"/>
        </w:rPr>
        <w:t xml:space="preserve">  Given an invoice is PAID</w:t>
      </w:r>
    </w:p>
    <w:p>
      <w:pPr>
        <w:spacing w:before="40" w:after="80" w:line="276" w:lineRule="auto"/>
      </w:pPr>
      <w:r>
        <w:rPr>
          <w:rFonts w:ascii="Calibri" w:hAnsi="Calibri"/>
          <w:color w:val="24292E"/>
          <w:sz w:val="22"/>
        </w:rPr>
        <w:t xml:space="preserve">  And no performance obligation has been fulfilled and approved by FINANCE</w:t>
      </w:r>
    </w:p>
    <w:p>
      <w:pPr>
        <w:spacing w:before="40" w:after="80" w:line="276" w:lineRule="auto"/>
      </w:pPr>
      <w:r>
        <w:rPr>
          <w:rFonts w:ascii="Calibri" w:hAnsi="Calibri"/>
          <w:color w:val="24292E"/>
          <w:sz w:val="22"/>
        </w:rPr>
        <w:t xml:space="preserve">  When revenue recognition is evaluated</w:t>
      </w:r>
    </w:p>
    <w:p>
      <w:pPr>
        <w:spacing w:before="40" w:after="80" w:line="276" w:lineRule="auto"/>
      </w:pPr>
      <w:r>
        <w:rPr>
          <w:rFonts w:ascii="Calibri" w:hAnsi="Calibri"/>
          <w:color w:val="24292E"/>
          <w:sz w:val="22"/>
        </w:rPr>
        <w:t xml:space="preserve">  Then recognized revenue remains zero</w:t>
      </w:r>
    </w:p>
    <w:p>
      <w:pPr>
        <w:spacing w:before="40" w:after="80" w:line="276" w:lineRule="auto"/>
      </w:pPr>
      <w:r>
        <w:rPr>
          <w:rFonts w:ascii="Calibri" w:hAnsi="Calibri"/>
          <w:color w:val="24292E"/>
          <w:sz w:val="22"/>
        </w:rPr>
        <w:t xml:space="preserve">  And no RevenueRecognitionEntry is posted.</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160" w:after="40"/>
      </w:pPr>
      <w:r>
        <w:rPr>
          <w:rFonts w:ascii="Calibri" w:hAnsi="Calibri"/>
          <w:b/>
          <w:color w:val="262626"/>
          <w:sz w:val="23"/>
        </w:rPr>
        <w:t>Question 23: Performance Obligation Triggers &amp; Advance Payment Accounting</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trigger pengakuan revenue didefinisikan dan apakah uang muka/PO receipt otomatis menjadi trigger revenue?"</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revenue recognition triggers defined, and do advance payments or PO receipts automatically trigger revenue?"</w:t>
      </w:r>
    </w:p>
    <w:p>
      <w:pPr>
        <w:pStyle w:val="ListBullet"/>
        <w:spacing w:before="20" w:after="40"/>
        <w:ind w:left="360"/>
      </w:pPr>
      <w:r>
        <w:rPr>
          <w:rFonts w:ascii="Calibri" w:hAnsi="Calibri"/>
          <w:b/>
          <w:color w:val="24292E"/>
          <w:sz w:val="21"/>
        </w:rPr>
        <w:t>In the Simplest Terms</w:t>
      </w:r>
      <w:r>
        <w:rPr>
          <w:rFonts w:ascii="Calibri" w:hAnsi="Calibri"/>
          <w:color w:val="24292E"/>
          <w:sz w:val="21"/>
        </w:rPr>
        <w:t>: Signing a contract or receiving an advance down payment creates an unearned liability on the balance sheet, not revenue on the P&amp;L. Revenue triggers must represent actual performance obligations: elapsed time for retainers, accepted milestone deliverables, measurable usage, or manual Finance assessment.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Adopt explicit performance obligation triggers: </w:t>
      </w:r>
      <w:r>
        <w:rPr>
          <w:rFonts w:ascii="Consolas" w:hAnsi="Consolas"/>
          <w:color w:val="032F62"/>
          <w:sz w:val="21"/>
        </w:rPr>
        <w:t>TIME_ELAPSED</w:t>
      </w:r>
      <w:r>
        <w:rPr>
          <w:rFonts w:ascii="Calibri" w:hAnsi="Calibri"/>
          <w:color w:val="24292E"/>
          <w:sz w:val="22"/>
        </w:rPr>
        <w:t xml:space="preserve">, </w:t>
      </w:r>
      <w:r>
        <w:rPr>
          <w:rFonts w:ascii="Consolas" w:hAnsi="Consolas"/>
          <w:color w:val="032F62"/>
          <w:sz w:val="21"/>
        </w:rPr>
        <w:t>DELIVERABLE_ACCEPTED</w:t>
      </w:r>
      <w:r>
        <w:rPr>
          <w:rFonts w:ascii="Calibri" w:hAnsi="Calibri"/>
          <w:color w:val="24292E"/>
          <w:sz w:val="22"/>
        </w:rPr>
        <w:t xml:space="preserve">, </w:t>
      </w:r>
      <w:r>
        <w:rPr>
          <w:rFonts w:ascii="Consolas" w:hAnsi="Consolas"/>
          <w:color w:val="032F62"/>
          <w:sz w:val="21"/>
        </w:rPr>
        <w:t>USAGE_BASED</w:t>
      </w:r>
      <w:r>
        <w:rPr>
          <w:rFonts w:ascii="Calibri" w:hAnsi="Calibri"/>
          <w:color w:val="24292E"/>
          <w:sz w:val="22"/>
        </w:rPr>
        <w:t xml:space="preserve">, and </w:t>
      </w:r>
      <w:r>
        <w:rPr>
          <w:rFonts w:ascii="Consolas" w:hAnsi="Consolas"/>
          <w:color w:val="032F62"/>
          <w:sz w:val="21"/>
        </w:rPr>
        <w:t>MANUAL_FINANCE_ASSESSMENT</w:t>
      </w:r>
      <w:r>
        <w:rPr>
          <w:rFonts w:ascii="Calibri" w:hAnsi="Calibri"/>
          <w:color w:val="24292E"/>
          <w:sz w:val="22"/>
        </w:rPr>
        <w:t xml:space="preserve">. Deprecate and replace the ambiguous term </w:t>
      </w:r>
      <w:r>
        <w:rPr>
          <w:rFonts w:ascii="Consolas" w:hAnsi="Consolas"/>
          <w:color w:val="032F62"/>
          <w:sz w:val="21"/>
        </w:rPr>
        <w:t>FIXED_TERM</w:t>
      </w:r>
      <w:r>
        <w:rPr>
          <w:rFonts w:ascii="Calibri" w:hAnsi="Calibri"/>
          <w:color w:val="24292E"/>
          <w:sz w:val="22"/>
        </w:rPr>
        <w:t xml:space="preserve"> with </w:t>
      </w:r>
      <w:r>
        <w:rPr>
          <w:rFonts w:ascii="Consolas" w:hAnsi="Consolas"/>
          <w:color w:val="032F62"/>
          <w:sz w:val="21"/>
        </w:rPr>
        <w:t>TIME_ELAPSED</w:t>
      </w:r>
      <w:r>
        <w:rPr>
          <w:rFonts w:ascii="Calibri" w:hAnsi="Calibri"/>
          <w:color w:val="24292E"/>
          <w:sz w:val="22"/>
        </w:rPr>
        <w:t xml:space="preserve">. Contract signatures, PO receipts, and down payments DO NOT constitute revenue triggers by themselves. </w:t>
      </w:r>
      <w:r>
        <w:rPr>
          <w:rFonts w:ascii="Calibri" w:hAnsi="Calibri"/>
          <w:i/>
          <w:color w:val="24292E"/>
          <w:sz w:val="22"/>
        </w:rPr>
        <w:t>(Source: SPH-DEMO-13-14-Baseline-Rekomendasi-dan-Klarifikasi-ID.docx - Decision 13.2)</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xml:space="preserve">: Under PSAK 115, advance payments represent contract liabilities (deferred revenue) until goods or services are transferred to the customer. Scheduled dates under </w:t>
      </w:r>
      <w:r>
        <w:rPr>
          <w:rFonts w:ascii="Consolas" w:hAnsi="Consolas"/>
          <w:color w:val="032F62"/>
          <w:sz w:val="21"/>
        </w:rPr>
        <w:t>TIME_ELAPSED</w:t>
      </w:r>
      <w:r>
        <w:rPr>
          <w:rFonts w:ascii="Calibri" w:hAnsi="Calibri"/>
          <w:color w:val="24292E"/>
          <w:sz w:val="22"/>
        </w:rPr>
        <w:t xml:space="preserve"> make an item eligible for review, but do not bypass Finance audit and operational evidence.</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How are fixed-fee down payments (e.g. 10% on PO receipt) handled if they cannot trigger immediate revenue?</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The 10% advance is invoiced and recorded on </w:t>
      </w:r>
      <w:r>
        <w:rPr>
          <w:rFonts w:ascii="Consolas" w:hAnsi="Consolas"/>
          <w:color w:val="032F62"/>
          <w:sz w:val="20"/>
        </w:rPr>
        <w:t>BillingMilestone</w:t>
      </w:r>
      <w:r>
        <w:rPr>
          <w:rFonts w:ascii="Calibri" w:hAnsi="Calibri"/>
          <w:color w:val="24292E"/>
          <w:sz w:val="21"/>
        </w:rPr>
        <w:t xml:space="preserve"> to drive cash collection. On the RevRec schedule, it is recognized only as performance obligations commence (e.g., mobilization deliverable or pro-rata over project duration), maintaining P&amp;L integrity.</w:t>
      </w:r>
    </w:p>
    <w:p>
      <w:pPr>
        <w:spacing w:before="120" w:after="120"/>
        <w:pBdr>
          <w:bottom w:val="single" w:sz="6" w:space="1" w:color="E1E4E8"/>
        </w:pBdr>
      </w:pPr>
    </w:p>
    <w:p>
      <w:pPr>
        <w:keepNext/>
        <w:spacing w:before="160" w:after="40"/>
      </w:pPr>
      <w:r>
        <w:rPr>
          <w:rFonts w:ascii="Calibri" w:hAnsi="Calibri"/>
          <w:b/>
          <w:color w:val="262626"/>
          <w:sz w:val="23"/>
        </w:rPr>
        <w:t>Question 24: Finance Baseline Governance &amp; PM Evidence Submission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"Siapa yang berwenang membuat schedule awal dan mengajukan evidence pengakuan revenue?"</w:t>
      </w:r>
    </w:p>
    <w:p>
      <w:pPr>
        <w:pStyle w:val="ListBullet"/>
        <w:spacing w:before="20" w:after="40"/>
        <w:ind w:left="360"/>
      </w:pPr>
      <w:r>
        <w:rPr>
          <w:rFonts w:ascii="Calibri" w:hAnsi="Calibri"/>
          <w:b/>
          <w:color w:val="24292E"/>
          <w:sz w:val="21"/>
        </w:rPr>
        <w:t>English Translation</w:t>
      </w:r>
      <w:r>
        <w:rPr>
          <w:rFonts w:ascii="Calibri" w:hAnsi="Calibri"/>
          <w:color w:val="24292E"/>
          <w:sz w:val="21"/>
        </w:rPr>
        <w:t>: "Who is authorized to create the initial schedule and submit evidence for revenue recognition?"</w:t>
      </w:r>
    </w:p>
    <w:p>
      <w:pPr>
        <w:pStyle w:val="ListBullet"/>
        <w:spacing w:before="20" w:after="40"/>
        <w:ind w:left="360"/>
      </w:pPr>
      <w:r>
        <w:rPr>
          <w:rFonts w:ascii="Calibri" w:hAnsi="Calibri"/>
          <w:b/>
          <w:color w:val="24292E"/>
          <w:sz w:val="21"/>
        </w:rPr>
        <w:t>In the Simplest Terms</w:t>
      </w:r>
      <w:r>
        <w:rPr>
          <w:rFonts w:ascii="Calibri" w:hAnsi="Calibri"/>
          <w:color w:val="24292E"/>
          <w:sz w:val="21"/>
        </w:rPr>
        <w:t>: Finance sets and locks the official revenue plan when the project starts. When work is finished, the Project Manager uploads the deliverables (like reports or acceptance letters). Finance independently reviews the proof and approves recognition. PMs cannot approve their own revenue.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Initial </w:t>
      </w:r>
      <w:r>
        <w:rPr>
          <w:rFonts w:ascii="Consolas" w:hAnsi="Consolas"/>
          <w:color w:val="032F62"/>
          <w:sz w:val="21"/>
        </w:rPr>
        <w:t>RevenueRecognitionSchedule</w:t>
      </w:r>
      <w:r>
        <w:rPr>
          <w:rFonts w:ascii="Calibri" w:hAnsi="Calibri"/>
          <w:color w:val="24292E"/>
          <w:sz w:val="22"/>
        </w:rPr>
        <w:t xml:space="preserve"> baselines are created and locked exclusively by </w:t>
      </w:r>
      <w:r>
        <w:rPr>
          <w:rFonts w:ascii="Consolas" w:hAnsi="Consolas"/>
          <w:color w:val="032F62"/>
          <w:sz w:val="21"/>
        </w:rPr>
        <w:t>FINANCE</w:t>
      </w:r>
      <w:r>
        <w:rPr>
          <w:rFonts w:ascii="Calibri" w:hAnsi="Calibri"/>
          <w:color w:val="24292E"/>
          <w:sz w:val="22"/>
        </w:rPr>
        <w:t xml:space="preserve">. The assigned </w:t>
      </w:r>
      <w:r>
        <w:rPr>
          <w:rFonts w:ascii="Consolas" w:hAnsi="Consolas"/>
          <w:color w:val="032F62"/>
          <w:sz w:val="21"/>
        </w:rPr>
        <w:t>PROJECT_MANAGER</w:t>
      </w:r>
      <w:r>
        <w:rPr>
          <w:rFonts w:ascii="Calibri" w:hAnsi="Calibri"/>
          <w:color w:val="24292E"/>
          <w:sz w:val="22"/>
        </w:rPr>
        <w:t xml:space="preserve"> submits operational deliverable evidence (</w:t>
      </w:r>
      <w:r>
        <w:rPr>
          <w:rFonts w:ascii="Consolas" w:hAnsi="Consolas"/>
          <w:color w:val="032F62"/>
          <w:sz w:val="21"/>
        </w:rPr>
        <w:t>RevenueRecognitionEvidence</w:t>
      </w:r>
      <w:r>
        <w:rPr>
          <w:rFonts w:ascii="Calibri" w:hAnsi="Calibri"/>
          <w:color w:val="24292E"/>
          <w:sz w:val="22"/>
        </w:rPr>
        <w:t xml:space="preserve">). </w:t>
      </w:r>
      <w:r>
        <w:rPr>
          <w:rFonts w:ascii="Consolas" w:hAnsi="Consolas"/>
          <w:color w:val="032F62"/>
          <w:sz w:val="21"/>
        </w:rPr>
        <w:t>FINANCE</w:t>
      </w:r>
      <w:r>
        <w:rPr>
          <w:rFonts w:ascii="Calibri" w:hAnsi="Calibri"/>
          <w:color w:val="24292E"/>
          <w:sz w:val="22"/>
        </w:rPr>
        <w:t xml:space="preserve"> independently verifies evidence and approves or rejects recognition. Routine approval authority is strictly restricted to </w:t>
      </w:r>
      <w:r>
        <w:rPr>
          <w:rFonts w:ascii="Consolas" w:hAnsi="Consolas"/>
          <w:color w:val="032F62"/>
          <w:sz w:val="21"/>
        </w:rPr>
        <w:t>FINANCE</w:t>
      </w:r>
      <w:r>
        <w:rPr>
          <w:rFonts w:ascii="Calibri" w:hAnsi="Calibri"/>
          <w:color w:val="24292E"/>
          <w:sz w:val="22"/>
        </w:rPr>
        <w:t xml:space="preserve">; </w:t>
      </w:r>
      <w:r>
        <w:rPr>
          <w:rFonts w:ascii="Consolas" w:hAnsi="Consolas"/>
          <w:color w:val="032F62"/>
          <w:sz w:val="21"/>
        </w:rPr>
        <w:t>MANAGEMENT</w:t>
      </w:r>
      <w:r>
        <w:rPr>
          <w:rFonts w:ascii="Calibri" w:hAnsi="Calibri"/>
          <w:color w:val="24292E"/>
          <w:sz w:val="22"/>
        </w:rPr>
        <w:t xml:space="preserve"> and </w:t>
      </w:r>
      <w:r>
        <w:rPr>
          <w:rFonts w:ascii="Consolas" w:hAnsi="Consolas"/>
          <w:color w:val="032F62"/>
          <w:sz w:val="21"/>
        </w:rPr>
        <w:t>SUPER_ADMIN</w:t>
      </w:r>
      <w:r>
        <w:rPr>
          <w:rFonts w:ascii="Calibri" w:hAnsi="Calibri"/>
          <w:color w:val="24292E"/>
          <w:sz w:val="22"/>
        </w:rPr>
        <w:t xml:space="preserve"> possess emergency recovery/oversight privileges only. </w:t>
      </w:r>
      <w:r>
        <w:rPr>
          <w:rFonts w:ascii="Calibri" w:hAnsi="Calibri"/>
          <w:i/>
          <w:color w:val="24292E"/>
          <w:sz w:val="22"/>
        </w:rPr>
        <w:t>(Source: SPH-DEMO-13-14-Baseline-Rekomendasi-dan-Klarifikasi-ID.docx - Decision 13.3)</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Enforces strict Separation of Duties (SoD). Delivery teams have an inherent bias to accelerate recognition; requiring independent Finance sign-off guarantees compliance with external audit standards.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Can a Project Manager reschedule a recognition milestone if the client delays a review?</w:t>
      </w:r>
    </w:p>
    <w:p>
      <w:pPr>
        <w:pStyle w:val="ListBullet"/>
        <w:spacing w:before="20" w:after="40"/>
        <w:ind w:left="720"/>
      </w:pPr>
      <w:r>
        <w:rPr>
          <w:rFonts w:ascii="Calibri" w:hAnsi="Calibri"/>
          <w:i/>
          <w:color w:val="24292E"/>
          <w:sz w:val="21"/>
        </w:rPr>
        <w:t>Resolved Policy</w:t>
      </w:r>
      <w:r>
        <w:rPr>
          <w:rFonts w:ascii="Calibri" w:hAnsi="Calibri"/>
          <w:color w:val="24292E"/>
          <w:sz w:val="21"/>
        </w:rPr>
        <w:t>: The PM submits a reschedule request with proposed date and justification. The existing planned date remains active on the baseline until Finance reviews and approves the change. Approvals generate an auditable revision record without overwriting history.</w:t>
      </w:r>
    </w:p>
    <w:p>
      <w:pPr>
        <w:spacing w:before="120" w:after="120"/>
        <w:pBdr>
          <w:bottom w:val="single" w:sz="6" w:space="1" w:color="E1E4E8"/>
        </w:pBdr>
      </w:pPr>
    </w:p>
    <w:p>
      <w:pPr>
        <w:keepNext/>
        <w:spacing w:before="160" w:after="40"/>
      </w:pPr>
      <w:r>
        <w:rPr>
          <w:rFonts w:ascii="Calibri" w:hAnsi="Calibri"/>
          <w:b/>
          <w:color w:val="262626"/>
          <w:sz w:val="23"/>
        </w:rPr>
        <w:t>Question 25: Immutable Accounting Ledger &amp; Reversal-Based Corrections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koreksi dilakukan setelah revenue diakui dan bagaimana menjamin atomicity pencatatan?"</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are corrections handled once revenue is recognized, and how is posting atomicity guaranteed?"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Once revenue is recognized, the record is frozen forever. If an error was made, you cannot edit or delete it. You must post a linked reversal entry and a replacement entry, exactly as in formal corporate accounting. The entire recognition posting is committed in one atomic database transaction with an idempotency key.</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Recognized accounting entries in </w:t>
      </w:r>
      <w:r>
        <w:rPr>
          <w:rFonts w:ascii="Consolas" w:hAnsi="Consolas"/>
          <w:color w:val="032F62"/>
          <w:sz w:val="21"/>
        </w:rPr>
        <w:t>RevenueRecognitionEntry</w:t>
      </w:r>
      <w:r>
        <w:rPr>
          <w:rFonts w:ascii="Calibri" w:hAnsi="Calibri"/>
          <w:color w:val="24292E"/>
          <w:sz w:val="22"/>
        </w:rPr>
        <w:t xml:space="preserve"> are </w:t>
      </w:r>
      <w:r>
        <w:rPr>
          <w:rFonts w:ascii="Calibri" w:hAnsi="Calibri"/>
          <w:b/>
          <w:color w:val="24292E"/>
          <w:sz w:val="22"/>
        </w:rPr>
        <w:t>permanently immutable</w:t>
      </w:r>
      <w:r>
        <w:rPr>
          <w:rFonts w:ascii="Calibri" w:hAnsi="Calibri"/>
          <w:color w:val="24292E"/>
          <w:sz w:val="22"/>
        </w:rPr>
        <w:t>. Post-recognition corrections MUST be executed via linked reversal (</w:t>
      </w:r>
      <w:r>
        <w:rPr>
          <w:rFonts w:ascii="Consolas" w:hAnsi="Consolas"/>
          <w:color w:val="032F62"/>
          <w:sz w:val="21"/>
        </w:rPr>
        <w:t>reversalOfId</w:t>
      </w:r>
      <w:r>
        <w:rPr>
          <w:rFonts w:ascii="Calibri" w:hAnsi="Calibri"/>
          <w:color w:val="24292E"/>
          <w:sz w:val="22"/>
        </w:rPr>
        <w:t>) and replacement (</w:t>
      </w:r>
      <w:r>
        <w:rPr>
          <w:rFonts w:ascii="Consolas" w:hAnsi="Consolas"/>
          <w:color w:val="032F62"/>
          <w:sz w:val="21"/>
        </w:rPr>
        <w:t>replacedById</w:t>
      </w:r>
      <w:r>
        <w:rPr>
          <w:rFonts w:ascii="Calibri" w:hAnsi="Calibri"/>
          <w:color w:val="24292E"/>
          <w:sz w:val="22"/>
        </w:rPr>
        <w:t xml:space="preserve">) journal entries. Direct updates or row deletions are strictly blocked. </w:t>
      </w:r>
      <w:r>
        <w:rPr>
          <w:rFonts w:ascii="Calibri" w:hAnsi="Calibri"/>
          <w:i/>
          <w:color w:val="24292E"/>
          <w:sz w:val="22"/>
        </w:rPr>
        <w:t>(Source: SPH-DEMO-13-14-Baseline-Rekomendasi-dan-Klarifikasi-ID.docx - Decision 13.4)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13.5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Recognition status transitions to </w:t>
      </w:r>
      <w:r>
        <w:rPr>
          <w:rFonts w:ascii="Consolas" w:hAnsi="Consolas"/>
          <w:color w:val="032F62"/>
          <w:sz w:val="21"/>
        </w:rPr>
        <w:t>RECOGNIZED</w:t>
      </w:r>
      <w:r>
        <w:rPr>
          <w:rFonts w:ascii="Calibri" w:hAnsi="Calibri"/>
          <w:color w:val="24292E"/>
          <w:sz w:val="22"/>
        </w:rPr>
        <w:t xml:space="preserve">, recognized monetary amounts, accounting ledger entries, approver metadata, and audit events MUST commit within a </w:t>
      </w:r>
      <w:r>
        <w:rPr>
          <w:rFonts w:ascii="Calibri" w:hAnsi="Calibri"/>
          <w:b/>
          <w:color w:val="24292E"/>
          <w:sz w:val="22"/>
        </w:rPr>
        <w:t>single atomic database transaction protected by an `idempotencyKey`</w:t>
      </w:r>
      <w:r>
        <w:rPr>
          <w:rFonts w:ascii="Calibri" w:hAnsi="Calibri"/>
          <w:color w:val="24292E"/>
          <w:sz w:val="22"/>
        </w:rPr>
        <w:t xml:space="preserve">. </w:t>
      </w:r>
      <w:r>
        <w:rPr>
          <w:rFonts w:ascii="Calibri" w:hAnsi="Calibri"/>
          <w:i/>
          <w:color w:val="24292E"/>
          <w:sz w:val="22"/>
        </w:rPr>
        <w:t>(Source: SPH-DEMO-13-14-Baseline-Rekomendasi-dan-Klarifikasi-ID.docx - Decision 13.5)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Prevents orphaned entries, double-journal posting on network retries, and maintains an uncompromised audit trail for external auditors and Xero reconciliation.</w:t>
      </w:r>
    </w:p>
    <w:p>
      <w:pPr>
        <w:spacing w:before="120" w:after="120"/>
        <w:pBdr>
          <w:bottom w:val="single" w:sz="6" w:space="1" w:color="E1E4E8"/>
        </w:pBdr>
      </w:pPr>
    </w:p>
    <w:p>
      <w:pPr>
        <w:keepNext/>
        <w:spacing w:before="160" w:after="40"/>
      </w:pPr>
      <w:r>
        <w:rPr>
          <w:rFonts w:ascii="Calibri" w:hAnsi="Calibri"/>
          <w:b/>
          <w:color w:val="262626"/>
          <w:sz w:val="23"/>
        </w:rPr>
        <w:t>Question 26: Controlled Legacy Migration &amp; Reviewed Xero Journal Export</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data historis dimigrasikan dan bagaimana integrasi dengan Xero dijalankan?"</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historical data migrated and how is Xero integration executed?"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Historical revenue data derived from old BillingMilestones is backfilled with an explicit label marking it as "inferred" rather than Finance-approved. Integration with Xero starts safely with a monthly journal CSV that Finance reviews before any direct automated API sync is built.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13.6</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Backfill historical recognition as explicitly labeled </w:t>
      </w:r>
      <w:r>
        <w:rPr>
          <w:rFonts w:ascii="Calibri" w:hAnsi="Calibri"/>
          <w:b/>
          <w:color w:val="24292E"/>
          <w:sz w:val="22"/>
        </w:rPr>
        <w:t>`inferred` records</w:t>
      </w:r>
      <w:r>
        <w:rPr>
          <w:rFonts w:ascii="Calibri" w:hAnsi="Calibri"/>
          <w:color w:val="24292E"/>
          <w:sz w:val="22"/>
        </w:rPr>
        <w:t xml:space="preserve">. Perform total ledger reconciliation, establish a clean cutover date, and DO NOT automatically promote inferred records to Finance-approved status. </w:t>
      </w:r>
      <w:r>
        <w:rPr>
          <w:rFonts w:ascii="Calibri" w:hAnsi="Calibri"/>
          <w:i/>
          <w:color w:val="24292E"/>
          <w:sz w:val="22"/>
        </w:rPr>
        <w:t>(Source: SPH-DEMO-13-14-Baseline-Rekomendasi-dan-Klarifikasi-ID.docx - Decision 13.6)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13.7</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Phase 1 integration implements a </w:t>
      </w:r>
      <w:r>
        <w:rPr>
          <w:rFonts w:ascii="Calibri" w:hAnsi="Calibri"/>
          <w:b/>
          <w:color w:val="24292E"/>
          <w:sz w:val="22"/>
        </w:rPr>
        <w:t>reviewed monthly journal CSV export</w:t>
      </w:r>
      <w:r>
        <w:rPr>
          <w:rFonts w:ascii="Calibri" w:hAnsi="Calibri"/>
          <w:color w:val="24292E"/>
          <w:sz w:val="22"/>
        </w:rPr>
        <w:t xml:space="preserve"> (</w:t>
      </w:r>
      <w:r>
        <w:rPr>
          <w:rFonts w:ascii="Consolas" w:hAnsi="Consolas"/>
          <w:color w:val="032F62"/>
          <w:sz w:val="21"/>
        </w:rPr>
        <w:t>GET /api/revenue-recognition/exports/xero-journal.csv</w:t>
      </w:r>
      <w:r>
        <w:rPr>
          <w:rFonts w:ascii="Calibri" w:hAnsi="Calibri"/>
          <w:color w:val="24292E"/>
          <w:sz w:val="22"/>
        </w:rPr>
        <w:t xml:space="preserve">). Direct Xero API journal synchronization is deferred to Phase 2 after account mapping, reversal handling, and reconciliation behavior are validated in production. </w:t>
      </w:r>
      <w:r>
        <w:rPr>
          <w:rFonts w:ascii="Calibri" w:hAnsi="Calibri"/>
          <w:i/>
          <w:color w:val="24292E"/>
          <w:sz w:val="22"/>
        </w:rPr>
        <w:t>(Source: SPH-DEMO-13-14-Baseline-Rekomendasi-dan-Klarifikasi-ID.docx - Decision 13.7)</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Mitigates accounting risks by ensuring Finance maintains human-in-the-loop verification while stabilizing the new ledger.</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Prisma Target Models for RevRec Ledger (Example)</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`prisma</w:t>
      </w:r>
    </w:p>
    <w:p>
      <w:pPr>
        <w:spacing w:before="40" w:after="80" w:line="276" w:lineRule="auto"/>
      </w:pPr>
      <w:r>
        <w:rPr>
          <w:rFonts w:ascii="Calibri" w:hAnsi="Calibri"/>
          <w:color w:val="24292E"/>
          <w:sz w:val="22"/>
        </w:rPr>
        <w:t xml:space="preserve">    enum RevRecTriggerType {</w:t>
      </w:r>
    </w:p>
    <w:p>
      <w:pPr>
        <w:spacing w:before="40" w:after="80" w:line="276" w:lineRule="auto"/>
      </w:pPr>
      <w:r>
        <w:rPr>
          <w:rFonts w:ascii="Calibri" w:hAnsi="Calibri"/>
          <w:color w:val="24292E"/>
          <w:sz w:val="22"/>
        </w:rPr>
        <w:t xml:space="preserve">      TIME_ELAPSED</w:t>
      </w:r>
    </w:p>
    <w:p>
      <w:pPr>
        <w:spacing w:before="40" w:after="80" w:line="276" w:lineRule="auto"/>
      </w:pPr>
      <w:r>
        <w:rPr>
          <w:rFonts w:ascii="Calibri" w:hAnsi="Calibri"/>
          <w:color w:val="24292E"/>
          <w:sz w:val="22"/>
        </w:rPr>
        <w:t xml:space="preserve">      DELIVERABLE_ACCEPTED</w:t>
      </w:r>
    </w:p>
    <w:p>
      <w:pPr>
        <w:spacing w:before="40" w:after="80" w:line="276" w:lineRule="auto"/>
      </w:pPr>
      <w:r>
        <w:rPr>
          <w:rFonts w:ascii="Calibri" w:hAnsi="Calibri"/>
          <w:color w:val="24292E"/>
          <w:sz w:val="22"/>
        </w:rPr>
        <w:t xml:space="preserve">      USAGE_BASED</w:t>
      </w:r>
    </w:p>
    <w:p>
      <w:pPr>
        <w:spacing w:before="40" w:after="80" w:line="276" w:lineRule="auto"/>
      </w:pPr>
      <w:r>
        <w:rPr>
          <w:rFonts w:ascii="Calibri" w:hAnsi="Calibri"/>
          <w:color w:val="24292E"/>
          <w:sz w:val="22"/>
        </w:rPr>
        <w:t xml:space="preserve">      MANUAL_FINANCE_ASSESSMENT</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enum RevRecScheduleStatus {</w:t>
      </w:r>
    </w:p>
    <w:p>
      <w:pPr>
        <w:spacing w:before="40" w:after="80" w:line="276" w:lineRule="auto"/>
      </w:pPr>
      <w:r>
        <w:rPr>
          <w:rFonts w:ascii="Calibri" w:hAnsi="Calibri"/>
          <w:color w:val="24292E"/>
          <w:sz w:val="22"/>
        </w:rPr>
        <w:t xml:space="preserve">      PLANNED</w:t>
      </w:r>
    </w:p>
    <w:p>
      <w:pPr>
        <w:spacing w:before="40" w:after="80" w:line="276" w:lineRule="auto"/>
      </w:pPr>
      <w:r>
        <w:rPr>
          <w:rFonts w:ascii="Calibri" w:hAnsi="Calibri"/>
          <w:color w:val="24292E"/>
          <w:sz w:val="22"/>
        </w:rPr>
        <w:t xml:space="preserve">      PENDING_EVIDENCE</w:t>
      </w:r>
    </w:p>
    <w:p>
      <w:pPr>
        <w:spacing w:before="40" w:after="80" w:line="276" w:lineRule="auto"/>
      </w:pPr>
      <w:r>
        <w:rPr>
          <w:rFonts w:ascii="Calibri" w:hAnsi="Calibri"/>
          <w:color w:val="24292E"/>
          <w:sz w:val="22"/>
        </w:rPr>
        <w:t xml:space="preserve">      PENDING_FINANCE_APPROVAL</w:t>
      </w:r>
    </w:p>
    <w:p>
      <w:pPr>
        <w:spacing w:before="40" w:after="80" w:line="276" w:lineRule="auto"/>
      </w:pPr>
      <w:r>
        <w:rPr>
          <w:rFonts w:ascii="Calibri" w:hAnsi="Calibri"/>
          <w:color w:val="24292E"/>
          <w:sz w:val="22"/>
        </w:rPr>
        <w:t xml:space="preserve">      RECOGNIZED</w:t>
      </w:r>
    </w:p>
    <w:p>
      <w:pPr>
        <w:spacing w:before="40" w:after="80" w:line="276" w:lineRule="auto"/>
      </w:pPr>
      <w:r>
        <w:rPr>
          <w:rFonts w:ascii="Calibri" w:hAnsi="Calibri"/>
          <w:color w:val="24292E"/>
          <w:sz w:val="22"/>
        </w:rPr>
        <w:t xml:space="preserve">      REJECTED</w:t>
      </w:r>
    </w:p>
    <w:p>
      <w:pPr>
        <w:spacing w:before="40" w:after="80" w:line="276" w:lineRule="auto"/>
      </w:pPr>
      <w:r>
        <w:rPr>
          <w:rFonts w:ascii="Calibri" w:hAnsi="Calibri"/>
          <w:color w:val="24292E"/>
          <w:sz w:val="22"/>
        </w:rPr>
        <w:t xml:space="preserve">      CANCELLED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RevenueRecognitionSchedule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projectId        String</w:t>
      </w:r>
    </w:p>
    <w:p>
      <w:pPr>
        <w:spacing w:before="40" w:after="80" w:line="276" w:lineRule="auto"/>
      </w:pPr>
      <w:r>
        <w:rPr>
          <w:rFonts w:ascii="Calibri" w:hAnsi="Calibri"/>
          <w:color w:val="24292E"/>
          <w:sz w:val="22"/>
        </w:rPr>
        <w:t xml:space="preserve">      project          Project               @relation(fields: [projectId], references: [id], onDelete: Cascade)</w:t>
      </w:r>
    </w:p>
    <w:p>
      <w:pPr>
        <w:spacing w:before="40" w:after="80" w:line="276" w:lineRule="auto"/>
      </w:pPr>
      <w:r>
        <w:rPr>
          <w:rFonts w:ascii="Calibri" w:hAnsi="Calibri"/>
          <w:color w:val="24292E"/>
          <w:sz w:val="22"/>
        </w:rPr>
        <w:t xml:space="preserve">      workstreamId     String?</w:t>
      </w:r>
    </w:p>
    <w:p>
      <w:pPr>
        <w:spacing w:before="40" w:after="80" w:line="276" w:lineRule="auto"/>
      </w:pPr>
      <w:r>
        <w:rPr>
          <w:rFonts w:ascii="Calibri" w:hAnsi="Calibri"/>
          <w:color w:val="24292E"/>
          <w:sz w:val="22"/>
        </w:rPr>
        <w:t xml:space="preserve">      workstream       ProjectWorkstream?    @relation(fields: [workstreamId], references: [id], onDelete: SetNull)</w:t>
      </w:r>
    </w:p>
    <w:p>
      <w:pPr>
        <w:spacing w:before="40" w:after="80" w:line="276" w:lineRule="auto"/>
      </w:pPr>
      <w:r>
        <w:rPr>
          <w:rFonts w:ascii="Calibri" w:hAnsi="Calibri"/>
          <w:color w:val="24292E"/>
          <w:sz w:val="22"/>
        </w:rPr>
        <w:t xml:space="preserve">      triggerType      RevRecTriggerType     @default(DELIVERABLE_ACCEPTED)</w:t>
      </w:r>
    </w:p>
    <w:p>
      <w:pPr>
        <w:spacing w:before="40" w:after="80" w:line="276" w:lineRule="auto"/>
      </w:pPr>
      <w:r>
        <w:rPr>
          <w:rFonts w:ascii="Calibri" w:hAnsi="Calibri"/>
          <w:color w:val="24292E"/>
          <w:sz w:val="22"/>
        </w:rPr>
        <w:t xml:space="preserve">      status           RevRecScheduleStatus  @default(PLANNED)</w:t>
      </w:r>
    </w:p>
    <w:p>
      <w:pPr>
        <w:spacing w:before="40" w:after="80" w:line="276" w:lineRule="auto"/>
      </w:pPr>
      <w:r>
        <w:rPr>
          <w:rFonts w:ascii="Calibri" w:hAnsi="Calibri"/>
          <w:color w:val="24292E"/>
          <w:sz w:val="22"/>
        </w:rPr>
        <w:t xml:space="preserve">      allocatedDpp     Decimal               @db.Decimal(15, 2)</w:t>
      </w:r>
    </w:p>
    <w:p>
      <w:pPr>
        <w:spacing w:before="40" w:after="80" w:line="276" w:lineRule="auto"/>
      </w:pPr>
      <w:r>
        <w:rPr>
          <w:rFonts w:ascii="Calibri" w:hAnsi="Calibri"/>
          <w:color w:val="24292E"/>
          <w:sz w:val="22"/>
        </w:rPr>
        <w:t xml:space="preserve">      percentage       Decimal               @db.Decimal(5, 2)</w:t>
      </w:r>
    </w:p>
    <w:p>
      <w:pPr>
        <w:spacing w:before="40" w:after="80" w:line="276" w:lineRule="auto"/>
      </w:pPr>
      <w:r>
        <w:rPr>
          <w:rFonts w:ascii="Calibri" w:hAnsi="Calibri"/>
          <w:color w:val="24292E"/>
          <w:sz w:val="22"/>
        </w:rPr>
        <w:t xml:space="preserve">      currencySnapshot String                @default("IDR")</w:t>
      </w:r>
    </w:p>
    <w:p>
      <w:pPr>
        <w:spacing w:before="40" w:after="80" w:line="276" w:lineRule="auto"/>
      </w:pPr>
      <w:r>
        <w:rPr>
          <w:rFonts w:ascii="Calibri" w:hAnsi="Calibri"/>
          <w:color w:val="24292E"/>
          <w:sz w:val="22"/>
        </w:rPr>
        <w:t xml:space="preserve">      plannedDate      DateTime</w:t>
      </w:r>
    </w:p>
    <w:p>
      <w:pPr>
        <w:spacing w:before="40" w:after="80" w:line="276" w:lineRule="auto"/>
      </w:pPr>
      <w:r>
        <w:rPr>
          <w:rFonts w:ascii="Calibri" w:hAnsi="Calibri"/>
          <w:color w:val="24292E"/>
          <w:sz w:val="22"/>
        </w:rPr>
        <w:t xml:space="preserve">      currentRevision  Int                   @default(1)</w:t>
      </w:r>
    </w:p>
    <w:p>
      <w:pPr>
        <w:spacing w:before="40" w:after="80" w:line="276" w:lineRule="auto"/>
      </w:pPr>
      <w:r>
        <w:rPr>
          <w:rFonts w:ascii="Calibri" w:hAnsi="Calibri"/>
          <w:color w:val="24292E"/>
          <w:sz w:val="22"/>
        </w:rPr>
        <w:t xml:space="preserve">      isInferredLegacy Boolean               @default(false)</w:t>
      </w:r>
    </w:p>
    <w:p>
      <w:pPr>
        <w:spacing w:before="40" w:after="80" w:line="276" w:lineRule="auto"/>
      </w:pPr>
      <w:r>
        <w:rPr>
          <w:rFonts w:ascii="Calibri" w:hAnsi="Calibri"/>
          <w:color w:val="24292E"/>
          <w:sz w:val="22"/>
        </w:rPr>
        <w:t xml:space="preserve">      createdById      String</w:t>
      </w:r>
    </w:p>
    <w:p>
      <w:pPr>
        <w:spacing w:before="40" w:after="80" w:line="276" w:lineRule="auto"/>
      </w:pPr>
      <w:r>
        <w:rPr>
          <w:rFonts w:ascii="Calibri" w:hAnsi="Calibri"/>
          <w:color w:val="24292E"/>
          <w:sz w:val="22"/>
        </w:rPr>
        <w:t xml:space="preserve">      createdBy        User                  @relation("RevRecScheduleCreator", fields: [createdById], references: [id])</w:t>
      </w:r>
    </w:p>
    <w:p>
      <w:pPr>
        <w:spacing w:before="40" w:after="80" w:line="276" w:lineRule="auto"/>
      </w:pPr>
      <w:r>
        <w:rPr>
          <w:rFonts w:ascii="Calibri" w:hAnsi="Calibri"/>
          <w:color w:val="24292E"/>
          <w:sz w:val="22"/>
        </w:rPr>
        <w:t xml:space="preserve">      approvedById     String?</w:t>
      </w:r>
    </w:p>
    <w:p>
      <w:pPr>
        <w:spacing w:before="40" w:after="80" w:line="276" w:lineRule="auto"/>
      </w:pPr>
      <w:r>
        <w:rPr>
          <w:rFonts w:ascii="Calibri" w:hAnsi="Calibri"/>
          <w:color w:val="24292E"/>
          <w:sz w:val="22"/>
        </w:rPr>
        <w:t xml:space="preserve">      approvedBy       User?                 @relation("RevRecScheduleApprover", fields: [approvedById], references: [id])</w:t>
      </w:r>
    </w:p>
    <w:p>
      <w:pPr>
        <w:spacing w:before="40" w:after="80" w:line="276" w:lineRule="auto"/>
      </w:pPr>
      <w:r>
        <w:rPr>
          <w:rFonts w:ascii="Calibri" w:hAnsi="Calibri"/>
          <w:color w:val="24292E"/>
          <w:sz w:val="22"/>
        </w:rPr>
        <w:t xml:space="preserve">      approvedAt       DateTime?</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updatedAt        DateTime              @updatedAt</w:t>
      </w:r>
    </w:p>
    <w:p>
      <w:pPr>
        <w:spacing w:before="40" w:after="80" w:line="276" w:lineRule="auto"/>
      </w:pPr>
      <w:r>
        <w:rPr>
          <w:rFonts w:ascii="Calibri" w:hAnsi="Calibri"/>
          <w:color w:val="24292E"/>
          <w:sz w:val="22"/>
        </w:rPr>
        <w:t xml:space="preserve">      evidenceRecords  RevenueRecognitionEvidence[]</w:t>
      </w:r>
    </w:p>
    <w:p>
      <w:pPr>
        <w:spacing w:before="40" w:after="80" w:line="276" w:lineRule="auto"/>
      </w:pPr>
      <w:r>
        <w:rPr>
          <w:rFonts w:ascii="Calibri" w:hAnsi="Calibri"/>
          <w:color w:val="24292E"/>
          <w:sz w:val="22"/>
        </w:rPr>
        <w:t xml:space="preserve">      ledgerEntries    RevenueRecognitionEntry[]</w:t>
      </w:r>
    </w:p>
    <w:p>
      <w:pPr>
        <w:spacing w:before="40" w:after="80" w:line="276" w:lineRule="auto"/>
      </w:pPr>
      <w:r>
        <w:rPr>
          <w:rFonts w:ascii="Calibri" w:hAnsi="Calibri"/>
          <w:color w:val="24292E"/>
          <w:sz w:val="22"/>
        </w:rPr>
        <w:t xml:space="preserve">      @@index([projectId, status])</w:t>
      </w:r>
    </w:p>
    <w:p>
      <w:pPr>
        <w:spacing w:before="40" w:after="80" w:line="276" w:lineRule="auto"/>
      </w:pPr>
      <w:r>
        <w:rPr>
          <w:rFonts w:ascii="Calibri" w:hAnsi="Calibri"/>
          <w:color w:val="24292E"/>
          <w:sz w:val="22"/>
        </w:rPr>
        <w:t xml:space="preserve">      @@index([plannedDate])</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RevenueRecognitionEvidence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scheduleId    String</w:t>
      </w:r>
    </w:p>
    <w:p>
      <w:pPr>
        <w:spacing w:before="40" w:after="80" w:line="276" w:lineRule="auto"/>
      </w:pPr>
      <w:r>
        <w:rPr>
          <w:rFonts w:ascii="Calibri" w:hAnsi="Calibri"/>
          <w:color w:val="24292E"/>
          <w:sz w:val="22"/>
        </w:rPr>
        <w:t xml:space="preserve">      schedule      RevenueRecognitionSchedule @relation(fields: [scheduleId], references: [id], onDelete: Cascade)</w:t>
      </w:r>
    </w:p>
    <w:p>
      <w:pPr>
        <w:spacing w:before="40" w:after="80" w:line="276" w:lineRule="auto"/>
      </w:pPr>
      <w:r>
        <w:rPr>
          <w:rFonts w:ascii="Calibri" w:hAnsi="Calibri"/>
          <w:color w:val="24292E"/>
          <w:sz w:val="22"/>
        </w:rPr>
        <w:t xml:space="preserve">      documentId    String?</w:t>
      </w:r>
    </w:p>
    <w:p>
      <w:pPr>
        <w:spacing w:before="40" w:after="80" w:line="276" w:lineRule="auto"/>
      </w:pPr>
      <w:r>
        <w:rPr>
          <w:rFonts w:ascii="Calibri" w:hAnsi="Calibri"/>
          <w:color w:val="24292E"/>
          <w:sz w:val="22"/>
        </w:rPr>
        <w:t xml:space="preserve">      document      Document? @relation(fields: [documentId], references: [id], onDelete: SetNull)</w:t>
      </w:r>
    </w:p>
    <w:p>
      <w:pPr>
        <w:spacing w:before="40" w:after="80" w:line="276" w:lineRule="auto"/>
      </w:pPr>
      <w:r>
        <w:rPr>
          <w:rFonts w:ascii="Calibri" w:hAnsi="Calibri"/>
          <w:color w:val="24292E"/>
          <w:sz w:val="22"/>
        </w:rPr>
        <w:t xml:space="preserve">      evidenceType  String   // e.g. "BAST", "FINAL_REPORT", "ACCEPTANCE_EMAIL"</w:t>
      </w:r>
    </w:p>
    <w:p>
      <w:pPr>
        <w:spacing w:before="40" w:after="80" w:line="276" w:lineRule="auto"/>
      </w:pPr>
      <w:r>
        <w:rPr>
          <w:rFonts w:ascii="Calibri" w:hAnsi="Calibri"/>
          <w:color w:val="24292E"/>
          <w:sz w:val="22"/>
        </w:rPr>
        <w:t xml:space="preserve">      notes         String?  @db.Text</w:t>
      </w:r>
    </w:p>
    <w:p>
      <w:pPr>
        <w:spacing w:before="40" w:after="80" w:line="276" w:lineRule="auto"/>
      </w:pPr>
      <w:r>
        <w:rPr>
          <w:rFonts w:ascii="Calibri" w:hAnsi="Calibri"/>
          <w:color w:val="24292E"/>
          <w:sz w:val="22"/>
        </w:rPr>
        <w:t xml:space="preserve">      submittedById String</w:t>
      </w:r>
    </w:p>
    <w:p>
      <w:pPr>
        <w:spacing w:before="40" w:after="80" w:line="276" w:lineRule="auto"/>
      </w:pPr>
      <w:r>
        <w:rPr>
          <w:rFonts w:ascii="Calibri" w:hAnsi="Calibri"/>
          <w:color w:val="24292E"/>
          <w:sz w:val="22"/>
        </w:rPr>
        <w:t xml:space="preserve">      submittedBy   User     @relation(fields: [submittedById], references: [id])</w:t>
      </w:r>
    </w:p>
    <w:p>
      <w:pPr>
        <w:spacing w:before="40" w:after="80" w:line="276" w:lineRule="auto"/>
      </w:pPr>
      <w:r>
        <w:rPr>
          <w:rFonts w:ascii="Calibri" w:hAnsi="Calibri"/>
          <w:color w:val="24292E"/>
          <w:sz w:val="22"/>
        </w:rPr>
        <w:t xml:space="preserve">      submittedAt   DateTime @default(now())</w:t>
      </w:r>
    </w:p>
    <w:p>
      <w:pPr>
        <w:spacing w:before="40" w:after="80" w:line="276" w:lineRule="auto"/>
      </w:pPr>
      <w:r>
        <w:rPr>
          <w:rFonts w:ascii="Calibri" w:hAnsi="Calibri"/>
          <w:color w:val="24292E"/>
          <w:sz w:val="22"/>
        </w:rPr>
        <w:t xml:space="preserve">      @@index([scheduleId])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model RevenueRecognitionEntry {</w:t>
      </w:r>
    </w:p>
    <w:p>
      <w:pPr>
        <w:spacing w:before="40" w:after="80" w:line="276" w:lineRule="auto"/>
      </w:pPr>
      <w:r>
        <w:rPr>
          <w:rFonts w:ascii="Calibri" w:hAnsi="Calibri"/>
          <w:color w:val="24292E"/>
          <w:sz w:val="22"/>
        </w:rPr>
        <w:t xml:space="preserve">      id               String   @id @default(cuid())</w:t>
      </w:r>
    </w:p>
    <w:p>
      <w:pPr>
        <w:spacing w:before="40" w:after="80" w:line="276" w:lineRule="auto"/>
      </w:pPr>
      <w:r>
        <w:rPr>
          <w:rFonts w:ascii="Calibri" w:hAnsi="Calibri"/>
          <w:color w:val="24292E"/>
          <w:sz w:val="22"/>
        </w:rPr>
        <w:t xml:space="preserve">      scheduleId       String</w:t>
      </w:r>
    </w:p>
    <w:p>
      <w:pPr>
        <w:spacing w:before="40" w:after="80" w:line="276" w:lineRule="auto"/>
      </w:pPr>
      <w:r>
        <w:rPr>
          <w:rFonts w:ascii="Calibri" w:hAnsi="Calibri"/>
          <w:color w:val="24292E"/>
          <w:sz w:val="22"/>
        </w:rPr>
        <w:t xml:space="preserve">      schedule         RevenueRecognitionSchedule @relation(fields: [scheduleId], references: [id], onDelete: Cascade)</w:t>
      </w:r>
    </w:p>
    <w:p>
      <w:pPr>
        <w:spacing w:before="40" w:after="80" w:line="276" w:lineRule="auto"/>
      </w:pPr>
      <w:r>
        <w:rPr>
          <w:rFonts w:ascii="Calibri" w:hAnsi="Calibri"/>
          <w:color w:val="24292E"/>
          <w:sz w:val="22"/>
        </w:rPr>
        <w:t xml:space="preserve">      accountingPeriod String   // Format: YYYY-MM</w:t>
      </w:r>
    </w:p>
    <w:p>
      <w:pPr>
        <w:spacing w:before="40" w:after="80" w:line="276" w:lineRule="auto"/>
      </w:pPr>
      <w:r>
        <w:rPr>
          <w:rFonts w:ascii="Calibri" w:hAnsi="Calibri"/>
          <w:color w:val="24292E"/>
          <w:sz w:val="22"/>
        </w:rPr>
        <w:t xml:space="preserve">      recognizedDpp    Decimal  @db.Decimal(15, 2)</w:t>
      </w:r>
    </w:p>
    <w:p>
      <w:pPr>
        <w:spacing w:before="40" w:after="80" w:line="276" w:lineRule="auto"/>
      </w:pPr>
      <w:r>
        <w:rPr>
          <w:rFonts w:ascii="Calibri" w:hAnsi="Calibri"/>
          <w:color w:val="24292E"/>
          <w:sz w:val="22"/>
        </w:rPr>
        <w:t xml:space="preserve">      debitAccount     String   // e.g. "1200 - Unbilled Receivables"</w:t>
      </w:r>
    </w:p>
    <w:p>
      <w:pPr>
        <w:spacing w:before="40" w:after="80" w:line="276" w:lineRule="auto"/>
      </w:pPr>
      <w:r>
        <w:rPr>
          <w:rFonts w:ascii="Calibri" w:hAnsi="Calibri"/>
          <w:color w:val="24292E"/>
          <w:sz w:val="22"/>
        </w:rPr>
        <w:t xml:space="preserve">      creditAccount    String   // e.g. "4000 - Professional Fee Revenue"</w:t>
      </w:r>
    </w:p>
    <w:p>
      <w:pPr>
        <w:spacing w:before="40" w:after="80" w:line="276" w:lineRule="auto"/>
      </w:pPr>
      <w:r>
        <w:rPr>
          <w:rFonts w:ascii="Calibri" w:hAnsi="Calibri"/>
          <w:color w:val="24292E"/>
          <w:sz w:val="22"/>
        </w:rPr>
        <w:t xml:space="preserve">      idempotencyKey   String   @unique</w:t>
      </w:r>
    </w:p>
    <w:p>
      <w:pPr>
        <w:spacing w:before="40" w:after="80" w:line="276" w:lineRule="auto"/>
      </w:pPr>
      <w:r>
        <w:rPr>
          <w:rFonts w:ascii="Calibri" w:hAnsi="Calibri"/>
          <w:color w:val="24292E"/>
          <w:sz w:val="22"/>
        </w:rPr>
        <w:t xml:space="preserve">      reversalOfId     String?  @unique</w:t>
      </w:r>
    </w:p>
    <w:p>
      <w:pPr>
        <w:spacing w:before="40" w:after="80" w:line="276" w:lineRule="auto"/>
      </w:pPr>
      <w:r>
        <w:rPr>
          <w:rFonts w:ascii="Calibri" w:hAnsi="Calibri"/>
          <w:color w:val="24292E"/>
          <w:sz w:val="22"/>
        </w:rPr>
        <w:t xml:space="preserve">      reversalOf       RevenueRecognitionEntry?  @relation("EntryReversal", fields: [reversalOfId], references: [id])</w:t>
      </w:r>
    </w:p>
    <w:p>
      <w:pPr>
        <w:spacing w:before="40" w:after="80" w:line="276" w:lineRule="auto"/>
      </w:pPr>
      <w:r>
        <w:rPr>
          <w:rFonts w:ascii="Calibri" w:hAnsi="Calibri"/>
          <w:color w:val="24292E"/>
          <w:sz w:val="22"/>
        </w:rPr>
        <w:t xml:space="preserve">      replacedBy       RevenueRecognitionEntry?  @relation("EntryReversal")</w:t>
      </w:r>
    </w:p>
    <w:p>
      <w:pPr>
        <w:spacing w:before="40" w:after="80" w:line="276" w:lineRule="auto"/>
      </w:pPr>
      <w:r>
        <w:rPr>
          <w:rFonts w:ascii="Calibri" w:hAnsi="Calibri"/>
          <w:color w:val="24292E"/>
          <w:sz w:val="22"/>
        </w:rPr>
        <w:t xml:space="preserve">      createdById      String</w:t>
      </w:r>
    </w:p>
    <w:p>
      <w:pPr>
        <w:spacing w:before="40" w:after="80" w:line="276" w:lineRule="auto"/>
      </w:pPr>
      <w:r>
        <w:rPr>
          <w:rFonts w:ascii="Calibri" w:hAnsi="Calibri"/>
          <w:color w:val="24292E"/>
          <w:sz w:val="22"/>
        </w:rPr>
        <w:t xml:space="preserve">      createdAt        DateTime @default(now())</w:t>
      </w:r>
    </w:p>
    <w:p>
      <w:pPr>
        <w:spacing w:before="40" w:after="80" w:line="276" w:lineRule="auto"/>
      </w:pPr>
      <w:r>
        <w:rPr>
          <w:rFonts w:ascii="Calibri" w:hAnsi="Calibri"/>
          <w:color w:val="24292E"/>
          <w:sz w:val="22"/>
        </w:rPr>
        <w:t xml:space="preserve">      @@index([accountingPeriod])</w:t>
      </w:r>
    </w:p>
    <w:p>
      <w:pPr>
        <w:spacing w:before="40" w:after="80" w:line="276" w:lineRule="auto"/>
      </w:pPr>
      <w:r>
        <w:rPr>
          <w:rFonts w:ascii="Calibri" w:hAnsi="Calibri"/>
          <w:color w:val="24292E"/>
          <w:sz w:val="22"/>
        </w:rPr>
        <w:t xml:space="preserve">      @@index([scheduleId])</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00" w:after="80"/>
      </w:pPr>
      <w:r>
        <w:rPr>
          <w:rFonts w:ascii="Calibri" w:hAnsi="Calibri"/>
          <w:b/>
          <w:color w:val="1F4E79"/>
          <w:sz w:val="26"/>
        </w:rPr>
        <w:t>🛡️ Category 12: Project Activation Data Integrity Hard-Gate (</w:t>
      </w:r>
      <w:r>
        <w:rPr>
          <w:rFonts w:ascii="Consolas" w:hAnsi="Consolas"/>
          <w:color w:val="032F62"/>
          <w:sz w:val="25"/>
        </w:rPr>
        <w:t>DEMO-14</w:t>
      </w:r>
      <w:r>
        <w:rPr>
          <w:rFonts w:ascii="Calibri" w:hAnsi="Calibri"/>
          <w:color w:val="1F4E79"/>
          <w:sz w:val="26"/>
        </w:rPr>
        <w:t>)</w:t>
      </w:r>
    </w:p>
    <w:p>
      <w:pPr>
        <w:spacing w:before="120" w:after="120"/>
        <w:pBdr>
          <w:bottom w:val="single" w:sz="6" w:space="1" w:color="E1E4E8"/>
        </w:pBdr>
      </w:pPr>
    </w:p>
    <w:p>
      <w:pPr>
        <w:keepNext/>
        <w:spacing w:before="160" w:after="40"/>
      </w:pPr>
      <w:r>
        <w:rPr>
          <w:rFonts w:ascii="Calibri" w:hAnsi="Calibri"/>
          <w:b/>
          <w:color w:val="262626"/>
          <w:sz w:val="23"/>
        </w:rPr>
        <w:t>Question 27: Unified Readiness Evaluator &amp; Effective-State Validation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DEMO-14 merupakan gate baru dan bagaimana validasi data yang sedang di-PATCH ditangani?"</w:t>
      </w:r>
    </w:p>
    <w:p>
      <w:pPr>
        <w:pStyle w:val="ListBullet"/>
        <w:spacing w:before="20" w:after="40"/>
        <w:ind w:left="360"/>
      </w:pPr>
      <w:r>
        <w:rPr>
          <w:rFonts w:ascii="Calibri" w:hAnsi="Calibri"/>
          <w:b/>
          <w:color w:val="24292E"/>
          <w:sz w:val="21"/>
        </w:rPr>
        <w:t>English Translation</w:t>
      </w:r>
      <w:r>
        <w:rPr>
          <w:rFonts w:ascii="Calibri" w:hAnsi="Calibri"/>
          <w:color w:val="24292E"/>
          <w:sz w:val="21"/>
        </w:rPr>
        <w:t>: "Is DEMO-14 a new gate, and how is validation of data being updated in a PATCH handled?"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SecureProfitHub already has an activation check. DEMO-14 refactors and strengthens it into one shared engine. It validates the "effective state"—merging what is currently saved in the database with what the user is submitting in the current request. This lets users fix missing fields and activate the project in a single click without validation drift.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14.1</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Refactor the existing activation gate</w:t>
      </w:r>
      <w:r>
        <w:rPr>
          <w:rFonts w:ascii="Calibri" w:hAnsi="Calibri"/>
          <w:color w:val="24292E"/>
          <w:sz w:val="22"/>
        </w:rPr>
        <w:t xml:space="preserve"> into a single shared readiness evaluator (</w:t>
      </w:r>
      <w:r>
        <w:rPr>
          <w:rFonts w:ascii="Consolas" w:hAnsi="Consolas"/>
          <w:color w:val="032F62"/>
          <w:sz w:val="21"/>
        </w:rPr>
        <w:t>lib/projectValidators.ts</w:t>
      </w:r>
      <w:r>
        <w:rPr>
          <w:rFonts w:ascii="Calibri" w:hAnsi="Calibri"/>
          <w:color w:val="24292E"/>
          <w:sz w:val="22"/>
        </w:rPr>
        <w:t xml:space="preserve">) consumed identically by </w:t>
      </w:r>
      <w:r>
        <w:rPr>
          <w:rFonts w:ascii="Consolas" w:hAnsi="Consolas"/>
          <w:color w:val="032F62"/>
          <w:sz w:val="21"/>
        </w:rPr>
        <w:t>GET /api/projects/:id/activation-readiness</w:t>
      </w:r>
      <w:r>
        <w:rPr>
          <w:rFonts w:ascii="Calibri" w:hAnsi="Calibri"/>
          <w:color w:val="24292E"/>
          <w:sz w:val="22"/>
        </w:rPr>
        <w:t xml:space="preserve">, </w:t>
      </w:r>
      <w:r>
        <w:rPr>
          <w:rFonts w:ascii="Consolas" w:hAnsi="Consolas"/>
          <w:color w:val="032F62"/>
          <w:sz w:val="21"/>
        </w:rPr>
        <w:t>PATCH /api/projects/:id</w:t>
      </w:r>
      <w:r>
        <w:rPr>
          <w:rFonts w:ascii="Calibri" w:hAnsi="Calibri"/>
          <w:color w:val="24292E"/>
          <w:sz w:val="22"/>
        </w:rPr>
        <w:t xml:space="preserve"> (</w:t>
      </w:r>
      <w:r>
        <w:rPr>
          <w:rFonts w:ascii="Consolas" w:hAnsi="Consolas"/>
          <w:color w:val="032F62"/>
          <w:sz w:val="21"/>
        </w:rPr>
        <w:t>status: ACTIVE</w:t>
      </w:r>
      <w:r>
        <w:rPr>
          <w:rFonts w:ascii="Calibri" w:hAnsi="Calibri"/>
          <w:color w:val="24292E"/>
          <w:sz w:val="22"/>
        </w:rPr>
        <w:t xml:space="preserve">), UI checklists, tests, and reconciliation tools.  </w:t>
      </w:r>
    </w:p>
    <w:p>
      <w:pPr>
        <w:spacing w:before="40" w:after="80" w:line="276" w:lineRule="auto"/>
      </w:pPr>
      <w:r>
        <w:rPr>
          <w:rFonts w:ascii="Calibri" w:hAnsi="Calibri"/>
          <w:color w:val="24292E"/>
          <w:sz w:val="22"/>
        </w:rPr>
        <w:t xml:space="preserve">  &gt; - </w:t>
      </w:r>
      <w:r>
        <w:rPr>
          <w:rFonts w:ascii="Calibri" w:hAnsi="Calibri"/>
          <w:b/>
          <w:color w:val="24292E"/>
          <w:sz w:val="22"/>
        </w:rPr>
        <w:t>Implementation Status</w:t>
      </w:r>
      <w:r>
        <w:rPr>
          <w:rFonts w:ascii="Calibri" w:hAnsi="Calibri"/>
          <w:color w:val="24292E"/>
          <w:sz w:val="22"/>
        </w:rPr>
        <w:t xml:space="preserve">: </w:t>
      </w:r>
      <w:r>
        <w:rPr>
          <w:rFonts w:ascii="Consolas" w:hAnsi="Consolas"/>
          <w:color w:val="032F62"/>
          <w:sz w:val="21"/>
        </w:rPr>
        <w:t>PARTIALLY IMPLEMENTED — SHARED EVALUATOR, HTTP 422, AND ATOMICITY NOT IMPLEMENTED</w:t>
      </w:r>
      <w:r>
        <w:rPr>
          <w:rFonts w:ascii="Calibri" w:hAnsi="Calibri"/>
          <w:color w:val="24292E"/>
          <w:sz w:val="22"/>
        </w:rPr>
        <w:t xml:space="preserve">.  </w:t>
      </w:r>
    </w:p>
    <w:p>
      <w:pPr>
        <w:spacing w:before="40" w:after="80" w:line="276" w:lineRule="auto"/>
      </w:pPr>
      <w:r>
        <w:rPr>
          <w:rFonts w:ascii="Calibri" w:hAnsi="Calibri"/>
          <w:color w:val="24292E"/>
          <w:sz w:val="22"/>
        </w:rPr>
        <w:t xml:space="preserve">  &gt; - </w:t>
      </w:r>
      <w:r>
        <w:rPr>
          <w:rFonts w:ascii="Calibri" w:hAnsi="Calibri"/>
          <w:b/>
          <w:color w:val="24292E"/>
          <w:sz w:val="22"/>
        </w:rPr>
        <w:t>Current Verification Baseline Reality (`aa3425a`)</w:t>
      </w:r>
      <w:r>
        <w:rPr>
          <w:rFonts w:ascii="Calibri" w:hAnsi="Calibri"/>
          <w:color w:val="24292E"/>
          <w:sz w:val="22"/>
        </w:rPr>
        <w:t xml:space="preserve">: The existing route </w:t>
      </w:r>
      <w:r>
        <w:rPr>
          <w:rFonts w:ascii="Consolas" w:hAnsi="Consolas"/>
          <w:color w:val="032F62"/>
          <w:sz w:val="21"/>
        </w:rPr>
        <w:t>routes/projects.ts</w:t>
      </w:r>
      <w:r>
        <w:rPr>
          <w:rFonts w:ascii="Calibri" w:hAnsi="Calibri"/>
          <w:color w:val="24292E"/>
          <w:sz w:val="22"/>
        </w:rPr>
        <w:t xml:space="preserve"> executes basic activation validation, but currently returns </w:t>
      </w:r>
      <w:r>
        <w:rPr>
          <w:rFonts w:ascii="Consolas" w:hAnsi="Consolas"/>
          <w:color w:val="032F62"/>
          <w:sz w:val="21"/>
        </w:rPr>
        <w:t>HTTP 400 Bad Request</w:t>
      </w:r>
      <w:r>
        <w:rPr>
          <w:rFonts w:ascii="Calibri" w:hAnsi="Calibri"/>
          <w:color w:val="24292E"/>
          <w:sz w:val="22"/>
        </w:rPr>
        <w:t xml:space="preserve"> with code </w:t>
      </w:r>
      <w:r>
        <w:rPr>
          <w:rFonts w:ascii="Consolas" w:hAnsi="Consolas"/>
          <w:color w:val="032F62"/>
          <w:sz w:val="21"/>
        </w:rPr>
        <w:t>ACTIVATION_REQUIREMENTS_INCOMPLETE</w:t>
      </w:r>
      <w:r>
        <w:rPr>
          <w:rFonts w:ascii="Calibri" w:hAnsi="Calibri"/>
          <w:color w:val="24292E"/>
          <w:sz w:val="22"/>
        </w:rPr>
        <w:t xml:space="preserve"> and a scalar </w:t>
      </w:r>
      <w:r>
        <w:rPr>
          <w:rFonts w:ascii="Consolas" w:hAnsi="Consolas"/>
          <w:color w:val="032F62"/>
          <w:sz w:val="21"/>
        </w:rPr>
        <w:t>missing: string[]</w:t>
      </w:r>
      <w:r>
        <w:rPr>
          <w:rFonts w:ascii="Calibri" w:hAnsi="Calibri"/>
          <w:color w:val="24292E"/>
          <w:sz w:val="22"/>
        </w:rPr>
        <w:t xml:space="preserve"> array. The standalone </w:t>
      </w:r>
      <w:r>
        <w:rPr>
          <w:rFonts w:ascii="Consolas" w:hAnsi="Consolas"/>
          <w:color w:val="032F62"/>
          <w:sz w:val="21"/>
        </w:rPr>
        <w:t>GET /activation-readiness</w:t>
      </w:r>
      <w:r>
        <w:rPr>
          <w:rFonts w:ascii="Calibri" w:hAnsi="Calibri"/>
          <w:color w:val="24292E"/>
          <w:sz w:val="22"/>
        </w:rPr>
        <w:t xml:space="preserve"> endpoint, structured invariant </w:t>
      </w:r>
      <w:r>
        <w:rPr>
          <w:rFonts w:ascii="Consolas" w:hAnsi="Consolas"/>
          <w:color w:val="032F62"/>
          <w:sz w:val="21"/>
        </w:rPr>
        <w:t>checklist</w:t>
      </w:r>
      <w:r>
        <w:rPr>
          <w:rFonts w:ascii="Calibri" w:hAnsi="Calibri"/>
          <w:color w:val="24292E"/>
          <w:sz w:val="22"/>
        </w:rPr>
        <w:t xml:space="preserve">, </w:t>
      </w:r>
      <w:r>
        <w:rPr>
          <w:rFonts w:ascii="Consolas" w:hAnsi="Consolas"/>
          <w:color w:val="032F62"/>
          <w:sz w:val="21"/>
        </w:rPr>
        <w:t>HTTP 422 ACTIVATION_GATE_VIOLATION</w:t>
      </w:r>
      <w:r>
        <w:rPr>
          <w:rFonts w:ascii="Calibri" w:hAnsi="Calibri"/>
          <w:color w:val="24292E"/>
          <w:sz w:val="22"/>
        </w:rPr>
        <w:t xml:space="preserve">, and atomic transaction do not yet exist in code. </w:t>
      </w:r>
      <w:r>
        <w:rPr>
          <w:rFonts w:ascii="Calibri" w:hAnsi="Calibri"/>
          <w:i/>
          <w:color w:val="24292E"/>
          <w:sz w:val="22"/>
        </w:rPr>
        <w:t>(Source: SPH-14-FSD-v1.01 Review - Item #4)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14.2</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The readiness evaluator MUST validate the </w:t>
      </w:r>
      <w:r>
        <w:rPr>
          <w:rFonts w:ascii="Calibri" w:hAnsi="Calibri"/>
          <w:b/>
          <w:color w:val="24292E"/>
          <w:sz w:val="22"/>
        </w:rPr>
        <w:t>Effective State</w:t>
      </w:r>
      <w:r>
        <w:rPr>
          <w:rFonts w:ascii="Calibri" w:hAnsi="Calibri"/>
          <w:color w:val="24292E"/>
          <w:sz w:val="22"/>
        </w:rPr>
        <w:t xml:space="preserve"> by merging persisted database records with proposed request body values (</w:t>
      </w:r>
      <w:r>
        <w:rPr>
          <w:rFonts w:ascii="Consolas" w:hAnsi="Consolas"/>
          <w:color w:val="032F62"/>
          <w:sz w:val="21"/>
        </w:rPr>
        <w:t>const effectiveState = { ...dbRecord, ...patchBody }</w:t>
      </w:r>
      <w:r>
        <w:rPr>
          <w:rFonts w:ascii="Calibri" w:hAnsi="Calibri"/>
          <w:color w:val="24292E"/>
          <w:sz w:val="22"/>
        </w:rPr>
        <w:t xml:space="preserve">). </w:t>
      </w:r>
      <w:r>
        <w:rPr>
          <w:rFonts w:ascii="Calibri" w:hAnsi="Calibri"/>
          <w:i/>
          <w:color w:val="24292E"/>
          <w:sz w:val="22"/>
        </w:rPr>
        <w:t>(Source: SPH-DEMO-13-14-Baseline-Rekomendasi-dan-Klarifikasi-ID.docx - Decision 14.2)</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Having separate evaluators for preview and enforcement causes code drift. Validating effective state allows a single PATCH request to supply missing data and activate the project atomically, without forcing awkward sequential calls.</w:t>
      </w:r>
    </w:p>
    <w:p>
      <w:pPr>
        <w:pStyle w:val="ListBullet"/>
        <w:spacing w:before="20" w:after="40"/>
        <w:ind w:left="360"/>
      </w:pPr>
      <w:r>
        <w:rPr>
          <w:rFonts w:ascii="Calibri" w:hAnsi="Calibri"/>
          <w:b/>
          <w:color w:val="24292E"/>
          <w:sz w:val="21"/>
        </w:rPr>
        <w:t>Operational Ambiguity &amp; Resolved Edge Case</w:t>
      </w:r>
      <w:r>
        <w:rPr>
          <w:rFonts w:ascii="Calibri" w:hAnsi="Calibri"/>
          <w:color w:val="24292E"/>
          <w:sz w:val="21"/>
        </w:rPr>
        <w:t>:</w:t>
      </w:r>
    </w:p>
    <w:p>
      <w:pPr>
        <w:pStyle w:val="ListBullet"/>
        <w:spacing w:before="20" w:after="40"/>
        <w:ind w:left="720"/>
      </w:pPr>
      <w:r>
        <w:rPr>
          <w:rFonts w:ascii="Calibri" w:hAnsi="Calibri"/>
          <w:i/>
          <w:color w:val="24292E"/>
          <w:sz w:val="21"/>
        </w:rPr>
        <w:t>Ambiguity</w:t>
      </w:r>
      <w:r>
        <w:rPr>
          <w:rFonts w:ascii="Calibri" w:hAnsi="Calibri"/>
          <w:color w:val="24292E"/>
          <w:sz w:val="21"/>
        </w:rPr>
        <w:t xml:space="preserve">: Will a PATCH call that supplies the final missing field (e.g. </w:t>
      </w:r>
      <w:r>
        <w:rPr>
          <w:rFonts w:ascii="Consolas" w:hAnsi="Consolas"/>
          <w:color w:val="032F62"/>
          <w:sz w:val="20"/>
        </w:rPr>
        <w:t>plannedMandays: 10</w:t>
      </w:r>
      <w:r>
        <w:rPr>
          <w:rFonts w:ascii="Calibri" w:hAnsi="Calibri"/>
          <w:color w:val="24292E"/>
          <w:sz w:val="21"/>
        </w:rPr>
        <w:t xml:space="preserve">) along with </w:t>
      </w:r>
      <w:r>
        <w:rPr>
          <w:rFonts w:ascii="Consolas" w:hAnsi="Consolas"/>
          <w:color w:val="032F62"/>
          <w:sz w:val="20"/>
        </w:rPr>
        <w:t>status: ACTIVE</w:t>
      </w:r>
      <w:r>
        <w:rPr>
          <w:rFonts w:ascii="Calibri" w:hAnsi="Calibri"/>
          <w:color w:val="24292E"/>
          <w:sz w:val="21"/>
        </w:rPr>
        <w:t xml:space="preserve"> be rejected because the database still has </w:t>
      </w:r>
      <w:r>
        <w:rPr>
          <w:rFonts w:ascii="Consolas" w:hAnsi="Consolas"/>
          <w:color w:val="032F62"/>
          <w:sz w:val="20"/>
        </w:rPr>
        <w:t>0</w:t>
      </w:r>
      <w:r>
        <w:rPr>
          <w:rFonts w:ascii="Calibri" w:hAnsi="Calibri"/>
          <w:color w:val="24292E"/>
          <w:sz w:val="21"/>
        </w:rPr>
        <w:t>?</w:t>
      </w:r>
    </w:p>
    <w:p>
      <w:pPr>
        <w:pStyle w:val="ListBullet"/>
        <w:spacing w:before="20" w:after="40"/>
        <w:ind w:left="720"/>
      </w:pPr>
      <w:r>
        <w:rPr>
          <w:rFonts w:ascii="Calibri" w:hAnsi="Calibri"/>
          <w:i/>
          <w:color w:val="24292E"/>
          <w:sz w:val="21"/>
        </w:rPr>
        <w:t>Resolved Policy</w:t>
      </w:r>
      <w:r>
        <w:rPr>
          <w:rFonts w:ascii="Calibri" w:hAnsi="Calibri"/>
          <w:color w:val="24292E"/>
          <w:sz w:val="21"/>
        </w:rPr>
        <w:t xml:space="preserve">: </w:t>
      </w:r>
      <w:r>
        <w:rPr>
          <w:rFonts w:ascii="Calibri" w:hAnsi="Calibri"/>
          <w:b/>
          <w:color w:val="24292E"/>
          <w:sz w:val="21"/>
        </w:rPr>
        <w:t>No.</w:t>
      </w:r>
      <w:r>
        <w:rPr>
          <w:rFonts w:ascii="Calibri" w:hAnsi="Calibri"/>
          <w:color w:val="24292E"/>
          <w:sz w:val="21"/>
        </w:rPr>
        <w:t xml:space="preserve"> Effective-state evaluation evaluates the merged payload, confirming the incoming </w:t>
      </w:r>
      <w:r>
        <w:rPr>
          <w:rFonts w:ascii="Consolas" w:hAnsi="Consolas"/>
          <w:color w:val="032F62"/>
          <w:sz w:val="20"/>
        </w:rPr>
        <w:t>10</w:t>
      </w:r>
      <w:r>
        <w:rPr>
          <w:rFonts w:ascii="Calibri" w:hAnsi="Calibri"/>
          <w:color w:val="24292E"/>
          <w:sz w:val="21"/>
        </w:rPr>
        <w:t xml:space="preserve"> satisfies the invariant before committing.</w:t>
      </w:r>
    </w:p>
    <w:p>
      <w:pPr>
        <w:spacing w:before="120" w:after="120"/>
        <w:pBdr>
          <w:bottom w:val="single" w:sz="6" w:space="1" w:color="E1E4E8"/>
        </w:pBdr>
      </w:pPr>
    </w:p>
    <w:p>
      <w:pPr>
        <w:keepNext/>
        <w:spacing w:before="160" w:after="40"/>
      </w:pPr>
      <w:r>
        <w:rPr>
          <w:rFonts w:ascii="Calibri" w:hAnsi="Calibri"/>
          <w:b/>
          <w:color w:val="262626"/>
          <w:sz w:val="23"/>
        </w:rPr>
        <w:t>Question 28: Approved Commercial Snapshot vs. Duplicate Contract Lines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model ProjectContractLine baru perlu dibuat dan bagaimana pass-through product cost dicatat?"</w:t>
      </w:r>
    </w:p>
    <w:p>
      <w:pPr>
        <w:pStyle w:val="ListBullet"/>
        <w:spacing w:before="20" w:after="40"/>
        <w:ind w:left="360"/>
      </w:pPr>
      <w:r>
        <w:rPr>
          <w:rFonts w:ascii="Calibri" w:hAnsi="Calibri"/>
          <w:b/>
          <w:color w:val="24292E"/>
          <w:sz w:val="21"/>
        </w:rPr>
        <w:t>English Translation</w:t>
      </w:r>
      <w:r>
        <w:rPr>
          <w:rFonts w:ascii="Calibri" w:hAnsi="Calibri"/>
          <w:color w:val="24292E"/>
          <w:sz w:val="21"/>
        </w:rPr>
        <w:t>: "Does a new ProjectContractLine model need to be created, and how is pass-through product cost recorded?"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Do NOT create a separate contract line table. That would duplicate data. Instead, copy the lines from the approved CommercialBudgetRevision from DEMO-10 into the project upon Won conversion. All sales and costs must be positive numbers with classifications like service or product. You are never allowed to enter a negative expense to hide vendor software costs.</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14.3</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w:t>
      </w:r>
      <w:r>
        <w:rPr>
          <w:rFonts w:ascii="Calibri" w:hAnsi="Calibri"/>
          <w:b/>
          <w:color w:val="24292E"/>
          <w:sz w:val="22"/>
        </w:rPr>
        <w:t>Do NOT introduce a redundant `ProjectContractLine` model.</w:t>
      </w:r>
      <w:r>
        <w:rPr>
          <w:rFonts w:ascii="Calibri" w:hAnsi="Calibri"/>
          <w:color w:val="24292E"/>
          <w:sz w:val="22"/>
        </w:rPr>
        <w:t xml:space="preserve"> Contract lines originate from the approved </w:t>
      </w:r>
      <w:r>
        <w:rPr>
          <w:rFonts w:ascii="Consolas" w:hAnsi="Consolas"/>
          <w:color w:val="032F62"/>
          <w:sz w:val="21"/>
        </w:rPr>
        <w:t>CommercialBudgetRevision</w:t>
      </w:r>
      <w:r>
        <w:rPr>
          <w:rFonts w:ascii="Calibri" w:hAnsi="Calibri"/>
          <w:color w:val="24292E"/>
          <w:sz w:val="22"/>
        </w:rPr>
        <w:t xml:space="preserve"> (established in DEMO-02 and DEMO-10) and are copied as an immutable commercial snapshot upon Won deal conversion. Pass-through product costs MUST be represented using positive selling and cost amounts with explicit classification (</w:t>
      </w:r>
      <w:r>
        <w:rPr>
          <w:rFonts w:ascii="Consolas" w:hAnsi="Consolas"/>
          <w:color w:val="032F62"/>
          <w:sz w:val="21"/>
        </w:rPr>
        <w:t>PROFESSIONAL_SERVICE</w:t>
      </w:r>
      <w:r>
        <w:rPr>
          <w:rFonts w:ascii="Calibri" w:hAnsi="Calibri"/>
          <w:color w:val="24292E"/>
          <w:sz w:val="22"/>
        </w:rPr>
        <w:t xml:space="preserve">, </w:t>
      </w:r>
      <w:r>
        <w:rPr>
          <w:rFonts w:ascii="Consolas" w:hAnsi="Consolas"/>
          <w:color w:val="032F62"/>
          <w:sz w:val="21"/>
        </w:rPr>
        <w:t>PRODUCT_SOLUTION</w:t>
      </w:r>
      <w:r>
        <w:rPr>
          <w:rFonts w:ascii="Calibri" w:hAnsi="Calibri"/>
          <w:color w:val="24292E"/>
          <w:sz w:val="22"/>
        </w:rPr>
        <w:t xml:space="preserve">, </w:t>
      </w:r>
      <w:r>
        <w:rPr>
          <w:rFonts w:ascii="Consolas" w:hAnsi="Consolas"/>
          <w:color w:val="032F62"/>
          <w:sz w:val="21"/>
        </w:rPr>
        <w:t>MAINTENANCE_SUBSCRIPTION</w:t>
      </w:r>
      <w:r>
        <w:rPr>
          <w:rFonts w:ascii="Calibri" w:hAnsi="Calibri"/>
          <w:color w:val="24292E"/>
          <w:sz w:val="22"/>
        </w:rPr>
        <w:t xml:space="preserve">). Recording software costs as negative expense rows is strictly prohibited. </w:t>
      </w:r>
      <w:r>
        <w:rPr>
          <w:rFonts w:ascii="Calibri" w:hAnsi="Calibri"/>
          <w:i/>
          <w:color w:val="24292E"/>
          <w:sz w:val="22"/>
        </w:rPr>
        <w:t>(Source: SPH-DEMO-13-14-Baseline-Rekomendasi-dan-Klarifikasi-ID.docx - Decision 14.3)</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Eliminates conflicting sources of truth between sales intake, commercial budgeting, project baseline, and accounting. Negative expense rows severely distort gross margin and cost categorization.</w:t>
      </w:r>
    </w:p>
    <w:p>
      <w:pPr>
        <w:spacing w:before="120" w:after="120"/>
        <w:pBdr>
          <w:bottom w:val="single" w:sz="6" w:space="1" w:color="E1E4E8"/>
        </w:pBdr>
      </w:pPr>
    </w:p>
    <w:p>
      <w:pPr>
        <w:keepNext/>
        <w:spacing w:before="160" w:after="40"/>
      </w:pPr>
      <w:r>
        <w:rPr>
          <w:rFonts w:ascii="Calibri" w:hAnsi="Calibri"/>
          <w:b/>
          <w:color w:val="262626"/>
          <w:sz w:val="23"/>
        </w:rPr>
        <w:t>Question 29: Canonical Primary Business Unit &amp; Field Alignments</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"Bagaimana menentukan primary Business Unit pada Project dan bagaimana penyelarasan field/role aktual?"</w:t>
      </w:r>
    </w:p>
    <w:p>
      <w:pPr>
        <w:pStyle w:val="ListBullet"/>
        <w:spacing w:before="20" w:after="40"/>
        <w:ind w:left="360"/>
      </w:pPr>
      <w:r>
        <w:rPr>
          <w:rFonts w:ascii="Calibri" w:hAnsi="Calibri"/>
          <w:b/>
          <w:color w:val="24292E"/>
          <w:sz w:val="21"/>
        </w:rPr>
        <w:t>English Translation</w:t>
      </w:r>
      <w:r>
        <w:rPr>
          <w:rFonts w:ascii="Calibri" w:hAnsi="Calibri"/>
          <w:color w:val="24292E"/>
          <w:sz w:val="21"/>
        </w:rPr>
        <w:t>: "How is the primary Business Unit determined on a Project, and how are actual fields and roles aligned?"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xml:space="preserve">: The Project table does not have a businessUnitId column in the database right now. We must either add an explicit primary BU column on Project or derive it from the main workstream. Also, use the real code names: </w:t>
      </w:r>
      <w:r>
        <w:rPr>
          <w:rFonts w:ascii="Consolas" w:hAnsi="Consolas"/>
          <w:color w:val="032F62"/>
          <w:sz w:val="20"/>
        </w:rPr>
        <w:t>FINANCE</w:t>
      </w:r>
      <w:r>
        <w:rPr>
          <w:rFonts w:ascii="Calibri" w:hAnsi="Calibri"/>
          <w:color w:val="24292E"/>
          <w:sz w:val="21"/>
        </w:rPr>
        <w:t xml:space="preserve"> (not </w:t>
      </w:r>
      <w:r>
        <w:rPr>
          <w:rFonts w:ascii="Consolas" w:hAnsi="Consolas"/>
          <w:color w:val="032F62"/>
          <w:sz w:val="20"/>
        </w:rPr>
        <w:t>FINANCE_LEAD</w:t>
      </w:r>
      <w:r>
        <w:rPr>
          <w:rFonts w:ascii="Calibri" w:hAnsi="Calibri"/>
          <w:color w:val="24292E"/>
          <w:sz w:val="21"/>
        </w:rPr>
        <w:t xml:space="preserve">), </w:t>
      </w:r>
      <w:r>
        <w:rPr>
          <w:rFonts w:ascii="Consolas" w:hAnsi="Consolas"/>
          <w:color w:val="032F62"/>
          <w:sz w:val="20"/>
        </w:rPr>
        <w:t>PROJECT_MANAGER</w:t>
      </w:r>
      <w:r>
        <w:rPr>
          <w:rFonts w:ascii="Calibri" w:hAnsi="Calibri"/>
          <w:color w:val="24292E"/>
          <w:sz w:val="21"/>
        </w:rPr>
        <w:t xml:space="preserve"> (not </w:t>
      </w:r>
      <w:r>
        <w:rPr>
          <w:rFonts w:ascii="Consolas" w:hAnsi="Consolas"/>
          <w:color w:val="032F62"/>
          <w:sz w:val="20"/>
        </w:rPr>
        <w:t>DELIVERY_LEAD</w:t>
      </w:r>
      <w:r>
        <w:rPr>
          <w:rFonts w:ascii="Calibri" w:hAnsi="Calibri"/>
          <w:color w:val="24292E"/>
          <w:sz w:val="21"/>
        </w:rPr>
        <w:t xml:space="preserve">), and </w:t>
      </w:r>
      <w:r>
        <w:rPr>
          <w:rFonts w:ascii="Consolas" w:hAnsi="Consolas"/>
          <w:color w:val="032F62"/>
          <w:sz w:val="20"/>
        </w:rPr>
        <w:t>pmId</w:t>
      </w:r>
      <w:r>
        <w:rPr>
          <w:rFonts w:ascii="Calibri" w:hAnsi="Calibri"/>
          <w:color w:val="24292E"/>
          <w:sz w:val="21"/>
        </w:rPr>
        <w:t xml:space="preserve"> (not </w:t>
      </w:r>
      <w:r>
        <w:rPr>
          <w:rFonts w:ascii="Consolas" w:hAnsi="Consolas"/>
          <w:color w:val="032F62"/>
          <w:sz w:val="20"/>
        </w:rPr>
        <w:t>projectManagerId</w:t>
      </w:r>
      <w:r>
        <w:rPr>
          <w:rFonts w:ascii="Calibri" w:hAnsi="Calibri"/>
          <w:color w:val="24292E"/>
          <w:sz w:val="21"/>
        </w:rPr>
        <w:t>).</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14.4</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Establish an explicit, canonical source for the project primary Business Unit prior to activation enforcement—either by adding </w:t>
      </w:r>
      <w:r>
        <w:rPr>
          <w:rFonts w:ascii="Consolas" w:hAnsi="Consolas"/>
          <w:color w:val="032F62"/>
          <w:sz w:val="21"/>
        </w:rPr>
        <w:t>Project.businessUnitId</w:t>
      </w:r>
      <w:r>
        <w:rPr>
          <w:rFonts w:ascii="Calibri" w:hAnsi="Calibri"/>
          <w:color w:val="24292E"/>
          <w:sz w:val="22"/>
        </w:rPr>
        <w:t xml:space="preserve"> snapshot or deterministically deriving it from a designated primary workstream (</w:t>
      </w:r>
      <w:r>
        <w:rPr>
          <w:rFonts w:ascii="Consolas" w:hAnsi="Consolas"/>
          <w:color w:val="032F62"/>
          <w:sz w:val="21"/>
        </w:rPr>
        <w:t>sortOrder = 0</w:t>
      </w:r>
      <w:r>
        <w:rPr>
          <w:rFonts w:ascii="Calibri" w:hAnsi="Calibri"/>
          <w:color w:val="24292E"/>
          <w:sz w:val="22"/>
        </w:rPr>
        <w:t xml:space="preserve">). Strictly align role and field naming with the baseline codebase: use </w:t>
      </w:r>
      <w:r>
        <w:rPr>
          <w:rFonts w:ascii="Consolas" w:hAnsi="Consolas"/>
          <w:color w:val="032F62"/>
          <w:sz w:val="21"/>
        </w:rPr>
        <w:t>FINANCE</w:t>
      </w:r>
      <w:r>
        <w:rPr>
          <w:rFonts w:ascii="Calibri" w:hAnsi="Calibri"/>
          <w:color w:val="24292E"/>
          <w:sz w:val="22"/>
        </w:rPr>
        <w:t xml:space="preserve"> (not </w:t>
      </w:r>
      <w:r>
        <w:rPr>
          <w:rFonts w:ascii="Consolas" w:hAnsi="Consolas"/>
          <w:color w:val="032F62"/>
          <w:sz w:val="21"/>
        </w:rPr>
        <w:t>FINANCE_LEAD</w:t>
      </w:r>
      <w:r>
        <w:rPr>
          <w:rFonts w:ascii="Calibri" w:hAnsi="Calibri"/>
          <w:color w:val="24292E"/>
          <w:sz w:val="22"/>
        </w:rPr>
        <w:t xml:space="preserve">), </w:t>
      </w:r>
      <w:r>
        <w:rPr>
          <w:rFonts w:ascii="Consolas" w:hAnsi="Consolas"/>
          <w:color w:val="032F62"/>
          <w:sz w:val="21"/>
        </w:rPr>
        <w:t>PROJECT_MANAGER</w:t>
      </w:r>
      <w:r>
        <w:rPr>
          <w:rFonts w:ascii="Calibri" w:hAnsi="Calibri"/>
          <w:color w:val="24292E"/>
          <w:sz w:val="22"/>
        </w:rPr>
        <w:t xml:space="preserve"> (not </w:t>
      </w:r>
      <w:r>
        <w:rPr>
          <w:rFonts w:ascii="Consolas" w:hAnsi="Consolas"/>
          <w:color w:val="032F62"/>
          <w:sz w:val="21"/>
        </w:rPr>
        <w:t>DELIVERY_LEAD</w:t>
      </w:r>
      <w:r>
        <w:rPr>
          <w:rFonts w:ascii="Calibri" w:hAnsi="Calibri"/>
          <w:color w:val="24292E"/>
          <w:sz w:val="22"/>
        </w:rPr>
        <w:t xml:space="preserve">), and </w:t>
      </w:r>
      <w:r>
        <w:rPr>
          <w:rFonts w:ascii="Consolas" w:hAnsi="Consolas"/>
          <w:color w:val="032F62"/>
          <w:sz w:val="21"/>
        </w:rPr>
        <w:t>pmId</w:t>
      </w:r>
      <w:r>
        <w:rPr>
          <w:rFonts w:ascii="Calibri" w:hAnsi="Calibri"/>
          <w:color w:val="24292E"/>
          <w:sz w:val="22"/>
        </w:rPr>
        <w:t xml:space="preserve"> (not </w:t>
      </w:r>
      <w:r>
        <w:rPr>
          <w:rFonts w:ascii="Consolas" w:hAnsi="Consolas"/>
          <w:color w:val="032F62"/>
          <w:sz w:val="21"/>
        </w:rPr>
        <w:t>projectManagerId</w:t>
      </w:r>
      <w:r>
        <w:rPr>
          <w:rFonts w:ascii="Calibri" w:hAnsi="Calibri"/>
          <w:color w:val="24292E"/>
          <w:sz w:val="22"/>
        </w:rPr>
        <w:t xml:space="preserve">). </w:t>
      </w:r>
      <w:r>
        <w:rPr>
          <w:rFonts w:ascii="Calibri" w:hAnsi="Calibri"/>
          <w:i/>
          <w:color w:val="24292E"/>
          <w:sz w:val="22"/>
        </w:rPr>
        <w:t>(Source: SPH-DEMO-13-14-Baseline-Rekomendasi-dan-Klarifikasi-ID.docx - Decision 14.4)</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Rationale</w:t>
      </w:r>
      <w:r>
        <w:rPr>
          <w:rFonts w:ascii="Calibri" w:hAnsi="Calibri"/>
          <w:color w:val="24292E"/>
          <w:sz w:val="22"/>
        </w:rPr>
        <w:t>: Activation gates cannot enforce dependencies on non-existent or ambiguous database columns.</w:t>
      </w:r>
    </w:p>
    <w:p>
      <w:pPr>
        <w:spacing w:before="120" w:after="120"/>
        <w:pBdr>
          <w:bottom w:val="single" w:sz="6" w:space="1" w:color="E1E4E8"/>
        </w:pBdr>
      </w:pPr>
    </w:p>
    <w:p>
      <w:pPr>
        <w:keepNext/>
        <w:spacing w:before="160" w:after="40"/>
      </w:pPr>
      <w:r>
        <w:rPr>
          <w:rFonts w:ascii="Calibri" w:hAnsi="Calibri"/>
          <w:b/>
          <w:color w:val="262626"/>
          <w:sz w:val="23"/>
        </w:rPr>
        <w:t>Question 30: Project Kind Invariant Matrix &amp; Atomic Activation Transaction</w:t>
      </w:r>
    </w:p>
    <w:p>
      <w:pPr>
        <w:pStyle w:val="ListBullet"/>
        <w:spacing w:before="20" w:after="40"/>
        <w:ind w:left="360"/>
      </w:pPr>
      <w:r>
        <w:rPr>
          <w:rFonts w:ascii="Calibri" w:hAnsi="Calibri"/>
          <w:b/>
          <w:color w:val="24292E"/>
          <w:sz w:val="21"/>
        </w:rPr>
        <w:t>Bahasa Indonesia</w:t>
      </w:r>
      <w:r>
        <w:rPr>
          <w:rFonts w:ascii="Calibri" w:hAnsi="Calibri"/>
          <w:color w:val="24292E"/>
          <w:sz w:val="21"/>
        </w:rPr>
        <w:t xml:space="preserve">: </w:t>
      </w:r>
      <w:r>
        <w:rPr>
          <w:rFonts w:ascii="Calibri" w:hAnsi="Calibri"/>
          <w:i/>
          <w:color w:val="24292E"/>
          <w:sz w:val="21"/>
        </w:rPr>
        <w:t>"Apakah aturan aktivasi sama untuk semua jenis project dan bagaimana atomicity aktivasi dijamin?"</w:t>
      </w:r>
    </w:p>
    <w:p>
      <w:pPr>
        <w:pStyle w:val="ListBullet"/>
        <w:spacing w:before="20" w:after="40"/>
        <w:ind w:left="360"/>
      </w:pPr>
      <w:r>
        <w:rPr>
          <w:rFonts w:ascii="Calibri" w:hAnsi="Calibri"/>
          <w:b/>
          <w:color w:val="24292E"/>
          <w:sz w:val="21"/>
        </w:rPr>
        <w:t>English Translation</w:t>
      </w:r>
      <w:r>
        <w:rPr>
          <w:rFonts w:ascii="Calibri" w:hAnsi="Calibri"/>
          <w:color w:val="24292E"/>
          <w:sz w:val="21"/>
        </w:rPr>
        <w:t>: "Are activation rules identical across all project kinds, and how is activation atomicity guaranteed?"</w:t>
      </w:r>
    </w:p>
    <w:p>
      <w:pPr>
        <w:pStyle w:val="ListBullet"/>
        <w:spacing w:before="20" w:after="40"/>
        <w:ind w:left="360"/>
      </w:pPr>
      <w:r>
        <w:rPr>
          <w:rFonts w:ascii="Calibri" w:hAnsi="Calibri"/>
          <w:b/>
          <w:color w:val="24292E"/>
          <w:sz w:val="21"/>
        </w:rPr>
        <w:t>In the Simplest Terms</w:t>
      </w:r>
      <w:r>
        <w:rPr>
          <w:rFonts w:ascii="Calibri" w:hAnsi="Calibri"/>
          <w:color w:val="24292E"/>
          <w:sz w:val="21"/>
        </w:rPr>
        <w:t>: No. Internal and training projects do not require clients, commercial contracts, or billing milestones. Only commercial client projects require commercial sign-offs. When activating, checking rules, updating status, creating the initial ProjectBaseline v1.00, and logging audit records must all happen in one database transaction so an active project is never left without a baseline.</w:t>
      </w:r>
    </w:p>
    <w:p>
      <w:pPr>
        <w:pStyle w:val="ListBullet"/>
        <w:spacing w:before="20" w:after="40"/>
        <w:ind w:left="360"/>
      </w:pPr>
      <w:r>
        <w:rPr>
          <w:rFonts w:ascii="Calibri" w:hAnsi="Calibri"/>
          <w:b/>
          <w:color w:val="24292E"/>
          <w:sz w:val="21"/>
        </w:rPr>
        <w:t>Approved Decision &amp; Business Rationale</w:t>
      </w:r>
      <w:r>
        <w:rPr>
          <w:rFonts w:ascii="Calibri" w:hAnsi="Calibri"/>
          <w:color w:val="24292E"/>
          <w:sz w:val="21"/>
        </w:rPr>
        <w:t>:</w:t>
      </w:r>
    </w:p>
    <w:p>
      <w:pPr>
        <w:spacing w:before="40" w:after="80" w:line="276" w:lineRule="auto"/>
      </w:pPr>
      <w:r>
        <w:rPr>
          <w:rFonts w:ascii="Calibri" w:hAnsi="Calibri"/>
          <w:color w:val="24292E"/>
          <w:sz w:val="22"/>
        </w:rPr>
        <w:t xml:space="preserve">  &gt; </w:t>
      </w:r>
      <w:r>
        <w:rPr>
          <w:rFonts w:ascii="Calibri" w:hAnsi="Calibri"/>
          <w:b/>
          <w:color w:val="24292E"/>
          <w:sz w:val="22"/>
        </w:rPr>
        <w:t>Decision 14.5</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Apply activation invariants differentiated by </w:t>
      </w:r>
      <w:r>
        <w:rPr>
          <w:rFonts w:ascii="Consolas" w:hAnsi="Consolas"/>
          <w:color w:val="032F62"/>
          <w:sz w:val="21"/>
        </w:rPr>
        <w:t>ProjectKind</w:t>
      </w:r>
      <w:r>
        <w:rPr>
          <w:rFonts w:ascii="Calibri" w:hAnsi="Calibri"/>
          <w:color w:val="24292E"/>
          <w:sz w:val="22"/>
        </w:rPr>
        <w:t xml:space="preserve"> (</w:t>
      </w:r>
      <w:r>
        <w:rPr>
          <w:rFonts w:ascii="Consolas" w:hAnsi="Consolas"/>
          <w:color w:val="032F62"/>
          <w:sz w:val="21"/>
        </w:rPr>
        <w:t>CLIENT</w:t>
      </w:r>
      <w:r>
        <w:rPr>
          <w:rFonts w:ascii="Calibri" w:hAnsi="Calibri"/>
          <w:color w:val="24292E"/>
          <w:sz w:val="22"/>
        </w:rPr>
        <w:t xml:space="preserve">, </w:t>
      </w:r>
      <w:r>
        <w:rPr>
          <w:rFonts w:ascii="Consolas" w:hAnsi="Consolas"/>
          <w:color w:val="032F62"/>
          <w:sz w:val="21"/>
        </w:rPr>
        <w:t>INTERNAL</w:t>
      </w:r>
      <w:r>
        <w:rPr>
          <w:rFonts w:ascii="Calibri" w:hAnsi="Calibri"/>
          <w:color w:val="24292E"/>
          <w:sz w:val="22"/>
        </w:rPr>
        <w:t xml:space="preserve">, </w:t>
      </w:r>
      <w:r>
        <w:rPr>
          <w:rFonts w:ascii="Consolas" w:hAnsi="Consolas"/>
          <w:color w:val="032F62"/>
          <w:sz w:val="21"/>
        </w:rPr>
        <w:t>PRESALES</w:t>
      </w:r>
      <w:r>
        <w:rPr>
          <w:rFonts w:ascii="Calibri" w:hAnsi="Calibri"/>
          <w:color w:val="24292E"/>
          <w:sz w:val="22"/>
        </w:rPr>
        <w:t xml:space="preserve">, </w:t>
      </w:r>
      <w:r>
        <w:rPr>
          <w:rFonts w:ascii="Consolas" w:hAnsi="Consolas"/>
          <w:color w:val="032F62"/>
          <w:sz w:val="21"/>
        </w:rPr>
        <w:t>TRAINING</w:t>
      </w:r>
      <w:r>
        <w:rPr>
          <w:rFonts w:ascii="Calibri" w:hAnsi="Calibri"/>
          <w:color w:val="24292E"/>
          <w:sz w:val="22"/>
        </w:rPr>
        <w:t xml:space="preserve">). Commercial checks apply strictly to </w:t>
      </w:r>
      <w:r>
        <w:rPr>
          <w:rFonts w:ascii="Consolas" w:hAnsi="Consolas"/>
          <w:color w:val="032F62"/>
          <w:sz w:val="21"/>
        </w:rPr>
        <w:t>CLIENT</w:t>
      </w:r>
      <w:r>
        <w:rPr>
          <w:rFonts w:ascii="Calibri" w:hAnsi="Calibri"/>
          <w:color w:val="24292E"/>
          <w:sz w:val="22"/>
        </w:rPr>
        <w:t xml:space="preserve"> projects, while delivery readiness applies across all types:  </w:t>
      </w:r>
    </w:p>
    <w:p>
      <w:pPr>
        <w:spacing w:before="40" w:after="80" w:line="276" w:lineRule="auto"/>
      </w:pPr>
      <w:r>
        <w:rPr>
          <w:rFonts w:ascii="Calibri" w:hAnsi="Calibri"/>
          <w:color w:val="24292E"/>
          <w:sz w:val="22"/>
        </w:rPr>
        <w:t xml:space="preserve">  &gt; </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560"/>
        <w:gridCol w:w="1560"/>
        <w:gridCol w:w="1560"/>
        <w:gridCol w:w="1560"/>
        <w:gridCol w:w="1560"/>
        <w:gridCol w:w="1560"/>
      </w:tblGrid>
      <w:tr>
        <w:tc>
          <w:tcPr>
            <w:tcW w:type="dxa" w:w="1560"/>
            <w:shd w:fill="1F4E79"/>
            <w:tcMar>
              <w:top w:w="140" w:type="dxa"/>
              <w:bottom w:w="140" w:type="dxa"/>
              <w:left w:w="150" w:type="dxa"/>
              <w:right w:w="150" w:type="dxa"/>
            </w:tcMar>
          </w:tcPr>
          <w:p>
            <w:pPr>
              <w:spacing w:before="40" w:after="40"/>
            </w:pPr>
            <w:r>
              <w:rPr>
                <w:rFonts w:ascii="Calibri" w:hAnsi="Calibri"/>
                <w:b/>
                <w:color w:val="FFFFFF"/>
                <w:sz w:val="20"/>
              </w:rPr>
              <w:t>&gt;</w:t>
            </w:r>
          </w:p>
        </w:tc>
        <w:tc>
          <w:tcPr>
            <w:tcW w:type="dxa" w:w="1560"/>
            <w:shd w:fill="1F4E79"/>
            <w:tcMar>
              <w:top w:w="140" w:type="dxa"/>
              <w:bottom w:w="140" w:type="dxa"/>
              <w:left w:w="150" w:type="dxa"/>
              <w:right w:w="150" w:type="dxa"/>
            </w:tcMar>
          </w:tcPr>
          <w:p>
            <w:pPr>
              <w:spacing w:before="40" w:after="40"/>
            </w:pPr>
            <w:r>
              <w:rPr>
                <w:rFonts w:ascii="Calibri" w:hAnsi="Calibri"/>
                <w:b/>
                <w:color w:val="FFFFFF"/>
                <w:sz w:val="20"/>
              </w:rPr>
              <w:t>Activation Invariant</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CLIENT</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INTERNAL</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PRESALES</w:t>
            </w:r>
          </w:p>
        </w:tc>
        <w:tc>
          <w:tcPr>
            <w:tcW w:type="dxa" w:w="1560"/>
            <w:shd w:fill="1F4E79"/>
            <w:tcMar>
              <w:top w:w="140" w:type="dxa"/>
              <w:bottom w:w="140" w:type="dxa"/>
              <w:left w:w="150" w:type="dxa"/>
              <w:right w:w="150" w:type="dxa"/>
            </w:tcMar>
          </w:tcPr>
          <w:p>
            <w:pPr>
              <w:spacing w:before="40" w:after="40"/>
            </w:pPr>
            <w:r>
              <w:rPr>
                <w:rFonts w:ascii="Consolas" w:hAnsi="Consolas"/>
                <w:b/>
                <w:color w:val="032F62"/>
                <w:sz w:val="19"/>
              </w:rPr>
              <w:t>TRAINING</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Valid Client Attached</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Conditional</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Positive Contract Value</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Approved Commercial Revision</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Billing Milestones Total 100%</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Exempt</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Positive Planned Mandays</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Positive Estimated Cost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FFFFF"/>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Valid Chronological Dates &amp; Active PM</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c>
          <w:tcPr>
            <w:tcW w:type="dxa" w:w="1560"/>
            <w:shd w:fill="FFFFFF"/>
            <w:tcMar>
              <w:top w:w="100" w:type="dxa"/>
              <w:bottom w:w="100" w:type="dxa"/>
              <w:left w:w="150" w:type="dxa"/>
              <w:right w:w="150" w:type="dxa"/>
            </w:tcMar>
          </w:tcPr>
          <w:p>
            <w:pPr>
              <w:spacing w:before="40" w:after="40"/>
            </w:pPr>
            <w:r>
              <w:rPr>
                <w:rFonts w:ascii="Calibri" w:hAnsi="Calibri"/>
                <w:color w:val="24292E"/>
                <w:sz w:val="19"/>
              </w:rPr>
              <w:t>Mandatory</w:t>
            </w:r>
          </w:p>
        </w:tc>
      </w:tr>
      <w:tr>
        <w:tc>
          <w:tcPr>
            <w:tcW w:type="dxa" w:w="1560"/>
            <w:shd w:fill="F8F9FA"/>
            <w:tcMar>
              <w:top w:w="100" w:type="dxa"/>
              <w:bottom w:w="100" w:type="dxa"/>
              <w:left w:w="150" w:type="dxa"/>
              <w:right w:w="150" w:type="dxa"/>
            </w:tcMar>
          </w:tcPr>
          <w:p>
            <w:pPr>
              <w:spacing w:before="40" w:after="40"/>
            </w:pPr>
            <w:r>
              <w:rPr>
                <w:rFonts w:ascii="Calibri" w:hAnsi="Calibri"/>
                <w:color w:val="24292E"/>
                <w:sz w:val="19"/>
              </w:rPr>
              <w:t>&gt;</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T&amp;M Resource Daily Rates $&gt;0$</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Mandatory (if T&amp;M)</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p>
        </w:tc>
        <w:tc>
          <w:tcPr>
            <w:tcW w:type="dxa" w:w="1560"/>
            <w:shd w:fill="F8F9FA"/>
            <w:tcMar>
              <w:top w:w="100" w:type="dxa"/>
              <w:bottom w:w="100" w:type="dxa"/>
              <w:left w:w="150" w:type="dxa"/>
              <w:right w:w="150" w:type="dxa"/>
            </w:tcMar>
          </w:tcPr>
          <w:p>
            <w:pPr>
              <w:spacing w:before="40" w:after="40"/>
            </w:pPr>
            <w:r>
              <w:rPr>
                <w:rFonts w:ascii="Calibri" w:hAnsi="Calibri"/>
                <w:color w:val="24292E"/>
                <w:sz w:val="19"/>
              </w:rPr>
              <w:t>If Applicable</w:t>
            </w:r>
          </w:p>
        </w:tc>
      </w:tr>
    </w:tbl>
    <w:p>
      <w:pPr>
        <w:spacing w:before="0" w:after="120"/>
      </w:pPr>
    </w:p>
    <w:p>
      <w:pPr>
        <w:spacing w:before="40" w:after="80" w:line="276" w:lineRule="auto"/>
      </w:pPr>
      <w:r>
        <w:rPr>
          <w:rFonts w:ascii="Calibri" w:hAnsi="Calibri"/>
          <w:color w:val="24292E"/>
          <w:sz w:val="22"/>
        </w:rPr>
        <w:t xml:space="preserve">  &gt; </w:t>
      </w:r>
    </w:p>
    <w:p>
      <w:pPr>
        <w:spacing w:before="40" w:after="80" w:line="276" w:lineRule="auto"/>
      </w:pPr>
      <w:r>
        <w:rPr>
          <w:rFonts w:ascii="Calibri" w:hAnsi="Calibri"/>
          <w:color w:val="24292E"/>
          <w:sz w:val="22"/>
        </w:rPr>
        <w:t xml:space="preserve">  &gt; </w:t>
      </w:r>
      <w:r>
        <w:rPr>
          <w:rFonts w:ascii="Calibri" w:hAnsi="Calibri"/>
          <w:i/>
          <w:color w:val="24292E"/>
          <w:sz w:val="22"/>
        </w:rPr>
        <w:t>(Source: SPH-DEMO-13-14-Baseline-Rekomendasi-dan-Klarifikasi-ID.docx - Decision 14.5)</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p>
    <w:p>
      <w:pPr>
        <w:spacing w:before="40" w:after="80" w:line="276" w:lineRule="auto"/>
      </w:pPr>
      <w:r>
        <w:rPr>
          <w:rFonts w:ascii="Calibri" w:hAnsi="Calibri"/>
          <w:color w:val="24292E"/>
          <w:sz w:val="22"/>
        </w:rPr>
        <w:t xml:space="preserve">  &gt; </w:t>
      </w:r>
      <w:r>
        <w:rPr>
          <w:rFonts w:ascii="Calibri" w:hAnsi="Calibri"/>
          <w:b/>
          <w:color w:val="24292E"/>
          <w:sz w:val="22"/>
        </w:rPr>
        <w:t>Decision 14.6</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Return </w:t>
      </w:r>
      <w:r>
        <w:rPr>
          <w:rFonts w:ascii="Consolas" w:hAnsi="Consolas"/>
          <w:color w:val="032F62"/>
          <w:sz w:val="21"/>
        </w:rPr>
        <w:t>HTTP 422 Unprocessable Entity</w:t>
      </w:r>
      <w:r>
        <w:rPr>
          <w:rFonts w:ascii="Calibri" w:hAnsi="Calibri"/>
          <w:color w:val="24292E"/>
          <w:sz w:val="22"/>
        </w:rPr>
        <w:t xml:space="preserve"> with error code </w:t>
      </w:r>
      <w:r>
        <w:rPr>
          <w:rFonts w:ascii="Consolas" w:hAnsi="Consolas"/>
          <w:color w:val="032F62"/>
          <w:sz w:val="21"/>
        </w:rPr>
        <w:t>ACTIVATION_GATE_VIOLATION</w:t>
      </w:r>
      <w:r>
        <w:rPr>
          <w:rFonts w:ascii="Calibri" w:hAnsi="Calibri"/>
          <w:color w:val="24292E"/>
          <w:sz w:val="22"/>
        </w:rPr>
        <w:t xml:space="preserve">, a structured </w:t>
      </w:r>
      <w:r>
        <w:rPr>
          <w:rFonts w:ascii="Consolas" w:hAnsi="Consolas"/>
          <w:color w:val="032F62"/>
          <w:sz w:val="21"/>
        </w:rPr>
        <w:t>checklist</w:t>
      </w:r>
      <w:r>
        <w:rPr>
          <w:rFonts w:ascii="Calibri" w:hAnsi="Calibri"/>
          <w:color w:val="24292E"/>
          <w:sz w:val="22"/>
        </w:rPr>
        <w:t xml:space="preserve"> array, and temporarily preserve the legacy </w:t>
      </w:r>
      <w:r>
        <w:rPr>
          <w:rFonts w:ascii="Consolas" w:hAnsi="Consolas"/>
          <w:color w:val="032F62"/>
          <w:sz w:val="21"/>
        </w:rPr>
        <w:t>missing: string[]</w:t>
      </w:r>
      <w:r>
        <w:rPr>
          <w:rFonts w:ascii="Calibri" w:hAnsi="Calibri"/>
          <w:color w:val="24292E"/>
          <w:sz w:val="22"/>
        </w:rPr>
        <w:t xml:space="preserve"> array for backward compatibility with existing web and mobile frontends. </w:t>
      </w:r>
      <w:r>
        <w:rPr>
          <w:rFonts w:ascii="Calibri" w:hAnsi="Calibri"/>
          <w:i/>
          <w:color w:val="24292E"/>
          <w:sz w:val="22"/>
        </w:rPr>
        <w:t>(Source: SPH-DEMO-13-14-Baseline-Rekomendasi-dan-Klarifikasi-ID.docx - Decision 14.6)</w:t>
      </w:r>
      <w:r>
        <w:rPr>
          <w:rFonts w:ascii="Calibri" w:hAnsi="Calibri"/>
          <w:color w:val="24292E"/>
          <w:sz w:val="22"/>
        </w:rPr>
        <w:t xml:space="preserve">  </w:t>
      </w:r>
    </w:p>
    <w:p>
      <w:pPr>
        <w:spacing w:before="40" w:after="80" w:line="276" w:lineRule="auto"/>
      </w:pPr>
      <w:r>
        <w:rPr>
          <w:rFonts w:ascii="Calibri" w:hAnsi="Calibri"/>
          <w:color w:val="24292E"/>
          <w:sz w:val="22"/>
        </w:rPr>
        <w:t xml:space="preserve">  &gt; </w:t>
      </w:r>
      <w:r>
        <w:rPr>
          <w:rFonts w:ascii="Calibri" w:hAnsi="Calibri"/>
          <w:b/>
          <w:color w:val="24292E"/>
          <w:sz w:val="22"/>
        </w:rPr>
        <w:t>Decision 14.7</w:t>
      </w:r>
      <w:r>
        <w:rPr>
          <w:rFonts w:ascii="Calibri" w:hAnsi="Calibri"/>
          <w:color w:val="24292E"/>
          <w:sz w:val="22"/>
        </w:rPr>
        <w:t xml:space="preserve"> </w:t>
      </w:r>
      <w:r>
        <w:rPr>
          <w:rFonts w:ascii="Consolas" w:hAnsi="Consolas"/>
          <w:color w:val="032F62"/>
          <w:sz w:val="21"/>
        </w:rPr>
        <w:t>[APPROVED]</w:t>
      </w:r>
      <w:r>
        <w:rPr>
          <w:rFonts w:ascii="Calibri" w:hAnsi="Calibri"/>
          <w:color w:val="24292E"/>
          <w:sz w:val="22"/>
        </w:rPr>
        <w:t xml:space="preserve">: Readiness validation, status transition to </w:t>
      </w:r>
      <w:r>
        <w:rPr>
          <w:rFonts w:ascii="Consolas" w:hAnsi="Consolas"/>
          <w:color w:val="032F62"/>
          <w:sz w:val="21"/>
        </w:rPr>
        <w:t>ACTIVE</w:t>
      </w:r>
      <w:r>
        <w:rPr>
          <w:rFonts w:ascii="Calibri" w:hAnsi="Calibri"/>
          <w:color w:val="24292E"/>
          <w:sz w:val="22"/>
        </w:rPr>
        <w:t xml:space="preserve">, </w:t>
      </w:r>
      <w:r>
        <w:rPr>
          <w:rFonts w:ascii="Consolas" w:hAnsi="Consolas"/>
          <w:color w:val="032F62"/>
          <w:sz w:val="21"/>
        </w:rPr>
        <w:t>ProjectBaseline</w:t>
      </w:r>
      <w:r>
        <w:rPr>
          <w:rFonts w:ascii="Calibri" w:hAnsi="Calibri"/>
          <w:color w:val="24292E"/>
          <w:sz w:val="22"/>
        </w:rPr>
        <w:t xml:space="preserve"> v1.00 initialization (</w:t>
      </w:r>
      <w:r>
        <w:rPr>
          <w:rFonts w:ascii="Consolas" w:hAnsi="Consolas"/>
          <w:color w:val="032F62"/>
          <w:sz w:val="21"/>
        </w:rPr>
        <w:t>source: ACTIVATION</w:t>
      </w:r>
      <w:r>
        <w:rPr>
          <w:rFonts w:ascii="Calibri" w:hAnsi="Calibri"/>
          <w:color w:val="24292E"/>
          <w:sz w:val="22"/>
        </w:rPr>
        <w:t xml:space="preserve">), and audit event creation MUST commit within a </w:t>
      </w:r>
      <w:r>
        <w:rPr>
          <w:rFonts w:ascii="Calibri" w:hAnsi="Calibri"/>
          <w:b/>
          <w:color w:val="24292E"/>
          <w:sz w:val="22"/>
        </w:rPr>
        <w:t>single atomic database transaction</w:t>
      </w:r>
      <w:r>
        <w:rPr>
          <w:rFonts w:ascii="Calibri" w:hAnsi="Calibri"/>
          <w:color w:val="24292E"/>
          <w:sz w:val="22"/>
        </w:rPr>
        <w:t xml:space="preserve"> protected against concurrent duplicate activation calls. </w:t>
      </w:r>
      <w:r>
        <w:rPr>
          <w:rFonts w:ascii="Calibri" w:hAnsi="Calibri"/>
          <w:i/>
          <w:color w:val="24292E"/>
          <w:sz w:val="22"/>
        </w:rPr>
        <w:t>(Source: SPH-DEMO-13-14-Baseline-Rekomendasi-dan-Klarifikasi-ID.docx - Decision 14.7)</w:t>
      </w:r>
    </w:p>
    <w:p>
      <w:pPr>
        <w:pStyle w:val="ListBullet"/>
        <w:spacing w:before="20" w:after="40"/>
        <w:ind w:left="360"/>
      </w:pPr>
      <w:r>
        <w:rPr>
          <w:rFonts w:ascii="Calibri" w:hAnsi="Calibri"/>
          <w:b/>
          <w:color w:val="24292E"/>
          <w:sz w:val="21"/>
        </w:rPr>
        <w:t>Technical Implementation Specification (Optional / Reference Example)</w:t>
      </w:r>
      <w:r>
        <w:rPr>
          <w:rFonts w:ascii="Calibri" w:hAnsi="Calibri"/>
          <w:color w:val="24292E"/>
          <w:sz w:val="21"/>
        </w:rPr>
        <w:t>:</w:t>
      </w:r>
    </w:p>
    <w:p>
      <w:pPr>
        <w:pStyle w:val="ListBullet"/>
        <w:spacing w:before="20" w:after="40"/>
        <w:ind w:left="720"/>
      </w:pPr>
      <w:r>
        <w:rPr>
          <w:rFonts w:ascii="Calibri" w:hAnsi="Calibri"/>
          <w:b/>
          <w:color w:val="24292E"/>
          <w:sz w:val="21"/>
        </w:rPr>
        <w:t>Target API Contract (Target Design — Not Yet Implemented in aa3425a)</w:t>
      </w:r>
      <w:r>
        <w:rPr>
          <w:rFonts w:ascii="Calibri" w:hAnsi="Calibri"/>
          <w:color w:val="24292E"/>
          <w:sz w:val="21"/>
        </w:rPr>
        <w:t>:</w:t>
      </w:r>
    </w:p>
    <w:p>
      <w:pPr>
        <w:spacing w:before="40" w:after="80" w:line="276" w:lineRule="auto"/>
      </w:pPr>
      <w:r>
        <w:rPr>
          <w:rFonts w:ascii="Calibri" w:hAnsi="Calibri"/>
          <w:color w:val="24292E"/>
          <w:sz w:val="22"/>
        </w:rPr>
        <w:t xml:space="preserve">    </w:t>
      </w:r>
      <w:r>
        <w:rPr>
          <w:rFonts w:ascii="Calibri" w:hAnsi="Calibri"/>
          <w:i/>
          <w:color w:val="24292E"/>
          <w:sz w:val="22"/>
        </w:rPr>
        <w:t>(Note: Current route in aa3425a returns HTTP 400 ACTIVATION_REQUIREMENTS_INCOMPLETE; the following structured 422 contract is the target specification to be built)</w:t>
      </w:r>
      <w:r>
        <w:rPr>
          <w:rFonts w:ascii="Calibri" w:hAnsi="Calibri"/>
          <w:color w:val="24292E"/>
          <w:sz w:val="22"/>
        </w:rPr>
        <w:t>:</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alibri" w:hAnsi="Calibri"/>
          <w:color w:val="24292E"/>
          <w:sz w:val="22"/>
        </w:rPr>
        <w:t>`json</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"code": "ACTIVATION_GATE_VIOLATION",</w:t>
      </w:r>
    </w:p>
    <w:p>
      <w:pPr>
        <w:spacing w:before="40" w:after="80" w:line="276" w:lineRule="auto"/>
      </w:pPr>
      <w:r>
        <w:rPr>
          <w:rFonts w:ascii="Calibri" w:hAnsi="Calibri"/>
          <w:color w:val="24292E"/>
          <w:sz w:val="22"/>
        </w:rPr>
        <w:t xml:space="preserve">      "message": "Project is not ready for activation.",</w:t>
      </w:r>
    </w:p>
    <w:p>
      <w:pPr>
        <w:spacing w:before="40" w:after="80" w:line="276" w:lineRule="auto"/>
      </w:pPr>
      <w:r>
        <w:rPr>
          <w:rFonts w:ascii="Calibri" w:hAnsi="Calibri"/>
          <w:color w:val="24292E"/>
          <w:sz w:val="22"/>
        </w:rPr>
        <w:t xml:space="preserve">      "canActivate": false,</w:t>
      </w:r>
    </w:p>
    <w:p>
      <w:pPr>
        <w:spacing w:before="40" w:after="80" w:line="276" w:lineRule="auto"/>
      </w:pPr>
      <w:r>
        <w:rPr>
          <w:rFonts w:ascii="Calibri" w:hAnsi="Calibri"/>
          <w:color w:val="24292E"/>
          <w:sz w:val="22"/>
        </w:rPr>
        <w:t xml:space="preserve">      "blockerCount": 2,</w:t>
      </w:r>
    </w:p>
    <w:p>
      <w:pPr>
        <w:spacing w:before="40" w:after="80" w:line="276" w:lineRule="auto"/>
      </w:pPr>
      <w:r>
        <w:rPr>
          <w:rFonts w:ascii="Calibri" w:hAnsi="Calibri"/>
          <w:color w:val="24292E"/>
          <w:sz w:val="22"/>
        </w:rPr>
        <w:t xml:space="preserve">      "missing": [</w:t>
      </w:r>
    </w:p>
    <w:p>
      <w:pPr>
        <w:spacing w:before="40" w:after="80" w:line="276" w:lineRule="auto"/>
      </w:pPr>
      <w:r>
        <w:rPr>
          <w:rFonts w:ascii="Calibri" w:hAnsi="Calibri"/>
          <w:color w:val="24292E"/>
          <w:sz w:val="22"/>
        </w:rPr>
        <w:t xml:space="preserve">        "Planned mandays",</w:t>
      </w:r>
    </w:p>
    <w:p>
      <w:pPr>
        <w:spacing w:before="40" w:after="80" w:line="276" w:lineRule="auto"/>
      </w:pPr>
      <w:r>
        <w:rPr>
          <w:rFonts w:ascii="Calibri" w:hAnsi="Calibri"/>
          <w:color w:val="24292E"/>
          <w:sz w:val="22"/>
        </w:rPr>
        <w:t xml:space="preserve">        "Commercial approval"</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"checklist":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"code": "MANDAYS_REQUIRED",</w:t>
      </w:r>
    </w:p>
    <w:p>
      <w:pPr>
        <w:spacing w:before="40" w:after="80" w:line="276" w:lineRule="auto"/>
      </w:pPr>
      <w:r>
        <w:rPr>
          <w:rFonts w:ascii="Calibri" w:hAnsi="Calibri"/>
          <w:color w:val="24292E"/>
          <w:sz w:val="22"/>
        </w:rPr>
        <w:t xml:space="preserve">          "label": "Planned Mandays / Budget Hours",</w:t>
      </w:r>
    </w:p>
    <w:p>
      <w:pPr>
        <w:spacing w:before="40" w:after="80" w:line="276" w:lineRule="auto"/>
      </w:pPr>
      <w:r>
        <w:rPr>
          <w:rFonts w:ascii="Calibri" w:hAnsi="Calibri"/>
          <w:color w:val="24292E"/>
          <w:sz w:val="22"/>
        </w:rPr>
        <w:t xml:space="preserve">          "passed": false,</w:t>
      </w:r>
    </w:p>
    <w:p>
      <w:pPr>
        <w:spacing w:before="40" w:after="80" w:line="276" w:lineRule="auto"/>
      </w:pPr>
      <w:r>
        <w:rPr>
          <w:rFonts w:ascii="Calibri" w:hAnsi="Calibri"/>
          <w:color w:val="24292E"/>
          <w:sz w:val="22"/>
        </w:rPr>
        <w:t xml:space="preserve">          "targetTab": "workstreams"</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"code": "COMMERCIAL_APPROVAL_REQUIRED",</w:t>
      </w:r>
    </w:p>
    <w:p>
      <w:pPr>
        <w:spacing w:before="40" w:after="80" w:line="276" w:lineRule="auto"/>
      </w:pPr>
      <w:r>
        <w:rPr>
          <w:rFonts w:ascii="Calibri" w:hAnsi="Calibri"/>
          <w:color w:val="24292E"/>
          <w:sz w:val="22"/>
        </w:rPr>
        <w:t xml:space="preserve">          "label": "Finance Margin Approval",</w:t>
      </w:r>
    </w:p>
    <w:p>
      <w:pPr>
        <w:spacing w:before="40" w:after="80" w:line="276" w:lineRule="auto"/>
      </w:pPr>
      <w:r>
        <w:rPr>
          <w:rFonts w:ascii="Calibri" w:hAnsi="Calibri"/>
          <w:color w:val="24292E"/>
          <w:sz w:val="22"/>
        </w:rPr>
        <w:t xml:space="preserve">          "passed": false,</w:t>
      </w:r>
    </w:p>
    <w:p>
      <w:pPr>
        <w:spacing w:before="40" w:after="80" w:line="276" w:lineRule="auto"/>
      </w:pPr>
      <w:r>
        <w:rPr>
          <w:rFonts w:ascii="Calibri" w:hAnsi="Calibri"/>
          <w:color w:val="24292E"/>
          <w:sz w:val="22"/>
        </w:rPr>
        <w:t xml:space="preserve">          "targetTab": "financials"</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p>
    <w:p>
      <w:pPr>
        <w:spacing w:before="40" w:after="80" w:line="276" w:lineRule="auto"/>
      </w:pPr>
      <w:r>
        <w:rPr>
          <w:rFonts w:ascii="Calibri" w:hAnsi="Calibri"/>
          <w:color w:val="24292E"/>
          <w:sz w:val="22"/>
        </w:rPr>
        <w:t xml:space="preserve">    </w:t>
      </w:r>
      <w:r>
        <w:rPr>
          <w:rFonts w:ascii="Consolas" w:hAnsi="Consolas"/>
          <w:color w:val="032F62"/>
          <w:sz w:val="21"/>
        </w:rPr>
      </w:r>
      <w:r>
        <w:rPr>
          <w:rFonts w:ascii="Consolas" w:hAnsi="Consolas"/>
          <w:color w:val="032F62"/>
          <w:sz w:val="21"/>
        </w:rPr>
      </w:r>
    </w:p>
    <w:p>
      <w:pPr>
        <w:spacing w:before="120" w:after="120"/>
        <w:pBdr>
          <w:bottom w:val="single" w:sz="6" w:space="1" w:color="E1E4E8"/>
        </w:pBdr>
      </w:pPr>
    </w:p>
    <w:p>
      <w:pPr>
        <w:keepNext/>
        <w:spacing w:before="280" w:after="120"/>
      </w:pPr>
      <w:r>
        <w:rPr>
          <w:rFonts w:ascii="Calibri" w:hAnsi="Calibri"/>
          <w:b/>
          <w:color w:val="2E75B6"/>
          <w:sz w:val="32"/>
        </w:rPr>
        <w:t>3. Comprehensive FSD Traceability Matrix (DEMO-01 to DEMO-14)</w:t>
      </w:r>
    </w:p>
    <w:p>
      <w:pPr>
        <w:spacing w:before="40" w:after="80" w:line="276" w:lineRule="auto"/>
      </w:pPr>
      <w:r>
        <w:rPr>
          <w:rFonts w:ascii="Calibri" w:hAnsi="Calibri"/>
          <w:color w:val="24292E"/>
          <w:sz w:val="22"/>
        </w:rPr>
        <w:t>The matrix below maps all 14 WRICEF Functional Specification Documents with verified decision references and granular sub-feature implementation statuses.</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170"/>
        <w:gridCol w:w="1170"/>
        <w:gridCol w:w="1170"/>
        <w:gridCol w:w="1170"/>
        <w:gridCol w:w="1170"/>
        <w:gridCol w:w="1170"/>
        <w:gridCol w:w="1170"/>
        <w:gridCol w:w="1170"/>
      </w:tblGrid>
      <w:tr>
        <w:tc>
          <w:tcPr>
            <w:tcW w:type="dxa" w:w="1170"/>
            <w:shd w:fill="1F4E79"/>
            <w:tcMar>
              <w:top w:w="140" w:type="dxa"/>
              <w:bottom w:w="140" w:type="dxa"/>
              <w:left w:w="150" w:type="dxa"/>
              <w:right w:w="150" w:type="dxa"/>
            </w:tcMar>
          </w:tcPr>
          <w:p>
            <w:pPr>
              <w:spacing w:before="40" w:after="40"/>
            </w:pPr>
            <w:r>
              <w:rPr>
                <w:rFonts w:ascii="Calibri" w:hAnsi="Calibri"/>
                <w:b/>
                <w:color w:val="FFFFFF"/>
                <w:sz w:val="20"/>
              </w:rPr>
              <w:t>FSD Code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FSD Title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Decision References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Target Model / API Route</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Upstream Dependencies</w:t>
            </w:r>
          </w:p>
        </w:tc>
        <w:tc>
          <w:tcPr>
            <w:tcW w:type="dxa" w:w="1170"/>
            <w:shd w:fill="1F4E79"/>
            <w:tcMar>
              <w:top w:w="140" w:type="dxa"/>
              <w:bottom w:w="140" w:type="dxa"/>
              <w:left w:w="150" w:type="dxa"/>
              <w:right w:w="150" w:type="dxa"/>
            </w:tcMar>
          </w:tcPr>
          <w:p>
            <w:pPr>
              <w:spacing w:before="40" w:after="40"/>
            </w:pPr>
            <w:r>
              <w:rPr>
                <w:rFonts w:ascii="Calibri" w:hAnsi="Calibri"/>
                <w:b/>
                <w:color w:val="FFFFFF"/>
                <w:sz w:val="20"/>
              </w:rPr>
              <w:t>Primary Acceptance Criteria</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Industry Sector Classification</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1.1, 1.2, 1.3, 1.4, 1.5</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IndustrySector</w:t>
            </w:r>
            <w:r>
              <w:rPr>
                <w:rFonts w:ascii="Calibri" w:hAnsi="Calibri"/>
                <w:color w:val="24292E"/>
                <w:sz w:val="19"/>
              </w:rPr>
              <w:t xml:space="preserve">, </w:t>
            </w:r>
            <w:r>
              <w:rPr>
                <w:rFonts w:ascii="Consolas" w:hAnsi="Consolas"/>
                <w:color w:val="032F62"/>
                <w:sz w:val="18"/>
              </w:rPr>
              <w:t>LeadSector</w:t>
            </w:r>
            <w:r>
              <w:rPr>
                <w:rFonts w:ascii="Calibri" w:hAnsi="Calibri"/>
                <w:color w:val="24292E"/>
                <w:sz w:val="19"/>
              </w:rPr>
              <w:t xml:space="preserve">, </w:t>
            </w:r>
            <w:r>
              <w:rPr>
                <w:rFonts w:ascii="Consolas" w:hAnsi="Consolas"/>
                <w:color w:val="032F62"/>
                <w:sz w:val="18"/>
              </w:rPr>
              <w:t>ClientSector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DB Migration</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1–5 sectors mandatory at </w:t>
            </w:r>
            <w:r>
              <w:rPr>
                <w:rFonts w:ascii="Consolas" w:hAnsi="Consolas"/>
                <w:color w:val="032F62"/>
                <w:sz w:val="18"/>
              </w:rPr>
              <w:t>QUALIFIED</w:t>
            </w:r>
            <w:r>
              <w:rPr>
                <w:rFonts w:ascii="Calibri" w:hAnsi="Calibri"/>
                <w:color w:val="24292E"/>
                <w:sz w:val="19"/>
              </w:rPr>
              <w:t>/</w:t>
            </w:r>
            <w:r>
              <w:rPr>
                <w:rFonts w:ascii="Consolas" w:hAnsi="Consolas"/>
                <w:color w:val="032F62"/>
                <w:sz w:val="18"/>
              </w:rPr>
              <w:t>PROPOSAL</w:t>
            </w:r>
            <w:r>
              <w:rPr>
                <w:rFonts w:ascii="Calibri" w:hAnsi="Calibri"/>
                <w:color w:val="24292E"/>
                <w:sz w:val="19"/>
              </w:rPr>
              <w:t>; newly added sectors must be active; existing inactive valid; exactly one primary sector through a partial unique index enforcing at most one and transactional application validation enforcing at least one whenever sector assignments exist.</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`DEMO-02`</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Offering Catalog &amp; Workstreams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 6.1</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OfferingCatalog</w:t>
            </w:r>
            <w:r>
              <w:rPr>
                <w:rFonts w:ascii="Calibri" w:hAnsi="Calibri"/>
                <w:color w:val="24292E"/>
                <w:sz w:val="19"/>
              </w:rPr>
              <w:t xml:space="preserve">, </w:t>
            </w:r>
            <w:r>
              <w:rPr>
                <w:rFonts w:ascii="Consolas" w:hAnsi="Consolas"/>
                <w:color w:val="032F62"/>
                <w:sz w:val="18"/>
              </w:rPr>
              <w:t>LeadOffering</w:t>
            </w:r>
            <w:r>
              <w:rPr>
                <w:rFonts w:ascii="Calibri" w:hAnsi="Calibri"/>
                <w:color w:val="24292E"/>
                <w:sz w:val="19"/>
              </w:rPr>
              <w:t xml:space="preserve">, </w:t>
            </w:r>
            <w:r>
              <w:rPr>
                <w:rFonts w:ascii="Consolas" w:hAnsi="Consolas"/>
                <w:color w:val="032F62"/>
                <w:sz w:val="18"/>
              </w:rPr>
              <w:t>ProjectWorkstream</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DEMO-04</w:t>
            </w:r>
            <w:r>
              <w:rPr>
                <w:rFonts w:ascii="Calibri" w:hAnsi="Calibri"/>
                <w:color w:val="24292E"/>
                <w:sz w:val="19"/>
              </w:rPr>
              <w:t xml:space="preserve"> (BU)</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Offering lines create corresponding </w:t>
            </w:r>
            <w:r>
              <w:rPr>
                <w:rFonts w:ascii="Consolas" w:hAnsi="Consolas"/>
                <w:color w:val="032F62"/>
                <w:sz w:val="18"/>
              </w:rPr>
              <w:t>ProjectWorkstream</w:t>
            </w:r>
            <w:r>
              <w:rPr>
                <w:rFonts w:ascii="Calibri" w:hAnsi="Calibri"/>
                <w:color w:val="24292E"/>
                <w:sz w:val="19"/>
              </w:rPr>
              <w:t xml:space="preserve"> on project conversion.</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`DEMO-03`</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Client Management &amp; Contacts</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1.3</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Client</w:t>
            </w:r>
            <w:r>
              <w:rPr>
                <w:rFonts w:ascii="Calibri" w:hAnsi="Calibri"/>
                <w:color w:val="24292E"/>
                <w:sz w:val="19"/>
              </w:rPr>
              <w:t xml:space="preserve">, </w:t>
            </w:r>
            <w:r>
              <w:rPr>
                <w:rFonts w:ascii="Consolas" w:hAnsi="Consolas"/>
                <w:color w:val="032F62"/>
                <w:sz w:val="18"/>
              </w:rPr>
              <w:t>ClientContact</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Base Auth</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Point-in-time contact snapshot; scalar contact fallback for unregistered leads.</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`DEMO-04`</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Business Unit &amp; Principal Routing</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2.1, 2.2</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BusinessUnit</w:t>
            </w:r>
            <w:r>
              <w:rPr>
                <w:rFonts w:ascii="Calibri" w:hAnsi="Calibri"/>
                <w:color w:val="24292E"/>
                <w:sz w:val="19"/>
              </w:rPr>
              <w:t xml:space="preserve">, </w:t>
            </w:r>
            <w:r>
              <w:rPr>
                <w:rFonts w:ascii="Consolas" w:hAnsi="Consolas"/>
                <w:color w:val="032F62"/>
                <w:sz w:val="18"/>
              </w:rPr>
              <w:t>BusinessUnitPrincipal</w:t>
            </w:r>
            <w:r>
              <w:rPr>
                <w:rFonts w:ascii="Calibri" w:hAnsi="Calibri"/>
                <w:color w:val="24292E"/>
                <w:sz w:val="19"/>
              </w:rPr>
              <w:t xml:space="preserve">, </w:t>
            </w:r>
            <w:r>
              <w:rPr>
                <w:rFonts w:ascii="Consolas" w:hAnsi="Consolas"/>
                <w:color w:val="032F62"/>
                <w:sz w:val="18"/>
              </w:rPr>
              <w:t>LeadSupportingBusinessUnit</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Base Users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Single Primary BU; normalized supporting BU junction table; </w:t>
            </w:r>
            <w:r>
              <w:rPr>
                <w:rFonts w:ascii="Consolas" w:hAnsi="Consolas"/>
                <w:color w:val="032F62"/>
                <w:sz w:val="18"/>
              </w:rPr>
              <w:t>MANAGEMENT</w:t>
            </w:r>
            <w:r>
              <w:rPr>
                <w:rFonts w:ascii="Calibri" w:hAnsi="Calibri"/>
                <w:color w:val="24292E"/>
                <w:sz w:val="19"/>
              </w:rPr>
              <w:t xml:space="preserve"> fallback routing.</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`DEMO-05`</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Deal Types, Lineage &amp; NRR</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3.1, 3.2</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LeadType</w:t>
            </w:r>
            <w:r>
              <w:rPr>
                <w:rFonts w:ascii="Calibri" w:hAnsi="Calibri"/>
                <w:color w:val="24292E"/>
                <w:sz w:val="19"/>
              </w:rPr>
              <w:t xml:space="preserve">, </w:t>
            </w:r>
            <w:r>
              <w:rPr>
                <w:rFonts w:ascii="Consolas" w:hAnsi="Consolas"/>
                <w:color w:val="032F62"/>
                <w:sz w:val="18"/>
              </w:rPr>
              <w:t>Lead.parentProjectId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w:t>
            </w:r>
            <w:r>
              <w:rPr>
                <w:rFonts w:ascii="Calibri" w:hAnsi="Calibri"/>
                <w:color w:val="24292E"/>
                <w:sz w:val="19"/>
              </w:rPr>
              <w:t xml:space="preserve"> Master</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Strict Project-only parentage for </w:t>
            </w:r>
            <w:r>
              <w:rPr>
                <w:rFonts w:ascii="Consolas" w:hAnsi="Consolas"/>
                <w:color w:val="032F62"/>
                <w:sz w:val="18"/>
              </w:rPr>
              <w:t>RENEWAL</w:t>
            </w:r>
            <w:r>
              <w:rPr>
                <w:rFonts w:ascii="Calibri" w:hAnsi="Calibri"/>
                <w:color w:val="24292E"/>
                <w:sz w:val="19"/>
              </w:rPr>
              <w:t>/</w:t>
            </w:r>
            <w:r>
              <w:rPr>
                <w:rFonts w:ascii="Consolas" w:hAnsi="Consolas"/>
                <w:color w:val="032F62"/>
                <w:sz w:val="18"/>
              </w:rPr>
              <w:t>UP_SELL</w:t>
            </w:r>
            <w:r>
              <w:rPr>
                <w:rFonts w:ascii="Calibri" w:hAnsi="Calibri"/>
                <w:color w:val="24292E"/>
                <w:sz w:val="19"/>
              </w:rPr>
              <w:t>; cohort ARR retention formula.</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`DEMO-06`</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Sequential Lead Numbering</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3.3, 3.3b</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LeadNumberCounter</w:t>
            </w:r>
            <w:r>
              <w:rPr>
                <w:rFonts w:ascii="Calibri" w:hAnsi="Calibri"/>
                <w:color w:val="24292E"/>
                <w:sz w:val="19"/>
              </w:rPr>
              <w:t xml:space="preserve">, </w:t>
            </w:r>
            <w:r>
              <w:rPr>
                <w:rFonts w:ascii="Consolas" w:hAnsi="Consolas"/>
                <w:color w:val="032F62"/>
                <w:sz w:val="18"/>
              </w:rPr>
              <w:t>allocateNextLeadNumber(tx)</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DB Sequence</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 xml:space="preserve">Same-transaction allocation with </w:t>
            </w:r>
            <w:r>
              <w:rPr>
                <w:rFonts w:ascii="Consolas" w:hAnsi="Consolas"/>
                <w:color w:val="032F62"/>
                <w:sz w:val="18"/>
              </w:rPr>
              <w:t>tx.lead.create</w:t>
            </w:r>
            <w:r>
              <w:rPr>
                <w:rFonts w:ascii="Calibri" w:hAnsi="Calibri"/>
                <w:color w:val="24292E"/>
                <w:sz w:val="19"/>
              </w:rPr>
              <w:t>; best-effort reconciliation only for ambiguous commit outcomes.</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`DEMO-07`</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Inbound CRM (Pipedrive) Sync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8.0, 8.0b</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PipedriveProductMapping</w:t>
            </w:r>
            <w:r>
              <w:rPr>
                <w:rFonts w:ascii="Calibri" w:hAnsi="Calibri"/>
                <w:color w:val="24292E"/>
                <w:sz w:val="19"/>
              </w:rPr>
              <w:t>, Webhook handler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Basic Import: </w:t>
            </w:r>
            <w:r>
              <w:rPr>
                <w:rFonts w:ascii="Consolas" w:hAnsi="Consolas"/>
                <w:color w:val="032F62"/>
                <w:sz w:val="18"/>
              </w:rPr>
              <w:t>IMPLEMENTED</w:t>
            </w:r>
            <w:r>
              <w:rPr>
                <w:rFonts w:ascii="Calibri" w:hAnsi="Calibri"/>
                <w:color w:val="24292E"/>
                <w:sz w:val="19"/>
              </w:rPr>
              <w:t xml:space="preserve">&lt;br&gt;• Converted Lock: </w:t>
            </w:r>
            <w:r>
              <w:rPr>
                <w:rFonts w:ascii="Consolas" w:hAnsi="Consolas"/>
                <w:color w:val="032F62"/>
                <w:sz w:val="18"/>
              </w:rPr>
              <w:t>IMPLEMENTED</w:t>
            </w:r>
            <w:r>
              <w:rPr>
                <w:rFonts w:ascii="Calibri" w:hAnsi="Calibri"/>
                <w:color w:val="24292E"/>
                <w:sz w:val="19"/>
              </w:rPr>
              <w:t xml:space="preserve">&lt;br&gt;• Product Mapping: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DEMO-02</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Single-instance connection key; quarantine review for unmapped products; converted leads locked from CRM overwrite.</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`DEMO-08`</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Sales Stage &amp; Probability Policy</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5.1, 5.2</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LeadStage</w:t>
            </w:r>
            <w:r>
              <w:rPr>
                <w:rFonts w:ascii="Calibri" w:hAnsi="Calibri"/>
                <w:color w:val="24292E"/>
                <w:sz w:val="19"/>
              </w:rPr>
              <w:t xml:space="preserve">, </w:t>
            </w:r>
            <w:r>
              <w:rPr>
                <w:rFonts w:ascii="Consolas" w:hAnsi="Consolas"/>
                <w:color w:val="032F62"/>
                <w:sz w:val="18"/>
              </w:rPr>
              <w:t>Lead.probability</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PARTIALLY IMPLEMENTED — REQUIREMENT CONFLICT OPEN</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Base Stages</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Canonical 6 stages (</w:t>
            </w:r>
            <w:r>
              <w:rPr>
                <w:rFonts w:ascii="Consolas" w:hAnsi="Consolas"/>
                <w:color w:val="032F62"/>
                <w:sz w:val="18"/>
              </w:rPr>
              <w:t>NEW 20%</w:t>
            </w:r>
            <w:r>
              <w:rPr>
                <w:rFonts w:ascii="Calibri" w:hAnsi="Calibri"/>
                <w:color w:val="24292E"/>
                <w:sz w:val="19"/>
              </w:rPr>
              <w:t xml:space="preserve"> to </w:t>
            </w:r>
            <w:r>
              <w:rPr>
                <w:rFonts w:ascii="Consolas" w:hAnsi="Consolas"/>
                <w:color w:val="032F62"/>
                <w:sz w:val="18"/>
              </w:rPr>
              <w:t>WON 100%</w:t>
            </w:r>
            <w:r>
              <w:rPr>
                <w:rFonts w:ascii="Calibri" w:hAnsi="Calibri"/>
                <w:color w:val="24292E"/>
                <w:sz w:val="19"/>
              </w:rPr>
              <w:t>); FSD-08 v0.03 discovery policy superseded; automated default win probability; audited manual overrides with reason.</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`DEMO-09`</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Presales Workspace &amp; CAC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4.1, 4.2, 4.3</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ProjectKind.PRESALES</w:t>
            </w:r>
            <w:r>
              <w:rPr>
                <w:rFonts w:ascii="Calibri" w:hAnsi="Calibri"/>
                <w:color w:val="24292E"/>
                <w:sz w:val="19"/>
              </w:rPr>
              <w:t>, Timesheet CAC ledger</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DEMO-04</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Strictly opt-in at </w:t>
            </w:r>
            <w:r>
              <w:rPr>
                <w:rFonts w:ascii="Consolas" w:hAnsi="Consolas"/>
                <w:color w:val="032F62"/>
                <w:sz w:val="18"/>
              </w:rPr>
              <w:t>QUALIFIED</w:t>
            </w:r>
            <w:r>
              <w:rPr>
                <w:rFonts w:ascii="Calibri" w:hAnsi="Calibri"/>
                <w:color w:val="24292E"/>
                <w:sz w:val="19"/>
              </w:rPr>
              <w:t>; presales hours isolated from delivery EVM/BAC.</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`DEMO-10`</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Margin Governance &amp; Finance SoD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6.2, 6.3</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CommercialBudgetRevision</w:t>
            </w:r>
            <w:r>
              <w:rPr>
                <w:rFonts w:ascii="Calibri" w:hAnsi="Calibri"/>
                <w:color w:val="24292E"/>
                <w:sz w:val="19"/>
              </w:rPr>
              <w:t xml:space="preserve">, </w:t>
            </w:r>
            <w:r>
              <w:rPr>
                <w:rFonts w:ascii="Consolas" w:hAnsi="Consolas"/>
                <w:color w:val="032F62"/>
                <w:sz w:val="18"/>
              </w:rPr>
              <w:t>calculateMargin()</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DEMO-02</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Configurable VAT snapshot (</w:t>
            </w:r>
            <w:r>
              <w:rPr>
                <w:rFonts w:ascii="Consolas" w:hAnsi="Consolas"/>
                <w:color w:val="032F62"/>
                <w:sz w:val="18"/>
              </w:rPr>
              <w:t>Decimal(5, 2)</w:t>
            </w:r>
            <w:r>
              <w:rPr>
                <w:rFonts w:ascii="Calibri" w:hAnsi="Calibri"/>
                <w:color w:val="24292E"/>
                <w:sz w:val="19"/>
              </w:rPr>
              <w:t>); Separation of Duties (owner cannot approve); dual Management escalation for $&lt;20\%$.</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Project Baseline Auto-Sync</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7.0</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ProjectBaseline</w:t>
            </w:r>
            <w:r>
              <w:rPr>
                <w:rFonts w:ascii="Calibri" w:hAnsi="Calibri"/>
                <w:color w:val="24292E"/>
                <w:sz w:val="19"/>
              </w:rPr>
              <w:t xml:space="preserve"> (</w:t>
            </w:r>
            <w:r>
              <w:rPr>
                <w:rFonts w:ascii="Consolas" w:hAnsi="Consolas"/>
                <w:color w:val="032F62"/>
                <w:sz w:val="18"/>
              </w:rPr>
              <w:t>source: ACTIVATION / CHANGE_REQUEST</w:t>
            </w:r>
            <w:r>
              <w:rPr>
                <w:rFonts w:ascii="Calibri" w:hAnsi="Calibri"/>
                <w:color w:val="24292E"/>
                <w:sz w:val="19"/>
              </w:rPr>
              <w:t>)</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 — ATOMICITY &amp; UNIQUENESS GAPS</w:t>
            </w:r>
            <w:r>
              <w:rPr>
                <w:rFonts w:ascii="Calibri" w:hAnsi="Calibri"/>
                <w:color w:val="24292E"/>
                <w:sz w:val="19"/>
              </w:rPr>
              <w:t xml:space="preserve">&lt;br&gt;• Core Model: </w:t>
            </w:r>
            <w:r>
              <w:rPr>
                <w:rFonts w:ascii="Consolas" w:hAnsi="Consolas"/>
                <w:color w:val="032F62"/>
                <w:sz w:val="18"/>
              </w:rPr>
              <w:t>EXISTING</w:t>
            </w:r>
            <w:r>
              <w:rPr>
                <w:rFonts w:ascii="Calibri" w:hAnsi="Calibri"/>
                <w:color w:val="24292E"/>
                <w:sz w:val="19"/>
              </w:rPr>
              <w:t xml:space="preserve">&lt;br&gt;• Activation Flow: </w:t>
            </w:r>
            <w:r>
              <w:rPr>
                <w:rFonts w:ascii="Consolas" w:hAnsi="Consolas"/>
                <w:color w:val="032F62"/>
                <w:sz w:val="18"/>
              </w:rPr>
              <w:t>EXISTING/PARTIAL</w:t>
            </w:r>
            <w:r>
              <w:rPr>
                <w:rFonts w:ascii="Calibri" w:hAnsi="Calibri"/>
                <w:color w:val="24292E"/>
                <w:sz w:val="19"/>
              </w:rPr>
              <w:t xml:space="preserve">&lt;br&gt;• Transaction &amp; Partial Index: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DEMO-10</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Partial unique index enforces at most one current baseline; atomic transaction boundary (</w:t>
            </w:r>
            <w:r>
              <w:rPr>
                <w:rFonts w:ascii="Consolas" w:hAnsi="Consolas"/>
                <w:color w:val="032F62"/>
                <w:sz w:val="18"/>
              </w:rPr>
              <w:t>prisma.$transaction</w:t>
            </w:r>
            <w:r>
              <w:rPr>
                <w:rFonts w:ascii="Calibri" w:hAnsi="Calibri"/>
                <w:color w:val="24292E"/>
                <w:sz w:val="19"/>
              </w:rPr>
              <w:t>) and backfill reconciliation guarantee at least one for active delivery projects.</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`DEMO-12 (P1)`</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Project Client Attribution Hard Lock</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 9.0</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PATCH /api/projects/:id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IMPLEMENTED &amp;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TESTED</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Live API (</w:t>
            </w:r>
            <w:r>
              <w:rPr>
                <w:rFonts w:ascii="Consolas" w:hAnsi="Consolas"/>
                <w:color w:val="032F62"/>
                <w:sz w:val="18"/>
              </w:rPr>
              <w:t>aa3425a</w:t>
            </w:r>
            <w:r>
              <w:rPr>
                <w:rFonts w:ascii="Calibri" w:hAnsi="Calibri"/>
                <w:color w:val="24292E"/>
                <w:sz w:val="19"/>
              </w:rPr>
              <w:t>)</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Project.clientId</w:t>
            </w:r>
            <w:r>
              <w:rPr>
                <w:rFonts w:ascii="Calibri" w:hAnsi="Calibri"/>
                <w:color w:val="24292E"/>
                <w:sz w:val="19"/>
              </w:rPr>
              <w:t xml:space="preserve"> locked across all roles in </w:t>
            </w:r>
            <w:r>
              <w:rPr>
                <w:rFonts w:ascii="Consolas" w:hAnsi="Consolas"/>
                <w:color w:val="032F62"/>
                <w:sz w:val="18"/>
              </w:rPr>
              <w:t>PATCH /api/projects/:id</w:t>
            </w:r>
            <w:r>
              <w:rPr>
                <w:rFonts w:ascii="Calibri" w:hAnsi="Calibri"/>
                <w:color w:val="24292E"/>
                <w:sz w:val="19"/>
              </w:rPr>
              <w:t xml:space="preserve">; returns </w:t>
            </w:r>
            <w:r>
              <w:rPr>
                <w:rFonts w:ascii="Consolas" w:hAnsi="Consolas"/>
                <w:color w:val="032F62"/>
                <w:sz w:val="18"/>
              </w:rPr>
              <w:t>CLIENT_ATTRIBUTION_LOCKED</w:t>
            </w:r>
            <w:r>
              <w:rPr>
                <w:rFonts w:ascii="Calibri" w:hAnsi="Calibri"/>
                <w:color w:val="24292E"/>
                <w:sz w:val="19"/>
              </w:rPr>
              <w:t xml:space="preserve"> (</w:t>
            </w:r>
            <w:r>
              <w:rPr>
                <w:rFonts w:ascii="Consolas" w:hAnsi="Consolas"/>
                <w:color w:val="032F62"/>
                <w:sz w:val="18"/>
              </w:rPr>
              <w:t>HTTP 409</w:t>
            </w:r>
            <w:r>
              <w:rPr>
                <w:rFonts w:ascii="Calibri" w:hAnsi="Calibri"/>
                <w:color w:val="24292E"/>
                <w:sz w:val="19"/>
              </w:rPr>
              <w:t xml:space="preserve">); identical </w:t>
            </w:r>
            <w:r>
              <w:rPr>
                <w:rFonts w:ascii="Consolas" w:hAnsi="Consolas"/>
                <w:color w:val="032F62"/>
                <w:sz w:val="18"/>
              </w:rPr>
              <w:t>clientId</w:t>
            </w:r>
            <w:r>
              <w:rPr>
                <w:rFonts w:ascii="Calibri" w:hAnsi="Calibri"/>
                <w:color w:val="24292E"/>
                <w:sz w:val="19"/>
              </w:rPr>
              <w:t xml:space="preserve"> accepted for compatibility; regression tests verified.</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`DEMO-12 (P2)`</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Client Attribution Dual Approval</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 9.0b</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ClientAttributionCorrection</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DEMO-12 (P1)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Dual independent sign-off from </w:t>
            </w:r>
            <w:r>
              <w:rPr>
                <w:rFonts w:ascii="Consolas" w:hAnsi="Consolas"/>
                <w:color w:val="032F62"/>
                <w:sz w:val="18"/>
              </w:rPr>
              <w:t>MANAGEMENT</w:t>
            </w:r>
            <w:r>
              <w:rPr>
                <w:rFonts w:ascii="Calibri" w:hAnsi="Calibri"/>
                <w:color w:val="24292E"/>
                <w:sz w:val="19"/>
              </w:rPr>
              <w:t xml:space="preserve"> and </w:t>
            </w:r>
            <w:r>
              <w:rPr>
                <w:rFonts w:ascii="Consolas" w:hAnsi="Consolas"/>
                <w:color w:val="032F62"/>
                <w:sz w:val="18"/>
              </w:rPr>
              <w:t>FINANCE</w:t>
            </w:r>
            <w:r>
              <w:rPr>
                <w:rFonts w:ascii="Calibri" w:hAnsi="Calibri"/>
                <w:color w:val="24292E"/>
                <w:sz w:val="19"/>
              </w:rPr>
              <w:t>; strictly blocked if invoice paid (requires Novation).</w:t>
            </w:r>
          </w:p>
        </w:tc>
      </w:tr>
      <w:tr>
        <w:tc>
          <w:tcPr>
            <w:tcW w:type="dxa" w:w="1170"/>
            <w:shd w:fill="F8F9FA"/>
            <w:tcMar>
              <w:top w:w="100" w:type="dxa"/>
              <w:bottom w:w="100" w:type="dxa"/>
              <w:left w:w="150" w:type="dxa"/>
              <w:right w:w="150" w:type="dxa"/>
            </w:tcMar>
          </w:tcPr>
          <w:p>
            <w:pPr>
              <w:spacing w:before="40" w:after="40"/>
            </w:pPr>
            <w:r>
              <w:rPr>
                <w:rFonts w:ascii="Calibri" w:hAnsi="Calibri"/>
                <w:b/>
                <w:color w:val="24292E"/>
                <w:sz w:val="19"/>
              </w:rPr>
              <w:t>`DEMO-13`</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Revenue Recognition Dual-Timeline</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Decisions 13.1 to 13.7</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RevenueRecognitionSchedule</w:t>
            </w:r>
            <w:r>
              <w:rPr>
                <w:rFonts w:ascii="Calibri" w:hAnsi="Calibri"/>
                <w:color w:val="24292E"/>
                <w:sz w:val="19"/>
              </w:rPr>
              <w:t xml:space="preserve">, </w:t>
            </w:r>
            <w:r>
              <w:rPr>
                <w:rFonts w:ascii="Consolas" w:hAnsi="Consolas"/>
                <w:color w:val="032F62"/>
                <w:sz w:val="18"/>
              </w:rPr>
              <w:t>RevenueRecognitionEvidence</w:t>
            </w:r>
            <w:r>
              <w:rPr>
                <w:rFonts w:ascii="Calibri" w:hAnsi="Calibri"/>
                <w:color w:val="24292E"/>
                <w:sz w:val="19"/>
              </w:rPr>
              <w:t xml:space="preserve">, </w:t>
            </w:r>
            <w:r>
              <w:rPr>
                <w:rFonts w:ascii="Consolas" w:hAnsi="Consolas"/>
                <w:color w:val="032F62"/>
                <w:sz w:val="18"/>
              </w:rPr>
              <w:t>RevenueRecognitionEntry</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IMPLEMENTED — CURRENT LEGACY BEHAVIOR CONTRADICTS TARGET DESIGN</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8F9FA"/>
            <w:tcMar>
              <w:top w:w="100" w:type="dxa"/>
              <w:bottom w:w="100" w:type="dxa"/>
              <w:left w:w="150" w:type="dxa"/>
              <w:right w:w="150" w:type="dxa"/>
            </w:tcMar>
          </w:tcPr>
          <w:p>
            <w:pPr>
              <w:spacing w:before="40" w:after="40"/>
            </w:pPr>
            <w:r>
              <w:rPr>
                <w:rFonts w:ascii="Consolas" w:hAnsi="Consolas"/>
                <w:color w:val="032F62"/>
                <w:sz w:val="18"/>
              </w:rPr>
              <w:t>DEMO-02</w:t>
            </w:r>
            <w:r>
              <w:rPr>
                <w:rFonts w:ascii="Calibri" w:hAnsi="Calibri"/>
                <w:color w:val="24292E"/>
                <w:sz w:val="19"/>
              </w:rPr>
              <w:t xml:space="preserve">, </w:t>
            </w:r>
            <w:r>
              <w:rPr>
                <w:rFonts w:ascii="Consolas" w:hAnsi="Consolas"/>
                <w:color w:val="032F62"/>
                <w:sz w:val="18"/>
              </w:rPr>
              <w:t>DEMO-10</w:t>
            </w:r>
          </w:p>
        </w:tc>
        <w:tc>
          <w:tcPr>
            <w:tcW w:type="dxa" w:w="1170"/>
            <w:shd w:fill="F8F9FA"/>
            <w:tcMar>
              <w:top w:w="100" w:type="dxa"/>
              <w:bottom w:w="100" w:type="dxa"/>
              <w:left w:w="150" w:type="dxa"/>
              <w:right w:w="150" w:type="dxa"/>
            </w:tcMar>
          </w:tcPr>
          <w:p>
            <w:pPr>
              <w:spacing w:before="40" w:after="40"/>
            </w:pPr>
            <w:r>
              <w:rPr>
                <w:rFonts w:ascii="Calibri" w:hAnsi="Calibri"/>
                <w:color w:val="24292E"/>
                <w:sz w:val="19"/>
              </w:rPr>
              <w:t>Decoupled RevRec ledger; performance obligation triggers; Finance baseline lock; PM evidence upload; immutable reversal-based entries; reviewed Xero CSV export; Negative Paid test (</w:t>
            </w:r>
            <w:r>
              <w:rPr>
                <w:rFonts w:ascii="Consolas" w:hAnsi="Consolas"/>
                <w:color w:val="032F62"/>
                <w:sz w:val="18"/>
              </w:rPr>
              <w:t>13-AC-08</w:t>
            </w:r>
            <w:r>
              <w:rPr>
                <w:rFonts w:ascii="Calibri" w:hAnsi="Calibri"/>
                <w:color w:val="24292E"/>
                <w:sz w:val="19"/>
              </w:rPr>
              <w:t>).</w:t>
            </w:r>
          </w:p>
        </w:tc>
      </w:tr>
      <w:tr>
        <w:tc>
          <w:tcPr>
            <w:tcW w:type="dxa" w:w="1170"/>
            <w:shd w:fill="FFFFFF"/>
            <w:tcMar>
              <w:top w:w="100" w:type="dxa"/>
              <w:bottom w:w="100" w:type="dxa"/>
              <w:left w:w="150" w:type="dxa"/>
              <w:right w:w="150" w:type="dxa"/>
            </w:tcMar>
          </w:tcPr>
          <w:p>
            <w:pPr>
              <w:spacing w:before="40" w:after="40"/>
            </w:pPr>
            <w:r>
              <w:rPr>
                <w:rFonts w:ascii="Calibri" w:hAnsi="Calibri"/>
                <w:b/>
                <w:color w:val="24292E"/>
                <w:sz w:val="19"/>
              </w:rPr>
              <w:t>`DEMO-14`</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Project Activation Data Integrity Gate</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Decisions 14.1 to 14.7</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lib/projectValidators.ts</w:t>
            </w:r>
            <w:r>
              <w:rPr>
                <w:rFonts w:ascii="Calibri" w:hAnsi="Calibri"/>
                <w:color w:val="24292E"/>
                <w:sz w:val="19"/>
              </w:rPr>
              <w:t xml:space="preserve">, </w:t>
            </w:r>
            <w:r>
              <w:rPr>
                <w:rFonts w:ascii="Consolas" w:hAnsi="Consolas"/>
                <w:color w:val="032F62"/>
                <w:sz w:val="18"/>
              </w:rPr>
              <w:t>Project.businessUnitId</w:t>
            </w:r>
            <w:r>
              <w:rPr>
                <w:rFonts w:ascii="Calibri" w:hAnsi="Calibri"/>
                <w:color w:val="24292E"/>
                <w:sz w:val="19"/>
              </w:rPr>
              <w:t xml:space="preserve">, </w:t>
            </w:r>
            <w:r>
              <w:rPr>
                <w:rFonts w:ascii="Consolas" w:hAnsi="Consolas"/>
                <w:color w:val="032F62"/>
                <w:sz w:val="18"/>
              </w:rPr>
              <w:t>ProjectBaseline</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PARTIALLY IMPLEMENTED — SHARED EVALUATOR/422/ATOMICITY NOT IMPLEMENTED</w:t>
            </w:r>
            <w:r>
              <w:rPr>
                <w:rFonts w:ascii="Calibri" w:hAnsi="Calibri"/>
                <w:color w:val="24292E"/>
                <w:sz w:val="19"/>
              </w:rPr>
              <w:t xml:space="preserve">&lt;br&gt;• Basic Scalar Gate: </w:t>
            </w:r>
            <w:r>
              <w:rPr>
                <w:rFonts w:ascii="Consolas" w:hAnsi="Consolas"/>
                <w:color w:val="032F62"/>
                <w:sz w:val="18"/>
              </w:rPr>
              <w:t>EXISTING (HTTP 400)</w:t>
            </w:r>
            <w:r>
              <w:rPr>
                <w:rFonts w:ascii="Calibri" w:hAnsi="Calibri"/>
                <w:color w:val="24292E"/>
                <w:sz w:val="19"/>
              </w:rPr>
              <w:t xml:space="preserve">&lt;br&gt;• Shared Evaluator &amp; 422: </w:t>
            </w:r>
            <w:r>
              <w:rPr>
                <w:rFonts w:ascii="Consolas" w:hAnsi="Consolas"/>
                <w:color w:val="032F62"/>
                <w:sz w:val="18"/>
              </w:rPr>
              <w:t>NOT IMPLEMENTED</w:t>
            </w:r>
            <w:r>
              <w:rPr>
                <w:rFonts w:ascii="Calibri" w:hAnsi="Calibri"/>
                <w:color w:val="24292E"/>
                <w:sz w:val="19"/>
              </w:rPr>
              <w:t xml:space="preserve">&lt;br&gt;• Atomic Transaction: </w:t>
            </w:r>
            <w:r>
              <w:rPr>
                <w:rFonts w:ascii="Consolas" w:hAnsi="Consolas"/>
                <w:color w:val="032F62"/>
                <w:sz w:val="18"/>
              </w:rPr>
              <w:t>NOT IMPLEMENTED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170"/>
            <w:shd w:fill="FFFFFF"/>
            <w:tcMar>
              <w:top w:w="100" w:type="dxa"/>
              <w:bottom w:w="100" w:type="dxa"/>
              <w:left w:w="150" w:type="dxa"/>
              <w:right w:w="150" w:type="dxa"/>
            </w:tcMar>
          </w:tcPr>
          <w:p>
            <w:pPr>
              <w:spacing w:before="40" w:after="40"/>
            </w:pPr>
            <w:r>
              <w:rPr>
                <w:rFonts w:ascii="Consolas" w:hAnsi="Consolas"/>
                <w:color w:val="032F62"/>
                <w:sz w:val="18"/>
              </w:rPr>
              <w:t>DEMO-02</w:t>
            </w:r>
            <w:r>
              <w:rPr>
                <w:rFonts w:ascii="Calibri" w:hAnsi="Calibri"/>
                <w:color w:val="24292E"/>
                <w:sz w:val="19"/>
              </w:rPr>
              <w:t xml:space="preserve">, </w:t>
            </w:r>
            <w:r>
              <w:rPr>
                <w:rFonts w:ascii="Consolas" w:hAnsi="Consolas"/>
                <w:color w:val="032F62"/>
                <w:sz w:val="18"/>
              </w:rPr>
              <w:t>DEMO-10</w:t>
            </w:r>
            <w:r>
              <w:rPr>
                <w:rFonts w:ascii="Calibri" w:hAnsi="Calibri"/>
                <w:color w:val="24292E"/>
                <w:sz w:val="19"/>
              </w:rPr>
              <w:t xml:space="preserve">, </w:t>
            </w:r>
            <w:r>
              <w:rPr>
                <w:rFonts w:ascii="Consolas" w:hAnsi="Consolas"/>
                <w:color w:val="032F62"/>
                <w:sz w:val="18"/>
              </w:rPr>
              <w:t>DEMO-11</w:t>
            </w:r>
          </w:p>
        </w:tc>
        <w:tc>
          <w:tcPr>
            <w:tcW w:type="dxa" w:w="1170"/>
            <w:shd w:fill="FFFFFF"/>
            <w:tcMar>
              <w:top w:w="100" w:type="dxa"/>
              <w:bottom w:w="100" w:type="dxa"/>
              <w:left w:w="150" w:type="dxa"/>
              <w:right w:w="150" w:type="dxa"/>
            </w:tcMar>
          </w:tcPr>
          <w:p>
            <w:pPr>
              <w:spacing w:before="40" w:after="40"/>
            </w:pPr>
            <w:r>
              <w:rPr>
                <w:rFonts w:ascii="Calibri" w:hAnsi="Calibri"/>
                <w:color w:val="24292E"/>
                <w:sz w:val="19"/>
              </w:rPr>
              <w:t xml:space="preserve">Shared readiness evaluator; effective-state validation; approved commercial snapshot (no negative expenses); explicit ProjectKind matrix; target </w:t>
            </w:r>
            <w:r>
              <w:rPr>
                <w:rFonts w:ascii="Consolas" w:hAnsi="Consolas"/>
                <w:color w:val="032F62"/>
                <w:sz w:val="18"/>
              </w:rPr>
              <w:t>HTTP 422</w:t>
            </w:r>
            <w:r>
              <w:rPr>
                <w:rFonts w:ascii="Calibri" w:hAnsi="Calibri"/>
                <w:color w:val="24292E"/>
                <w:sz w:val="19"/>
              </w:rPr>
              <w:t xml:space="preserve"> with checklist; atomic activation transaction.</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4. Go/No-Go Compliance Matrix</w:t>
      </w:r>
    </w:p>
    <w:p>
      <w:pPr>
        <w:keepNext/>
        <w:spacing w:before="200" w:after="80"/>
      </w:pPr>
      <w:r>
        <w:rPr>
          <w:rFonts w:ascii="Calibri" w:hAnsi="Calibri"/>
          <w:b/>
          <w:color w:val="1F4E79"/>
          <w:sz w:val="26"/>
        </w:rPr>
        <w:t>🛑 14 NO-GO Pitfalls Evaluation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spacing w:before="40" w:after="40"/>
            </w:pPr>
            <w:r>
              <w:rPr>
                <w:rFonts w:ascii="Calibri" w:hAnsi="Calibri"/>
                <w:b/>
                <w:color w:val="FFFFFF"/>
                <w:sz w:val="20"/>
              </w:rPr>
              <w: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NO-GO Condition (Author Threat)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Decision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Design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Target Safeguard &amp; Codebase Reality</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Auto-spawn makes CLIENT OBSERVATION for every Lead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Opt-in restricted PRESALES workspace; zero auto-spawning on lead creation.</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Lead ID preview treated as reserved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UI badge is non-authoritative; sequence allocated atomically on DB commit.</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Lineage / contact validated in UI only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Multi-tenant isolation and same-client validation enforced server-side.</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Approval is only a timestamp on mutable Lead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Immutable </w:t>
            </w:r>
            <w:r>
              <w:rPr>
                <w:rFonts w:ascii="Consolas" w:hAnsi="Consolas"/>
                <w:color w:val="032F62"/>
                <w:sz w:val="18"/>
              </w:rPr>
              <w:t>CommercialBudgetRevision</w:t>
            </w:r>
            <w:r>
              <w:rPr>
                <w:rFonts w:ascii="Calibri" w:hAnsi="Calibri"/>
                <w:color w:val="24292E"/>
                <w:sz w:val="19"/>
              </w:rPr>
              <w:t xml:space="preserve"> hash binding; edits create new revisions.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5</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Manual and Pipedrive margins calculate differently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Unified </w:t>
            </w:r>
            <w:r>
              <w:rPr>
                <w:rFonts w:ascii="Consolas" w:hAnsi="Consolas"/>
                <w:color w:val="032F62"/>
                <w:sz w:val="18"/>
              </w:rPr>
              <w:t>calculateMargin()</w:t>
            </w:r>
            <w:r>
              <w:rPr>
                <w:rFonts w:ascii="Calibri" w:hAnsi="Calibri"/>
                <w:color w:val="24292E"/>
                <w:sz w:val="19"/>
              </w:rPr>
              <w:t xml:space="preserve"> engine shared across manual and CRM deals.</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6</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approve-margin auto-creates delivery Project</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Approval only unlocks sales stages; delivery project created strictly on </w:t>
            </w:r>
            <w:r>
              <w:rPr>
                <w:rFonts w:ascii="Consolas" w:hAnsi="Consolas"/>
                <w:color w:val="032F62"/>
                <w:sz w:val="18"/>
              </w:rPr>
              <w:t>WON</w:t>
            </w:r>
            <w:r>
              <w:rPr>
                <w:rFonts w:ascii="Calibri" w:hAnsi="Calibri"/>
                <w:color w:val="24292E"/>
                <w:sz w:val="19"/>
              </w:rPr>
              <w:t>.</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7</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New baseline engine outside ProjectBaseline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Reuses and extends existing </w:t>
            </w:r>
            <w:r>
              <w:rPr>
                <w:rFonts w:ascii="Consolas" w:hAnsi="Consolas"/>
                <w:color w:val="032F62"/>
                <w:sz w:val="18"/>
              </w:rPr>
              <w:t>ProjectBaseline</w:t>
            </w:r>
            <w:r>
              <w:rPr>
                <w:rFonts w:ascii="Calibri" w:hAnsi="Calibri"/>
                <w:color w:val="24292E"/>
                <w:sz w:val="19"/>
              </w:rPr>
              <w:t xml:space="preserve"> (</w:t>
            </w:r>
            <w:r>
              <w:rPr>
                <w:rFonts w:ascii="Consolas" w:hAnsi="Consolas"/>
                <w:color w:val="032F62"/>
                <w:sz w:val="18"/>
              </w:rPr>
              <w:t>source: ACTIVATION / CHANGE_REQUEST</w:t>
            </w:r>
            <w:r>
              <w:rPr>
                <w:rFonts w:ascii="Calibri" w:hAnsi="Calibri"/>
                <w:color w:val="24292E"/>
                <w:sz w:val="19"/>
              </w:rPr>
              <w:t>).</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8</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Client.name permanently frozen</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 /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IMPLEMENTED</w:t>
            </w:r>
            <w:r>
              <w:rPr>
                <w:rFonts w:ascii="Calibri" w:hAnsi="Calibri"/>
                <w:color w:val="24292E"/>
                <w:sz w:val="19"/>
              </w:rPr>
              <w:t xml:space="preserve"> (Phase 1)</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TESTED</w:t>
            </w:r>
            <w:r>
              <w:rPr>
                <w:rFonts w:ascii="Calibri" w:hAnsi="Calibri"/>
                <w:color w:val="24292E"/>
                <w:sz w:val="19"/>
              </w:rPr>
              <w:t xml:space="preserve"> (Phase 1)</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Locks </w:t>
            </w:r>
            <w:r>
              <w:rPr>
                <w:rFonts w:ascii="Consolas" w:hAnsi="Consolas"/>
                <w:color w:val="032F62"/>
                <w:sz w:val="18"/>
              </w:rPr>
              <w:t>Project.clientId</w:t>
            </w:r>
            <w:r>
              <w:rPr>
                <w:rFonts w:ascii="Calibri" w:hAnsi="Calibri"/>
                <w:color w:val="24292E"/>
                <w:sz w:val="19"/>
              </w:rPr>
              <w:t xml:space="preserve"> (</w:t>
            </w:r>
            <w:r>
              <w:rPr>
                <w:rFonts w:ascii="Consolas" w:hAnsi="Consolas"/>
                <w:color w:val="032F62"/>
                <w:sz w:val="18"/>
              </w:rPr>
              <w:t>CLIENT_ATTRIBUTION_LOCKED</w:t>
            </w:r>
            <w:r>
              <w:rPr>
                <w:rFonts w:ascii="Calibri" w:hAnsi="Calibri"/>
                <w:color w:val="24292E"/>
                <w:sz w:val="19"/>
              </w:rPr>
              <w:t xml:space="preserve">) while keeping </w:t>
            </w:r>
            <w:r>
              <w:rPr>
                <w:rFonts w:ascii="Consolas" w:hAnsi="Consolas"/>
                <w:color w:val="032F62"/>
                <w:sz w:val="18"/>
              </w:rPr>
              <w:t>Client.name</w:t>
            </w:r>
            <w:r>
              <w:rPr>
                <w:rFonts w:ascii="Calibri" w:hAnsi="Calibri"/>
                <w:color w:val="24292E"/>
                <w:sz w:val="19"/>
              </w:rPr>
              <w:t xml:space="preserve"> editable.</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9</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New fields mandatory before imports are ready</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Optional at </w:t>
            </w:r>
            <w:r>
              <w:rPr>
                <w:rFonts w:ascii="Consolas" w:hAnsi="Consolas"/>
                <w:color w:val="032F62"/>
                <w:sz w:val="18"/>
              </w:rPr>
              <w:t>NEW</w:t>
            </w:r>
            <w:r>
              <w:rPr>
                <w:rFonts w:ascii="Calibri" w:hAnsi="Calibri"/>
                <w:color w:val="24292E"/>
                <w:sz w:val="19"/>
              </w:rPr>
              <w:t xml:space="preserve"> stage; mandatory validation enforced at </w:t>
            </w:r>
            <w:r>
              <w:rPr>
                <w:rFonts w:ascii="Consolas" w:hAnsi="Consolas"/>
                <w:color w:val="032F62"/>
                <w:sz w:val="18"/>
              </w:rPr>
              <w:t>QUALIFIED</w:t>
            </w:r>
            <w:r>
              <w:rPr>
                <w:rFonts w:ascii="Calibri" w:hAnsi="Calibri"/>
                <w:color w:val="24292E"/>
                <w:sz w:val="19"/>
              </w:rPr>
              <w:t>/</w:t>
            </w:r>
            <w:r>
              <w:rPr>
                <w:rFonts w:ascii="Consolas" w:hAnsi="Consolas"/>
                <w:color w:val="032F62"/>
                <w:sz w:val="18"/>
              </w:rPr>
              <w:t>PROPOSAL</w:t>
            </w:r>
            <w:r>
              <w:rPr>
                <w:rFonts w:ascii="Calibri" w:hAnsi="Calibri"/>
                <w:color w:val="24292E"/>
                <w:sz w:val="19"/>
              </w:rPr>
              <w:t>.</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10</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New Float fields without precision policy</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xml:space="preserve">: Strict </w:t>
            </w:r>
            <w:r>
              <w:rPr>
                <w:rFonts w:ascii="Consolas" w:hAnsi="Consolas"/>
                <w:color w:val="032F62"/>
                <w:sz w:val="18"/>
              </w:rPr>
              <w:t>Decimal</w:t>
            </w:r>
            <w:r>
              <w:rPr>
                <w:rFonts w:ascii="Calibri" w:hAnsi="Calibri"/>
                <w:color w:val="24292E"/>
                <w:sz w:val="19"/>
              </w:rPr>
              <w:t xml:space="preserve"> precision policy and explicit rounding rules.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Invoice payment automatically recognized as revenue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RevRec decoupled from BillingMilestone; payment creates contract liability, recognition mandates fulfilled performance obligations.</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In-place mutation or deletion of recognized revenue entries</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RevenueRecognitionEntry is strictly immutable; corrections mandate linked reversal and replacement records.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Creating a disconnected ProjectContractLine table instead of using approved commercial snapshot</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Contract lines snapshot directly from approved CommercialBudgetRevision upon Won conversion; negative expense masking strictly rejected.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Activation evaluator checks DB state only or request body only</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b/>
                <w:color w:val="24292E"/>
                <w:sz w:val="19"/>
              </w:rPr>
              <w:t>Target Safeguard</w:t>
            </w:r>
            <w:r>
              <w:rPr>
                <w:rFonts w:ascii="Calibri" w:hAnsi="Calibri"/>
                <w:color w:val="24292E"/>
                <w:sz w:val="19"/>
              </w:rPr>
              <w:t>: Evaluator validates merged effective state so single-request PATCH can supply missing data and activate atomically.</w:t>
            </w:r>
          </w:p>
        </w:tc>
      </w:tr>
    </w:tbl>
    <w:p>
      <w:pPr>
        <w:spacing w:before="0" w:after="120"/>
      </w:pPr>
    </w:p>
    <w:p>
      <w:pPr>
        <w:spacing w:before="120" w:after="120"/>
        <w:pBdr>
          <w:bottom w:val="single" w:sz="6" w:space="1" w:color="E1E4E8"/>
        </w:pBdr>
      </w:pPr>
    </w:p>
    <w:p>
      <w:pPr>
        <w:keepNext/>
        <w:spacing w:before="200" w:after="80"/>
      </w:pPr>
      <w:r>
        <w:rPr>
          <w:rFonts w:ascii="Calibri" w:hAnsi="Calibri"/>
          <w:b/>
          <w:color w:val="1F4E79"/>
          <w:sz w:val="26"/>
        </w:rPr>
        <w:t>🟢 11 GO Prerequisites Evaluation</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337"/>
        <w:gridCol w:w="1337"/>
        <w:gridCol w:w="1337"/>
        <w:gridCol w:w="1337"/>
        <w:gridCol w:w="1337"/>
        <w:gridCol w:w="1337"/>
        <w:gridCol w:w="1337"/>
      </w:tblGrid>
      <w:tr>
        <w:tc>
          <w:tcPr>
            <w:tcW w:type="dxa" w:w="1337"/>
            <w:shd w:fill="1F4E79"/>
            <w:tcMar>
              <w:top w:w="140" w:type="dxa"/>
              <w:bottom w:w="140" w:type="dxa"/>
              <w:left w:w="150" w:type="dxa"/>
              <w:right w:w="150" w:type="dxa"/>
            </w:tcMar>
          </w:tcPr>
          <w:p>
            <w:pPr>
              <w:spacing w:before="40" w:after="40"/>
            </w:pPr>
            <w:r>
              <w:rPr>
                <w:rFonts w:ascii="Calibri" w:hAnsi="Calibri"/>
                <w:b/>
                <w:color w:val="FFFFFF"/>
                <w:sz w:val="20"/>
              </w:rPr>
              <w: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GO Prerequisite (Author Requirement)</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Decision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Design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Implementation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Test / Evidence Status</w:t>
            </w:r>
          </w:p>
        </w:tc>
        <w:tc>
          <w:tcPr>
            <w:tcW w:type="dxa" w:w="1337"/>
            <w:shd w:fill="1F4E79"/>
            <w:tcMar>
              <w:top w:w="140" w:type="dxa"/>
              <w:bottom w:w="140" w:type="dxa"/>
              <w:left w:w="150" w:type="dxa"/>
              <w:right w:w="150" w:type="dxa"/>
            </w:tcMar>
          </w:tcPr>
          <w:p>
            <w:pPr>
              <w:spacing w:before="40" w:after="40"/>
            </w:pPr>
            <w:r>
              <w:rPr>
                <w:rFonts w:ascii="Calibri" w:hAnsi="Calibri"/>
                <w:b/>
                <w:color w:val="FFFFFF"/>
                <w:sz w:val="20"/>
              </w:rPr>
              <w:t>Target Verification Scope</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Domain decisions and role/security matrix 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Complete role matrix and Separation of Duties (SoD)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2</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Canonical models and immutable revision strategy accepted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 xml:space="preserve">Normalized models and versioned </w:t>
            </w:r>
            <w:r>
              <w:rPr>
                <w:rFonts w:ascii="Consolas" w:hAnsi="Consolas"/>
                <w:color w:val="032F62"/>
                <w:sz w:val="18"/>
              </w:rPr>
              <w:t>CommercialBudgetRevision</w:t>
            </w:r>
            <w:r>
              <w:rPr>
                <w:rFonts w:ascii="Calibri" w:hAnsi="Calibri"/>
                <w:color w:val="24292E"/>
                <w:sz w:val="19"/>
              </w:rPr>
              <w:t xml:space="preserve">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3</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Client/contact/lineage/BU constraints enforced server-side</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Server-side validation middleware and Prisma transaction constraints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4</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PRESALES workspace isolated and idempotent</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Presales CAC isolated from delivery EVM, BAC, and billing milestones.</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5</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Pipedrive/CSV mappings have quarantine path</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UNCLASSIFIED</w:t>
            </w:r>
            <w:r>
              <w:rPr>
                <w:rFonts w:ascii="Calibri" w:hAnsi="Calibri"/>
                <w:color w:val="24292E"/>
                <w:sz w:val="19"/>
              </w:rPr>
              <w:t xml:space="preserve"> sector and </w:t>
            </w:r>
            <w:r>
              <w:rPr>
                <w:rFonts w:ascii="Consolas" w:hAnsi="Consolas"/>
                <w:color w:val="032F62"/>
                <w:sz w:val="18"/>
              </w:rPr>
              <w:t>UNVERIFIED</w:t>
            </w:r>
            <w:r>
              <w:rPr>
                <w:rFonts w:ascii="Calibri" w:hAnsi="Calibri"/>
                <w:color w:val="24292E"/>
                <w:sz w:val="19"/>
              </w:rPr>
              <w:t xml:space="preserve"> margin quarantine workflows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6</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Approval/conversion/baseline lifecycle atomic</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Atomic conversion transaction and baseline auto-sync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7</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Project.clientId lock and correction workflow tested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SATISFIED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IMPLEMENTED</w:t>
            </w:r>
            <w:r>
              <w:rPr>
                <w:rFonts w:ascii="Calibri" w:hAnsi="Calibri"/>
                <w:color w:val="24292E"/>
                <w:sz w:val="19"/>
              </w:rPr>
              <w:t xml:space="preserve">&lt;br&gt;• Phase 1 Lock: </w:t>
            </w:r>
            <w:r>
              <w:rPr>
                <w:rFonts w:ascii="Consolas" w:hAnsi="Consolas"/>
                <w:color w:val="032F62"/>
                <w:sz w:val="18"/>
              </w:rPr>
              <w:t>IMPLEMENTED</w:t>
            </w:r>
            <w:r>
              <w:rPr>
                <w:rFonts w:ascii="Calibri" w:hAnsi="Calibri"/>
                <w:color w:val="24292E"/>
                <w:sz w:val="19"/>
              </w:rPr>
              <w:t xml:space="preserve">&lt;br&gt;• Phase 2 Workflow: </w:t>
            </w: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PARTIALLY TESTED</w:t>
            </w:r>
            <w:r>
              <w:rPr>
                <w:rFonts w:ascii="Calibri" w:hAnsi="Calibri"/>
                <w:color w:val="24292E"/>
                <w:sz w:val="19"/>
              </w:rPr>
              <w:t xml:space="preserve">&lt;br&gt;• Phase 1 Lock: </w:t>
            </w:r>
            <w:r>
              <w:rPr>
                <w:rFonts w:ascii="Consolas" w:hAnsi="Consolas"/>
                <w:color w:val="032F62"/>
                <w:sz w:val="18"/>
              </w:rPr>
              <w:t>TESTED</w:t>
            </w:r>
            <w:r>
              <w:rPr>
                <w:rFonts w:ascii="Calibri" w:hAnsi="Calibri"/>
                <w:color w:val="24292E"/>
                <w:sz w:val="19"/>
              </w:rPr>
              <w:t xml:space="preserve">&lt;br&gt;• Phase 2 Workflow: </w:t>
            </w: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Hard lock (</w:t>
            </w:r>
            <w:r>
              <w:rPr>
                <w:rFonts w:ascii="Consolas" w:hAnsi="Consolas"/>
                <w:color w:val="032F62"/>
                <w:sz w:val="18"/>
              </w:rPr>
              <w:t>CLIENT_ATTRIBUTION_LOCKED</w:t>
            </w:r>
            <w:r>
              <w:rPr>
                <w:rFonts w:ascii="Calibri" w:hAnsi="Calibri"/>
                <w:color w:val="24292E"/>
                <w:sz w:val="19"/>
              </w:rPr>
              <w:t xml:space="preserve">) verified live in </w:t>
            </w:r>
            <w:r>
              <w:rPr>
                <w:rFonts w:ascii="Consolas" w:hAnsi="Consolas"/>
                <w:color w:val="032F62"/>
                <w:sz w:val="18"/>
              </w:rPr>
              <w:t>c7080af</w:t>
            </w:r>
            <w:r>
              <w:rPr>
                <w:rFonts w:ascii="Calibri" w:hAnsi="Calibri"/>
                <w:color w:val="24292E"/>
                <w:sz w:val="19"/>
              </w:rPr>
              <w:t>; Phase 2 dual-approval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8</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Legacy compatibility and invoice regressions verified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6-month dual-write compatibility window and invoice protection rules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9</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Revenue recognition schedule decoupled with immutable reversal-based ledger entries</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Target data model with RevenueRecognitionSchedule, Evidence, and Entry specified.</w:t>
            </w:r>
          </w:p>
        </w:tc>
      </w:tr>
      <w:tr>
        <w:tc>
          <w:tcPr>
            <w:tcW w:type="dxa" w:w="1337"/>
            <w:shd w:fill="F8F9FA"/>
            <w:tcMar>
              <w:top w:w="100" w:type="dxa"/>
              <w:bottom w:w="100" w:type="dxa"/>
              <w:left w:w="150" w:type="dxa"/>
              <w:right w:w="150" w:type="dxa"/>
            </w:tcMar>
          </w:tcPr>
          <w:p>
            <w:pPr>
              <w:spacing w:before="40" w:after="40"/>
            </w:pPr>
            <w:r>
              <w:rPr>
                <w:rFonts w:ascii="Calibri" w:hAnsi="Calibri"/>
                <w:b/>
                <w:color w:val="24292E"/>
                <w:sz w:val="19"/>
              </w:rPr>
              <w:t>10</w:t>
            </w:r>
          </w:p>
        </w:tc>
        <w:tc>
          <w:tcPr>
            <w:tcW w:type="dxa" w:w="1337"/>
            <w:shd w:fill="F8F9FA"/>
            <w:tcMar>
              <w:top w:w="100" w:type="dxa"/>
              <w:bottom w:w="100" w:type="dxa"/>
              <w:left w:w="150" w:type="dxa"/>
              <w:right w:w="150" w:type="dxa"/>
            </w:tcMar>
          </w:tcPr>
          <w:p>
            <w:pPr>
              <w:spacing w:before="40" w:after="40"/>
            </w:pPr>
            <w:r>
              <w:rPr>
                <w:rFonts w:ascii="Calibri" w:hAnsi="Calibri"/>
                <w:i/>
                <w:color w:val="24292E"/>
                <w:sz w:val="19"/>
              </w:rPr>
              <w:t>Shared readiness evaluator enforcing effective state and ProjectKind matrix across API and UI</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8F9FA"/>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8F9FA"/>
            <w:tcMar>
              <w:top w:w="100" w:type="dxa"/>
              <w:bottom w:w="100" w:type="dxa"/>
              <w:left w:w="150" w:type="dxa"/>
              <w:right w:w="150" w:type="dxa"/>
            </w:tcMar>
          </w:tcPr>
          <w:p>
            <w:pPr>
              <w:spacing w:before="40" w:after="40"/>
            </w:pPr>
            <w:r>
              <w:rPr>
                <w:rFonts w:ascii="Calibri" w:hAnsi="Calibri"/>
                <w:color w:val="24292E"/>
                <w:sz w:val="19"/>
              </w:rPr>
              <w:t>Single shared evaluator contract and backward-compatible structured checklist specified.</w:t>
            </w:r>
          </w:p>
        </w:tc>
      </w:tr>
      <w:tr>
        <w:tc>
          <w:tcPr>
            <w:tcW w:type="dxa" w:w="1337"/>
            <w:shd w:fill="FFFFFF"/>
            <w:tcMar>
              <w:top w:w="100" w:type="dxa"/>
              <w:bottom w:w="100" w:type="dxa"/>
              <w:left w:w="150" w:type="dxa"/>
              <w:right w:w="150" w:type="dxa"/>
            </w:tcMar>
          </w:tcPr>
          <w:p>
            <w:pPr>
              <w:spacing w:before="40" w:after="40"/>
            </w:pPr>
            <w:r>
              <w:rPr>
                <w:rFonts w:ascii="Calibri" w:hAnsi="Calibri"/>
                <w:b/>
                <w:color w:val="24292E"/>
                <w:sz w:val="19"/>
              </w:rPr>
              <w:t>11</w:t>
            </w:r>
          </w:p>
        </w:tc>
        <w:tc>
          <w:tcPr>
            <w:tcW w:type="dxa" w:w="1337"/>
            <w:shd w:fill="FFFFFF"/>
            <w:tcMar>
              <w:top w:w="100" w:type="dxa"/>
              <w:bottom w:w="100" w:type="dxa"/>
              <w:left w:w="150" w:type="dxa"/>
              <w:right w:w="150" w:type="dxa"/>
            </w:tcMar>
          </w:tcPr>
          <w:p>
            <w:pPr>
              <w:spacing w:before="40" w:after="40"/>
            </w:pPr>
            <w:r>
              <w:rPr>
                <w:rFonts w:ascii="Calibri" w:hAnsi="Calibri"/>
                <w:i/>
                <w:color w:val="24292E"/>
                <w:sz w:val="19"/>
              </w:rPr>
              <w:t>Controlled legacy migration with explicit inferred labeling and idempotency locks</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APPROVED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SPECIFIED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IMPLEMENTED</w:t>
            </w:r>
          </w:p>
        </w:tc>
        <w:tc>
          <w:tcPr>
            <w:tcW w:type="dxa" w:w="1337"/>
            <w:shd w:fill="FFFFFF"/>
            <w:tcMar>
              <w:top w:w="100" w:type="dxa"/>
              <w:bottom w:w="100" w:type="dxa"/>
              <w:left w:w="150" w:type="dxa"/>
              <w:right w:w="150" w:type="dxa"/>
            </w:tcMar>
          </w:tcPr>
          <w:p>
            <w:pPr>
              <w:spacing w:before="40" w:after="40"/>
            </w:pPr>
            <w:r>
              <w:rPr>
                <w:rFonts w:ascii="Consolas" w:hAnsi="Consolas"/>
                <w:color w:val="032F62"/>
                <w:sz w:val="18"/>
              </w:rPr>
              <w:t>NOT TESTED</w:t>
            </w:r>
          </w:p>
        </w:tc>
        <w:tc>
          <w:tcPr>
            <w:tcW w:type="dxa" w:w="1337"/>
            <w:shd w:fill="FFFFFF"/>
            <w:tcMar>
              <w:top w:w="100" w:type="dxa"/>
              <w:bottom w:w="100" w:type="dxa"/>
              <w:left w:w="150" w:type="dxa"/>
              <w:right w:w="150" w:type="dxa"/>
            </w:tcMar>
          </w:tcPr>
          <w:p>
            <w:pPr>
              <w:spacing w:before="40" w:after="40"/>
            </w:pPr>
            <w:r>
              <w:rPr>
                <w:rFonts w:ascii="Calibri" w:hAnsi="Calibri"/>
                <w:color w:val="24292E"/>
                <w:sz w:val="19"/>
              </w:rPr>
              <w:t>Backfill tagging, reconciliation rules, cutover lock, and reviewed Xero CSV export specified.</w:t>
            </w:r>
          </w:p>
        </w:tc>
      </w:tr>
    </w:tbl>
    <w:p>
      <w:pPr>
        <w:spacing w:before="0" w:after="120"/>
      </w:pPr>
    </w:p>
    <w:p>
      <w:pPr>
        <w:spacing w:before="120" w:after="120"/>
        <w:pBdr>
          <w:bottom w:val="single" w:sz="6" w:space="1" w:color="E1E4E8"/>
        </w:pBdr>
      </w:pPr>
    </w:p>
    <w:p>
      <w:pPr>
        <w:keepNext/>
        <w:spacing w:before="280" w:after="120"/>
      </w:pPr>
      <w:r>
        <w:rPr>
          <w:rFonts w:ascii="Calibri" w:hAnsi="Calibri"/>
          <w:b/>
          <w:color w:val="2E75B6"/>
          <w:sz w:val="32"/>
        </w:rPr>
        <w:t>5. Implementation Readiness &amp; Sign-Off Governance</w:t>
      </w:r>
    </w:p>
    <w:tbl>
      <w:tblPr>
        <w:tblW w:type="auto" w:w="0"/>
        <w:jc w:val="center"/>
        <w:tblLook w:firstColumn="1" w:firstRow="1" w:lastColumn="0" w:lastRow="0" w:noHBand="0" w:noVBand="1" w:val="04A0"/>
      </w:tblPr>
      <w:tblGrid>
        <w:gridCol w:w="9360"/>
      </w:tblGrid>
      <w:tr>
        <w:tc>
          <w:tcPr>
            <w:tcW w:type="dxa" w:w="9360"/>
            <w:shd w:fill="FFF8F0"/>
            <w:tcMar>
              <w:top w:w="140" w:type="dxa"/>
              <w:bottom w:w="140" w:type="dxa"/>
              <w:left w:w="200" w:type="dxa"/>
              <w:right w:w="200" w:type="dxa"/>
            </w:tcMar>
            <w:tcBorders>
              <w:top w:val="none"/>
              <w:left w:val="single" w:sz="24" w:space="0" w:color="D97706"/>
              <w:bottom w:val="none"/>
              <w:right w:val="none"/>
            </w:tcBorders>
          </w:tcPr>
          <w:p>
            <w:pPr>
              <w:spacing w:before="40" w:after="40"/>
            </w:pPr>
            <w:r>
              <w:rPr>
                <w:rFonts w:ascii="Calibri" w:hAnsi="Calibri"/>
                <w:b/>
                <w:color w:val="D97706"/>
                <w:sz w:val="21"/>
              </w:rPr>
              <w:t xml:space="preserve">[IMPORTANT] </w:t>
            </w:r>
            <w:r>
              <w:rPr>
                <w:rFonts w:ascii="Calibri" w:hAnsi="Calibri"/>
                <w:b/>
                <w:color w:val="24292E"/>
                <w:sz w:val="21"/>
              </w:rPr>
              <w:t>Governance Definition for Technical Baseline v1.02</w:t>
            </w:r>
            <w:r>
              <w:rPr>
                <w:rFonts w:ascii="Calibri" w:hAnsi="Calibri"/>
                <w:color w:val="24292E"/>
                <w:sz w:val="21"/>
              </w:rPr>
              <w:t xml:space="preserve">: </w:t>
            </w:r>
            <w:r>
              <w:rPr>
                <w:rFonts w:ascii="Calibri" w:hAnsi="Calibri"/>
                <w:b/>
                <w:color w:val="24292E"/>
                <w:sz w:val="21"/>
              </w:rPr>
              <w:t>`v1.02 represents the Technical Review &amp; Decision Baseline across all 14 FSDs (DEMO-01 through DEMO-14), fully reconciled against Current Technical Verification Baseline aa3425a and Author Review 8 feedback. Implementation and test validation remain separately tracked delivery gates and must not be inferred from document approval.`</w:t>
            </w:r>
            <w:r>
              <w:rPr>
                <w:rFonts w:ascii="Calibri" w:hAnsi="Calibri"/>
                <w:color w:val="24292E"/>
                <w:sz w:val="21"/>
              </w:rPr>
              <w:t xml:space="preserve">  With all 30 clarification items across 12 categories resolved with approved decisions, complete narrative rationales, edge-case ambiguity resolutions, target reference specifications, explicit distinction between historical commit </w:t>
            </w:r>
            <w:r>
              <w:rPr>
                <w:rFonts w:ascii="Consolas" w:hAnsi="Consolas"/>
                <w:color w:val="032F62"/>
                <w:sz w:val="20"/>
              </w:rPr>
              <w:t>c7080af</w:t>
            </w:r>
            <w:r>
              <w:rPr>
                <w:rFonts w:ascii="Calibri" w:hAnsi="Calibri"/>
                <w:color w:val="24292E"/>
                <w:sz w:val="21"/>
              </w:rPr>
              <w:t xml:space="preserve"> and current verification HEAD </w:t>
            </w:r>
            <w:r>
              <w:rPr>
                <w:rFonts w:ascii="Consolas" w:hAnsi="Consolas"/>
                <w:color w:val="032F62"/>
                <w:sz w:val="20"/>
              </w:rPr>
              <w:t>aa3425a</w:t>
            </w:r>
            <w:r>
              <w:rPr>
                <w:rFonts w:ascii="Calibri" w:hAnsi="Calibri"/>
                <w:color w:val="24292E"/>
                <w:sz w:val="21"/>
              </w:rPr>
              <w:t xml:space="preserve">, non-destructive target extensions with PostgreSQL partial unique index, atomic transaction boundaries, PSAK 115 revenue recognition decoupling with reversal-based ledger audit, negative PAID acceptance criteria, effective-state activation gating, and the comprehensive 14-FSD Traceability Matrix (DEMO-01 to DEMO-14), this document is formally established as the </w:t>
            </w:r>
            <w:r>
              <w:rPr>
                <w:rFonts w:ascii="Calibri" w:hAnsi="Calibri"/>
                <w:b/>
                <w:color w:val="24292E"/>
                <w:sz w:val="21"/>
              </w:rPr>
              <w:t>Technical Review &amp; Decision Baseline (v1.02)</w:t>
            </w:r>
            <w:r>
              <w:rPr>
                <w:rFonts w:ascii="Calibri" w:hAnsi="Calibri"/>
                <w:color w:val="24292E"/>
                <w:sz w:val="21"/>
              </w:rPr>
              <w:t>.</w:t>
            </w:r>
          </w:p>
        </w:tc>
      </w:tr>
    </w:tbl>
    <w:p>
      <w:pPr>
        <w:spacing w:before="0" w:after="80"/>
      </w:pPr>
    </w:p>
    <w:p>
      <w:pPr>
        <w:spacing w:before="120" w:after="120"/>
        <w:pBdr>
          <w:bottom w:val="single" w:sz="6" w:space="1" w:color="E1E4E8"/>
        </w:pBdr>
      </w:pPr>
    </w:p>
    <w:p>
      <w:pPr>
        <w:keepNext/>
        <w:spacing w:before="200" w:after="80"/>
      </w:pPr>
      <w:r>
        <w:rPr>
          <w:rFonts w:ascii="Calibri" w:hAnsi="Calibri"/>
          <w:b/>
          <w:color w:val="1F4E79"/>
          <w:sz w:val="26"/>
        </w:rPr>
        <w:t>📝 Formal Stage-Gate Sign-Off &amp; Approvals (SAP Activate Template)</w:t>
      </w:r>
    </w:p>
    <w:p>
      <w:pPr>
        <w:spacing w:before="40" w:after="80" w:line="276" w:lineRule="auto"/>
      </w:pPr>
      <w:r>
        <w:rPr>
          <w:rFonts w:ascii="Calibri" w:hAnsi="Calibri"/>
          <w:color w:val="24292E"/>
          <w:sz w:val="22"/>
        </w:rPr>
        <w:t xml:space="preserve">In accordance with the </w:t>
      </w:r>
      <w:r>
        <w:rPr>
          <w:rFonts w:ascii="Calibri" w:hAnsi="Calibri"/>
          <w:i/>
          <w:color w:val="24292E"/>
          <w:sz w:val="22"/>
        </w:rPr>
        <w:t>Sign-Off &amp; Governance Template Rule</w:t>
      </w:r>
      <w:r>
        <w:rPr>
          <w:rFonts w:ascii="Calibri" w:hAnsi="Calibri"/>
          <w:color w:val="24292E"/>
          <w:sz w:val="22"/>
        </w:rPr>
        <w:t xml:space="preserve"> defined in the Working Artifacts Governance (</w:t>
      </w:r>
      <w:r>
        <w:rPr>
          <w:rFonts w:ascii="Consolas" w:hAnsi="Consolas"/>
          <w:color w:val="032F62"/>
          <w:sz w:val="21"/>
        </w:rPr>
        <w:t>README.md</w:t>
      </w:r>
      <w:r>
        <w:rPr>
          <w:rFonts w:ascii="Calibri" w:hAnsi="Calibri"/>
          <w:color w:val="24292E"/>
          <w:sz w:val="22"/>
        </w:rPr>
        <w:t>), individual personal names and titles are omitted. Business Process Owners (BPOs) and stage-gate authorities are designated strictly by functional role:</w:t>
      </w:r>
    </w:p>
    <w:tbl>
      <w:tblPr>
        <w:tblW w:type="auto" w:w="0"/>
        <w:jc w:val="center"/>
        <w:tblLook w:firstColumn="1" w:firstRow="1" w:lastColumn="0" w:lastRow="0" w:noHBand="0" w:noVBand="1" w:val="04A0"/>
        <w:tblBorders>
          <w:top w:val="single" w:sz="4" w:space="0" w:color="D0D7DE"/>
          <w:bottom w:val="single" w:sz="4" w:space="0" w:color="D0D7DE"/>
          <w:left w:val="single" w:sz="4" w:space="0" w:color="D0D7DE"/>
          <w:right w:val="single" w:sz="4" w:space="0" w:color="D0D7DE"/>
          <w:insideH w:val="single" w:sz="4" w:space="0" w:color="D0D7DE"/>
          <w:insideV w:val="single" w:sz="4" w:space="0" w:color="D0D7DE"/>
        </w:tblBorders>
      </w:tblPr>
      <w:tblGrid>
        <w:gridCol w:w="1872"/>
        <w:gridCol w:w="1872"/>
        <w:gridCol w:w="1872"/>
        <w:gridCol w:w="1872"/>
        <w:gridCol w:w="1872"/>
      </w:tblGrid>
      <w:tr>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Stakeholder Role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Name &amp; Title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Signature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Date</w:t>
            </w:r>
          </w:p>
        </w:tc>
        <w:tc>
          <w:tcPr>
            <w:tcW w:type="dxa" w:w="1872"/>
            <w:shd w:fill="1F4E79"/>
            <w:tcMar>
              <w:top w:w="140" w:type="dxa"/>
              <w:bottom w:w="140" w:type="dxa"/>
              <w:left w:w="150" w:type="dxa"/>
              <w:right w:w="150" w:type="dxa"/>
            </w:tcMar>
          </w:tcPr>
          <w:p>
            <w:pPr>
              <w:spacing w:before="40" w:after="40"/>
            </w:pPr>
            <w:r>
              <w:rPr>
                <w:rFonts w:ascii="Calibri" w:hAnsi="Calibri"/>
                <w:b/>
                <w:color w:val="FFFFFF"/>
                <w:sz w:val="20"/>
              </w:rPr>
              <w:t>Decision / Status</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Enterprise Solution Architect</w:t>
            </w: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Approved Technical Baseline v1.02</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Commercial Lead (Sales BPO)</w:t>
            </w: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Pending Stage-Gate Review</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Finance Lead (Finance BPO)</w:t>
            </w: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Pending Stage-Gate Review</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Delivery Lead (PMO BPO)</w:t>
            </w: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Pending Stage-Gate Review</w:t>
            </w:r>
          </w:p>
        </w:tc>
      </w:tr>
      <w:tr>
        <w:tc>
          <w:tcPr>
            <w:tcW w:type="dxa" w:w="1872"/>
            <w:shd w:fill="FFFFFF"/>
            <w:tcMar>
              <w:top w:w="100" w:type="dxa"/>
              <w:bottom w:w="100" w:type="dxa"/>
              <w:left w:w="150" w:type="dxa"/>
              <w:right w:w="150" w:type="dxa"/>
            </w:tcMar>
          </w:tcPr>
          <w:p>
            <w:pPr>
              <w:spacing w:before="40" w:after="40"/>
            </w:pPr>
            <w:r>
              <w:rPr>
                <w:rFonts w:ascii="Calibri" w:hAnsi="Calibri"/>
                <w:b/>
                <w:color w:val="24292E"/>
                <w:sz w:val="19"/>
              </w:rPr>
              <w:t>Principal Consultant (Technical BPO)</w:t>
            </w: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p>
        </w:tc>
        <w:tc>
          <w:tcPr>
            <w:tcW w:type="dxa" w:w="1872"/>
            <w:shd w:fill="FFFFFF"/>
            <w:tcMar>
              <w:top w:w="100" w:type="dxa"/>
              <w:bottom w:w="100" w:type="dxa"/>
              <w:left w:w="150" w:type="dxa"/>
              <w:right w:w="150" w:type="dxa"/>
            </w:tcMar>
          </w:tcPr>
          <w:p>
            <w:pPr>
              <w:spacing w:before="40" w:after="40"/>
            </w:pPr>
            <w:r>
              <w:rPr>
                <w:rFonts w:ascii="Calibri" w:hAnsi="Calibri"/>
                <w:color w:val="24292E"/>
                <w:sz w:val="19"/>
              </w:rPr>
              <w:t>Pending Stage-Gate Review</w:t>
            </w:r>
          </w:p>
        </w:tc>
      </w:tr>
      <w:tr>
        <w:tc>
          <w:tcPr>
            <w:tcW w:type="dxa" w:w="1872"/>
            <w:shd w:fill="F8F9FA"/>
            <w:tcMar>
              <w:top w:w="100" w:type="dxa"/>
              <w:bottom w:w="100" w:type="dxa"/>
              <w:left w:w="150" w:type="dxa"/>
              <w:right w:w="150" w:type="dxa"/>
            </w:tcMar>
          </w:tcPr>
          <w:p>
            <w:pPr>
              <w:spacing w:before="40" w:after="40"/>
            </w:pPr>
            <w:r>
              <w:rPr>
                <w:rFonts w:ascii="Calibri" w:hAnsi="Calibri"/>
                <w:b/>
                <w:color w:val="24292E"/>
                <w:sz w:val="19"/>
              </w:rPr>
              <w:t>Project Sponsor / Steering Committee</w:t>
            </w: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p>
        </w:tc>
        <w:tc>
          <w:tcPr>
            <w:tcW w:type="dxa" w:w="1872"/>
            <w:shd w:fill="F8F9FA"/>
            <w:tcMar>
              <w:top w:w="100" w:type="dxa"/>
              <w:bottom w:w="100" w:type="dxa"/>
              <w:left w:w="150" w:type="dxa"/>
              <w:right w:w="150" w:type="dxa"/>
            </w:tcMar>
          </w:tcPr>
          <w:p>
            <w:pPr>
              <w:spacing w:before="40" w:after="40"/>
            </w:pPr>
            <w:r>
              <w:rPr>
                <w:rFonts w:ascii="Calibri" w:hAnsi="Calibri"/>
                <w:color w:val="24292E"/>
                <w:sz w:val="19"/>
              </w:rPr>
              <w:t>Pending Stage-Gate Review</w:t>
            </w:r>
          </w:p>
        </w:tc>
      </w:tr>
    </w:tbl>
    <w:p>
      <w:pPr>
        <w:spacing w:before="0" w:after="120"/>
      </w:pP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A737D"/>
        <w:sz w:val="18"/>
      </w:rPr>
      <w:t xml:space="preserve">SecureProfit Hub System Documentation v1.0 | Page </w:t>
    </w: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