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991B1B"/>
          <w:sz w:val="24"/>
        </w:rPr>
        <w:t>FINAL REVIEW &amp; MINOR REVISIONS</w:t>
      </w:r>
    </w:p>
    <w:p>
      <w:pPr>
        <w:jc w:val="center"/>
      </w:pPr>
      <w:r>
        <w:rPr>
          <w:b/>
          <w:i w:val="0"/>
          <w:color w:val="1F2937"/>
          <w:sz w:val="42"/>
        </w:rPr>
        <w:t>SecureProfit Hub — 14 FSD Clarification v1.02</w:t>
      </w:r>
    </w:p>
    <w:p>
      <w:pPr>
        <w:jc w:val="center"/>
      </w:pPr>
      <w:r>
        <w:rPr>
          <w:i/>
          <w:color w:val="5A5A5A"/>
        </w:rPr>
        <w:t>Subject: Final Technical Review of the v1.02 Revision Response</w:t>
      </w:r>
    </w:p>
    <w:p/>
    <w:p>
      <w:pPr>
        <w:pStyle w:val="Heading1"/>
      </w:pPr>
      <w:r>
        <w:t>Executive Verdict</w:t>
      </w:r>
    </w:p>
    <w:p>
      <w:pPr>
        <w:jc w:val="left"/>
      </w:pPr>
      <w:r>
        <w:rPr>
          <w:b/>
          <w:i w:val="0"/>
          <w:color w:val="B91C1C"/>
        </w:rPr>
        <w:t>MINOR REVISION REQUIRED — CONDITIONALLY READY AFTER DOCUMENT CORRECTION</w:t>
      </w:r>
    </w:p>
    <w:p>
      <w:pPr>
        <w:jc w:val="left"/>
      </w:pPr>
      <w:r>
        <w:rPr>
          <w:i w:val="0"/>
        </w:rPr>
        <w:t>Dokumen v1.02 sudah menyelesaikan mayoritas mandatory corrections dari review v1.01. Pemisahan historical baseline dan current verification baseline sudah benar; DEMO-12 sudah menggunakan PATCH; DEMO-13 sudah dinyatakan belum diimplementasikan dan bertentangan dengan legacy behavior; DEMO-14 sudah diberi label partial dan target HTTP 422; serta target atomic transaction sudah dijelaskan.</w:t>
      </w:r>
    </w:p>
    <w:p>
      <w:pPr>
        <w:jc w:val="left"/>
      </w:pPr>
      <w:r>
        <w:rPr>
          <w:i w:val="0"/>
        </w:rPr>
        <w:t>Namun, dokumen belum dapat diterima sebagai final technical baseline karena masih ada beberapa koreksi literal dan konsistensi internal. Yang paling penting adalah field isCurrent hilang dari proposed ProjectBaseline target schema meskipun partial unique index dan seluruh invariant masih bergantung pada field tersebut. Selain itu, klaim bahwa template-literal backticks sudah dipulihkan tidak sesuai dengan isi DOCX.</w:t>
      </w:r>
    </w:p>
    <w:p>
      <w:pPr>
        <w:pStyle w:val="Heading1"/>
      </w:pPr>
      <w:r>
        <w:t>Corrections Successfully Addressed</w:t>
      </w:r>
    </w:p>
    <w:p>
      <w:pPr>
        <w:pStyle w:val="ListBullet"/>
        <w:spacing w:after="60"/>
      </w:pPr>
      <w:r>
        <w:t>Historical Referenced Source Baseline c7080af sudah dipisahkan dari Current Technical Verification Baseline aa3425a76bf66b40000d521fe071c87b463a006d.</w:t>
      </w:r>
    </w:p>
    <w:p>
      <w:pPr>
        <w:pStyle w:val="ListBullet"/>
        <w:spacing w:after="60"/>
      </w:pPr>
      <w:r>
        <w:t>Production deployment dan production schema secara tepat dinyatakan tidak diperiksa.</w:t>
      </w:r>
    </w:p>
    <w:p>
      <w:pPr>
        <w:pStyle w:val="ListBullet"/>
        <w:spacing w:after="60"/>
      </w:pPr>
      <w:r>
        <w:t>Jumlah clarification questions/decision records sudah diselaraskan menjadi 30.</w:t>
      </w:r>
    </w:p>
    <w:p>
      <w:pPr>
        <w:pStyle w:val="ListBullet"/>
        <w:spacing w:after="60"/>
      </w:pPr>
      <w:r>
        <w:t>DEMO-12 menggunakan PATCH /api/projects/:id dan Phase 1 dinyatakan IMPLEMENTED &amp; TESTED.</w:t>
      </w:r>
    </w:p>
    <w:p>
      <w:pPr>
        <w:pStyle w:val="ListBullet"/>
        <w:spacing w:after="60"/>
      </w:pPr>
      <w:r>
        <w:t>DEMO-13 sekarang berstatus NOT IMPLEMENTED — CURRENT LEGACY BEHAVIOR CONTRADICTS TARGET DESIGN.</w:t>
      </w:r>
    </w:p>
    <w:p>
      <w:pPr>
        <w:pStyle w:val="ListBullet"/>
        <w:spacing w:after="60"/>
      </w:pPr>
      <w:r>
        <w:t>Negative Paid acceptance criterion 13-AC-08 sudah ditambahkan.</w:t>
      </w:r>
    </w:p>
    <w:p>
      <w:pPr>
        <w:pStyle w:val="ListBullet"/>
        <w:spacing w:after="60"/>
      </w:pPr>
      <w:r>
        <w:t>DEMO-14 HTTP 422 ACTIVATION_GATE_VIOLATION sudah diberi label Target API Contract, bukan current behavior.</w:t>
      </w:r>
    </w:p>
    <w:p>
      <w:pPr>
        <w:pStyle w:val="ListBullet"/>
        <w:spacing w:after="60"/>
      </w:pPr>
      <w:r>
        <w:t>DEMO-14 existing HTTP 400 ACTIVATION_REQUIREMENTS_INCOMPLETE dan missing[] compatibility sudah dijelaskan.</w:t>
      </w:r>
    </w:p>
    <w:p>
      <w:pPr>
        <w:pStyle w:val="ListBullet"/>
        <w:spacing w:after="60"/>
      </w:pPr>
      <w:r>
        <w:t>Role dan field utama sudah menggunakan FINANCE, PROJECT_MANAGER, MANAGEMENT, dan pmId.</w:t>
      </w:r>
    </w:p>
    <w:p>
      <w:pPr>
        <w:pStyle w:val="ListBullet"/>
        <w:spacing w:after="60"/>
      </w:pPr>
      <w:r>
        <w:t>Target atomic transaction boundary untuk activation, baseline, activity, dan audit sudah dijelaskan.</w:t>
      </w:r>
    </w:p>
    <w:p>
      <w:pPr>
        <w:pStyle w:val="ListBullet"/>
        <w:spacing w:after="60"/>
      </w:pPr>
      <w:r>
        <w:t>ProjectKind matrix sudah membedakan commercial CLIENT rules dari non-commercial kinds.</w:t>
      </w:r>
    </w:p>
    <w:p>
      <w:pPr>
        <w:pStyle w:val="ListBullet"/>
        <w:spacing w:after="60"/>
      </w:pPr>
      <w:r>
        <w:t>Traceability matrix sudah lebih jujur membedakan implemented, partial, not implemented, dan tested.</w:t>
      </w:r>
    </w:p>
    <w:p>
      <w:pPr>
        <w:pStyle w:val="Heading1"/>
      </w:pPr>
      <w:r>
        <w:t>Mandatory Corrections Before Final Technical Acceptance</w:t>
      </w:r>
    </w:p>
    <w:p>
      <w:pPr>
        <w:pStyle w:val="Heading2"/>
      </w:pPr>
      <w:r>
        <w:t>1. Proposed ProjectBaseline target schema kehilangan isCurrent</w:t>
      </w:r>
    </w:p>
    <w:p>
      <w:pPr>
        <w:jc w:val="left"/>
      </w:pPr>
      <w:r>
        <w:rPr>
          <w:i w:val="0"/>
        </w:rPr>
        <w:t>Pada bagian Proposed Non-Destructive Target Extension for DEMO-11, model ProjectBaseline tidak lagi mendeklarasikan field isCurrent. Akan tetapi, dokumen masih menggunakan field tersebut pada sync function, PostgreSQL partial unique index, migration acceptance criteria, dan exactly-one-current invariant.</w:t>
      </w:r>
    </w:p>
    <w:p>
      <w:pPr>
        <w:jc w:val="left"/>
      </w:pPr>
      <w:r>
        <w:rPr>
          <w:i w:val="0"/>
        </w:rPr>
        <w:t>Tanpa isCurrent, contoh Prisma schema tidak dapat mendukung operasi berikut:</w:t>
      </w:r>
    </w:p>
    <w:p>
      <w:pPr>
        <w:ind w:left="360" w:right="173"/>
        <w:shd w:fill="F3F4F6"/>
      </w:pPr>
      <w:r>
        <w:rPr>
          <w:rFonts w:ascii="Consolas" w:hAnsi="Consolas"/>
          <w:sz w:val="17"/>
        </w:rPr>
        <w:t>where: { projectId, isCurrent: true }</w:t>
        <w:br/>
        <w:t>data: { isCurrent: false }</w:t>
        <w:br/>
        <w:br/>
        <w:t>CREATE UNIQUE INDEX one_current_baseline_per_project</w:t>
        <w:br/>
        <w:t>ON "ProjectBaseline" ("projectId")</w:t>
        <w:br/>
        <w:t>WHERE "isCurrent" = true;</w:t>
      </w:r>
    </w:p>
    <w:p>
      <w:pPr>
        <w:jc w:val="left"/>
      </w:pPr>
      <w:r>
        <w:rPr>
          <w:i w:val="0"/>
        </w:rPr>
        <w:t>Tambahkan kembali field berikut ke target model:</w:t>
      </w:r>
    </w:p>
    <w:p>
      <w:pPr>
        <w:ind w:left="360" w:right="173"/>
        <w:shd w:fill="F3F4F6"/>
      </w:pPr>
      <w:r>
        <w:rPr>
          <w:rFonts w:ascii="Consolas" w:hAnsi="Consolas"/>
          <w:sz w:val="17"/>
        </w:rPr>
        <w:t>isCurrent Boolean @default(true)</w:t>
      </w:r>
    </w:p>
    <w:p>
      <w:pPr>
        <w:jc w:val="left"/>
      </w:pPr>
      <w:r>
        <w:rPr>
          <w:i w:val="0"/>
        </w:rPr>
        <w:t>Tambahkan juga komentar bahwa partial unique index dibuat melalui SQL migration karena Prisma schema belum merepresentasikan PostgreSQL partial index secara langsung.</w:t>
      </w:r>
    </w:p>
    <w:p>
      <w:pPr>
        <w:pStyle w:val="Heading2"/>
      </w:pPr>
      <w:r>
        <w:t>2. Literal TypeScript backticks masih belum tersimpan</w:t>
      </w:r>
    </w:p>
    <w:p>
      <w:pPr>
        <w:jc w:val="left"/>
      </w:pPr>
      <w:r>
        <w:rPr>
          <w:i w:val="0"/>
        </w:rPr>
        <w:t>Revision history menyatakan literal backticks sudah dipulihkan, tetapi pemeriksaan isi DOCX menemukan lima contoh yang masih invalid: tiga $executeRawSELECT, satu Lead-number return value, dan satu baseline scopeSummary.</w:t>
      </w:r>
    </w:p>
    <w:p>
      <w:pPr>
        <w:jc w:val="left"/>
      </w:pPr>
      <w:r>
        <w:rPr>
          <w:i w:val="0"/>
        </w:rPr>
        <w:t>Ganti seluruh contoh menjadi:</w:t>
      </w:r>
    </w:p>
    <w:p>
      <w:pPr>
        <w:ind w:left="360" w:right="173"/>
        <w:shd w:fill="F3F4F6"/>
      </w:pPr>
      <w:r>
        <w:rPr>
          <w:rFonts w:ascii="Consolas" w:hAnsi="Consolas"/>
          <w:sz w:val="17"/>
        </w:rPr>
        <w:t>await tx.$executeRaw`SELECT pg_advisory_xact_lock(hashtext(${leadId}))`;</w:t>
        <w:br/>
        <w:br/>
        <w:t>await tx.$executeRaw`SELECT pg_advisory_xact_lock(hashtext(${projectId}))`;</w:t>
        <w:br/>
        <w:br/>
        <w:t>return `LEAD-${jakartaYear}-${String(counter.currentSequence).padStart(4, "0")}`;</w:t>
        <w:br/>
        <w:br/>
        <w:t>scopeSummary: `Auto-synced from Commercial Budget Revision v${budgetRevision.version}`,</w:t>
      </w:r>
    </w:p>
    <w:p>
      <w:pPr>
        <w:jc w:val="left"/>
      </w:pPr>
      <w:r>
        <w:rPr>
          <w:i w:val="0"/>
        </w:rPr>
        <w:t>Pastikan karakter backtick benar-benar tersimpan sebagai literal Word text. Jangan hanya menulis dalam revision history bahwa koreksi telah dilakukan; periksa hasil DOCX final dengan text extraction atau syntax parser.</w:t>
      </w:r>
    </w:p>
    <w:p>
      <w:pPr>
        <w:pStyle w:val="Heading2"/>
      </w:pPr>
      <w:r>
        <w:t>3. DEMO-08 tidak dapat sekaligus “policy settled” dan “requirement conflict open”</w:t>
      </w:r>
    </w:p>
    <w:p>
      <w:pPr>
        <w:jc w:val="left"/>
      </w:pPr>
      <w:r>
        <w:rPr>
          <w:i w:val="0"/>
        </w:rPr>
        <w:t>Decision 5.2 menyatakan CANONICAL POLICY SETTLED dan secara eksplisit mendepriasi DISCOVERY 10% / QUALIFIED 30%. Namun, note dan traceability matrix masih menggunakan status PARTIALLY IMPLEMENTED — REQUIREMENT CONFLICT OPEN.</w:t>
      </w:r>
    </w:p>
    <w:p>
      <w:pPr>
        <w:jc w:val="left"/>
      </w:pPr>
      <w:r>
        <w:rPr>
          <w:i w:val="0"/>
        </w:rPr>
        <w:t>Jika canonical policy sudah diputuskan menjadi NEW 20%, QUALIFIED 40%, PROPOSAL 60%, NEGOTIATION 80%, WON 100%, LOST 0%, maka requirement conflict sudah closed. Yang masih terbuka adalah implementation alignment.</w:t>
      </w:r>
    </w:p>
    <w:p>
      <w:pPr>
        <w:jc w:val="left"/>
      </w:pPr>
      <w:r>
        <w:rPr>
          <w:i w:val="0"/>
        </w:rPr>
        <w:t>Gunakan status:</w:t>
      </w:r>
    </w:p>
    <w:p>
      <w:pPr>
        <w:ind w:left="360" w:right="173"/>
        <w:shd w:fill="F3F4F6"/>
      </w:pPr>
      <w:r>
        <w:rPr>
          <w:rFonts w:ascii="Consolas" w:hAnsi="Consolas"/>
          <w:sz w:val="17"/>
        </w:rPr>
        <w:t>PARTIALLY IMPLEMENTED — POLICY SETTLED; IMPLEMENTATION ALIGNMENT OPEN</w:t>
      </w:r>
    </w:p>
    <w:p>
      <w:pPr>
        <w:jc w:val="left"/>
      </w:pPr>
      <w:r>
        <w:rPr>
          <w:i w:val="0"/>
        </w:rPr>
        <w:t>Kemudian perbarui child FSD DEMO-08 agar DISCOVERY 10% / QUALIFIED 30% tidak lagi muncul sebagai active requirement. CSV import, Pipedrive mapping, stage-transition defaults, dan probabilityOverrideReason tetap dicatat sebagai implementation gaps.</w:t>
      </w:r>
    </w:p>
    <w:p>
      <w:pPr>
        <w:pStyle w:val="Heading2"/>
      </w:pPr>
      <w:r>
        <w:t>4. Technical record masih memuat implementation sign-off governance</w:t>
      </w:r>
    </w:p>
    <w:p>
      <w:pPr>
        <w:jc w:val="left"/>
      </w:pPr>
      <w:r>
        <w:rPr>
          <w:i w:val="0"/>
        </w:rPr>
        <w:t>Dokumen menyatakan telah memisahkan objective technical facts dari stakeholder ratification claims, tetapi masih mempertahankan Author Final Sign-Off reference, historical APPROVED BASELINE promotion language, Section 5 Implementation Readiness &amp; Sign-Off Governance, dan Formal Stage-Gate Sign-Off &amp; Approvals.</w:t>
      </w:r>
    </w:p>
    <w:p>
      <w:pPr>
        <w:jc w:val="left"/>
      </w:pPr>
      <w:r>
        <w:rPr>
          <w:i w:val="0"/>
        </w:rPr>
        <w:t>Untuk technical-only version, hapus:</w:t>
      </w:r>
    </w:p>
    <w:p>
      <w:pPr>
        <w:pStyle w:val="ListBullet"/>
        <w:spacing w:after="60"/>
      </w:pPr>
      <w:r>
        <w:t>Author/stakeholder sign-off references yang tidak diperlukan sebagai technical evidence.</w:t>
      </w:r>
    </w:p>
    <w:p>
      <w:pPr>
        <w:pStyle w:val="ListBullet"/>
        <w:spacing w:after="60"/>
      </w:pPr>
      <w:r>
        <w:t>Implementation Readiness &amp; Sign-Off Governance section.</w:t>
      </w:r>
    </w:p>
    <w:p>
      <w:pPr>
        <w:pStyle w:val="ListBullet"/>
        <w:spacing w:after="60"/>
      </w:pPr>
      <w:r>
        <w:t>Formal Stage-Gate Sign-Off &amp; Approvals table.</w:t>
      </w:r>
    </w:p>
    <w:p>
      <w:pPr>
        <w:pStyle w:val="ListBullet"/>
        <w:spacing w:after="60"/>
      </w:pPr>
      <w:r>
        <w:t>GO/NO-GO approval authority atau ratification wording.</w:t>
      </w:r>
    </w:p>
    <w:p>
      <w:pPr>
        <w:jc w:val="left"/>
      </w:pPr>
      <w:r>
        <w:rPr>
          <w:i w:val="0"/>
        </w:rPr>
        <w:t>Revision history boleh menyatakan bahwa versi lama pernah memakai label tertentu, tetapi jangan menggunakan klaim tersebut sebagai current technical acceptance. Pertahankan hanya decision status, design status, implementation status, test evidence, gap, dan verification baseline.</w:t>
      </w:r>
    </w:p>
    <w:p>
      <w:pPr>
        <w:pStyle w:val="Heading2"/>
      </w:pPr>
      <w:r>
        <w:t>5. DEMO-12 Phase 1 wording harus membuka controlled Phase 2 exception</w:t>
      </w:r>
    </w:p>
    <w:p>
      <w:pPr>
        <w:jc w:val="left"/>
      </w:pPr>
      <w:r>
        <w:rPr>
          <w:i w:val="0"/>
        </w:rPr>
        <w:t>Decision 9.0 menyatakan Project.clientId “permanently locked across all roles”, sedangkan Decision 9.0b mendesain controlled correction workflow yang pada akhirnya dapat mengeksekusi legal client reassignment. Kata permanently dapat dibaca bertentangan dengan Phase 2.</w:t>
      </w:r>
    </w:p>
    <w:p>
      <w:pPr>
        <w:jc w:val="left"/>
      </w:pPr>
      <w:r>
        <w:rPr>
          <w:i w:val="0"/>
        </w:rPr>
        <w:t>Gunakan redaksi:</w:t>
      </w:r>
    </w:p>
    <w:p>
      <w:pPr>
        <w:ind w:left="360" w:right="173"/>
        <w:shd w:fill="F3F4F6"/>
      </w:pPr>
      <w:r>
        <w:rPr>
          <w:rFonts w:ascii="Consolas" w:hAnsi="Consolas"/>
          <w:sz w:val="17"/>
        </w:rPr>
        <w:t>Project.clientId is immutable through all standard project create/update routes and across all roles.</w:t>
        <w:br/>
        <w:t>A reassignment is permitted only through the separately authorized ClientAttributionCorrection workflow after both MANAGEMENT and FINANCE approvals, once Phase 2 is implemented.</w:t>
      </w:r>
    </w:p>
    <w:p>
      <w:pPr>
        <w:jc w:val="left"/>
      </w:pPr>
      <w:r>
        <w:rPr>
          <w:i w:val="0"/>
        </w:rPr>
        <w:t>Selaraskan juga invoice boundary. Bagian simplest terms menyebut “after invoicing”, sedangkan traceability menyebut “if invoice paid”. Pilih satu invariant yang jelas—misalnya correction diblokir setelah invoice issued/posted, lalu void/reissue atau novation mengikuti status akuntansinya.</w:t>
      </w:r>
    </w:p>
    <w:p>
      <w:pPr>
        <w:pStyle w:val="Heading2"/>
      </w:pPr>
      <w:r>
        <w:t>6. RevRec reversal/replacement naming harus konsisten dengan target model</w:t>
      </w:r>
    </w:p>
    <w:p>
      <w:pPr>
        <w:jc w:val="left"/>
      </w:pPr>
      <w:r>
        <w:rPr>
          <w:i w:val="0"/>
        </w:rPr>
        <w:t>Decision 13.4 menyebut reversalOfId dan replacedById. Contoh RevenueRecognitionEntry hanya mempunyai scalar reversalOfId, relation reversalOf, dan inverse relation replacedBy tanpa scalar replacedById. Ini dapat valid sebagai one-to-one inverse relation, tetapi terminology dokumen harus konsisten agar implementer tidak menambahkan dua foreign keys yang saling tumpang tindih.</w:t>
      </w:r>
    </w:p>
    <w:p>
      <w:pPr>
        <w:jc w:val="left"/>
      </w:pPr>
      <w:r>
        <w:rPr>
          <w:i w:val="0"/>
        </w:rPr>
        <w:t>Pilih salah satu:</w:t>
      </w:r>
    </w:p>
    <w:p>
      <w:pPr>
        <w:pStyle w:val="ListBullet"/>
        <w:spacing w:after="60"/>
      </w:pPr>
      <w:r>
        <w:t>Pertahankan reversalOfId sebagai satu-satunya foreign key dan jelaskan bahwa replacedBy adalah inverse relation; atau</w:t>
      </w:r>
    </w:p>
    <w:p>
      <w:pPr>
        <w:pStyle w:val="ListBullet"/>
        <w:spacing w:after="60"/>
      </w:pPr>
      <w:r>
        <w:t>Tambahkan explicit replacement linkage dengan relation name yang berbeda jika replacement entry bukan record reversal yang sama.</w:t>
      </w:r>
    </w:p>
    <w:p>
      <w:pPr>
        <w:jc w:val="left"/>
      </w:pPr>
      <w:r>
        <w:rPr>
          <w:i w:val="0"/>
        </w:rPr>
        <w:t>Untuk audit accounting, lebih aman memodelkan correction group atau replacementForId secara eksplisit apabila satu reversal dan satu replacement merupakan dua entry yang berbeda.</w:t>
      </w:r>
    </w:p>
    <w:p>
      <w:pPr>
        <w:pStyle w:val="Heading1"/>
      </w:pPr>
      <w:r>
        <w:t>Recommended Minor Refinements</w:t>
      </w:r>
    </w:p>
    <w:p>
      <w:pPr>
        <w:pStyle w:val="Heading2"/>
      </w:pPr>
      <w:r>
        <w:t>Revision history claim accuracy</w:t>
      </w:r>
    </w:p>
    <w:p>
      <w:pPr>
        <w:jc w:val="left"/>
      </w:pPr>
      <w:r>
        <w:rPr>
          <w:i w:val="0"/>
        </w:rPr>
        <w:t>Pada row v1.02, ubah “Applied 11 mandatory revisions” menjadi “Substantially applied; literal code and technical-only cleanup pending” sampai semua isi benar-benar sesuai. Hal ini mencegah revision log mengklaim koreksi yang belum ada di artifact.</w:t>
      </w:r>
    </w:p>
    <w:p>
      <w:pPr>
        <w:pStyle w:val="Heading2"/>
      </w:pPr>
      <w:r>
        <w:t>Current baseline terminology</w:t>
      </w:r>
    </w:p>
    <w:p>
      <w:pPr>
        <w:jc w:val="left"/>
      </w:pPr>
      <w:r>
        <w:rPr>
          <w:i w:val="0"/>
        </w:rPr>
        <w:t>Status Current Baseline sebaiknya diubah menjadi Technical Baseline Candidate sampai minor corrections selesai. Setelah perbaikan, gunakan Final Technical Baseline tanpa menyimpulkan production deployment readiness.</w:t>
      </w:r>
    </w:p>
    <w:p>
      <w:pPr>
        <w:pStyle w:val="Heading2"/>
      </w:pPr>
      <w:r>
        <w:t>Code example validation</w:t>
      </w:r>
    </w:p>
    <w:p>
      <w:pPr>
        <w:jc w:val="left"/>
      </w:pPr>
      <w:r>
        <w:rPr>
          <w:i w:val="0"/>
        </w:rPr>
        <w:t>Jalankan prisma validate terhadap schema contoh yang telah digabungkan, TypeScript parse/typecheck terhadap code snippets, dan JSON parse terhadap target API examples. Optional/reference example tetap harus syntactically valid.</w:t>
      </w:r>
    </w:p>
    <w:p>
      <w:pPr>
        <w:pStyle w:val="Heading2"/>
      </w:pPr>
      <w:r>
        <w:t>DEMO-14 ProjectKind matrix</w:t>
      </w:r>
    </w:p>
    <w:p>
      <w:pPr>
        <w:jc w:val="left"/>
      </w:pPr>
      <w:r>
        <w:rPr>
          <w:i w:val="0"/>
        </w:rPr>
        <w:t>Matrix sudah jauh lebih jelas. Tambahkan definisi “Conditional” untuk PRESALES client attachment dan “If Applicable” untuk resource rates agar evaluator mempunyai deterministic rule, bukan interpretasi manual.</w:t>
      </w:r>
    </w:p>
    <w:p>
      <w:pPr>
        <w:pStyle w:val="Heading1"/>
      </w:pPr>
      <w:r>
        <w:t>Status Summary</w:t>
      </w:r>
    </w:p>
    <w:tbl>
      <w:tblPr>
        <w:tblStyle w:val="TableGrid"/>
        <w:tblW w:type="auto" w:w="0"/>
        <w:jc w:val="center"/>
        <w:tblLook w:firstColumn="1" w:firstRow="1" w:lastColumn="0" w:lastRow="0" w:noHBand="0" w:noVBand="1" w:val="04A0"/>
      </w:tblPr>
      <w:tblGrid>
        <w:gridCol w:w="4896"/>
        <w:gridCol w:w="4896"/>
      </w:tblGrid>
      <w:tr>
        <w:tc>
          <w:tcPr>
            <w:tcW w:type="dxa" w:w="4896"/>
            <w:shd w:fill="24303E"/>
          </w:tcPr>
          <w:p>
            <w:r/>
            <w:r>
              <w:rPr>
                <w:b/>
                <w:color w:val="FFFFFF"/>
                <w:sz w:val="17"/>
              </w:rPr>
              <w:t>Area</w:t>
            </w:r>
          </w:p>
        </w:tc>
        <w:tc>
          <w:tcPr>
            <w:tcW w:type="dxa" w:w="4896"/>
            <w:shd w:fill="24303E"/>
          </w:tcPr>
          <w:p>
            <w:r/>
            <w:r>
              <w:rPr>
                <w:b/>
                <w:color w:val="FFFFFF"/>
                <w:sz w:val="17"/>
              </w:rPr>
              <w:t>Assessment</w:t>
            </w:r>
          </w:p>
        </w:tc>
      </w:tr>
      <w:tr>
        <w:tc>
          <w:tcPr>
            <w:tcW w:type="dxa" w:w="4896"/>
            <w:shd w:fill="FFFFFF"/>
          </w:tcPr>
          <w:p>
            <w:r/>
            <w:r>
              <w:rPr>
                <w:b w:val="0"/>
                <w:sz w:val="17"/>
              </w:rPr>
              <w:t>Verification baseline separation</w:t>
            </w:r>
          </w:p>
        </w:tc>
        <w:tc>
          <w:tcPr>
            <w:tcW w:type="dxa" w:w="4896"/>
            <w:shd w:fill="FFFFFF"/>
          </w:tcPr>
          <w:p>
            <w:r/>
            <w:r>
              <w:rPr>
                <w:b w:val="0"/>
                <w:sz w:val="17"/>
              </w:rPr>
              <w:t>Corrected</w:t>
            </w:r>
          </w:p>
        </w:tc>
      </w:tr>
      <w:tr>
        <w:tc>
          <w:tcPr>
            <w:tcW w:type="dxa" w:w="4896"/>
            <w:shd w:fill="F7F7F8"/>
          </w:tcPr>
          <w:p>
            <w:r/>
            <w:r>
              <w:rPr>
                <w:b w:val="0"/>
                <w:sz w:val="17"/>
              </w:rPr>
              <w:t>Decision count</w:t>
            </w:r>
          </w:p>
        </w:tc>
        <w:tc>
          <w:tcPr>
            <w:tcW w:type="dxa" w:w="4896"/>
            <w:shd w:fill="F7F7F8"/>
          </w:tcPr>
          <w:p>
            <w:r/>
            <w:r>
              <w:rPr>
                <w:b w:val="0"/>
                <w:sz w:val="17"/>
              </w:rPr>
              <w:t>Corrected</w:t>
            </w:r>
          </w:p>
        </w:tc>
      </w:tr>
      <w:tr>
        <w:tc>
          <w:tcPr>
            <w:tcW w:type="dxa" w:w="4896"/>
            <w:shd w:fill="FFFFFF"/>
          </w:tcPr>
          <w:p>
            <w:r/>
            <w:r>
              <w:rPr>
                <w:b w:val="0"/>
                <w:sz w:val="17"/>
              </w:rPr>
              <w:t>DEMO-12 PATCH contract</w:t>
            </w:r>
          </w:p>
        </w:tc>
        <w:tc>
          <w:tcPr>
            <w:tcW w:type="dxa" w:w="4896"/>
            <w:shd w:fill="FFFFFF"/>
          </w:tcPr>
          <w:p>
            <w:r/>
            <w:r>
              <w:rPr>
                <w:b w:val="0"/>
                <w:sz w:val="17"/>
              </w:rPr>
              <w:t>Corrected</w:t>
            </w:r>
          </w:p>
        </w:tc>
      </w:tr>
      <w:tr>
        <w:tc>
          <w:tcPr>
            <w:tcW w:type="dxa" w:w="4896"/>
            <w:shd w:fill="F7F7F8"/>
          </w:tcPr>
          <w:p>
            <w:r/>
            <w:r>
              <w:rPr>
                <w:b w:val="0"/>
                <w:sz w:val="17"/>
              </w:rPr>
              <w:t>DEMO-13 legacy contradiction</w:t>
            </w:r>
          </w:p>
        </w:tc>
        <w:tc>
          <w:tcPr>
            <w:tcW w:type="dxa" w:w="4896"/>
            <w:shd w:fill="F7F7F8"/>
          </w:tcPr>
          <w:p>
            <w:r/>
            <w:r>
              <w:rPr>
                <w:b w:val="0"/>
                <w:sz w:val="17"/>
              </w:rPr>
              <w:t>Corrected</w:t>
            </w:r>
          </w:p>
        </w:tc>
      </w:tr>
      <w:tr>
        <w:tc>
          <w:tcPr>
            <w:tcW w:type="dxa" w:w="4896"/>
            <w:shd w:fill="FFFFFF"/>
          </w:tcPr>
          <w:p>
            <w:r/>
            <w:r>
              <w:rPr>
                <w:b w:val="0"/>
                <w:sz w:val="17"/>
              </w:rPr>
              <w:t>DEMO-14 target 422 and partial status</w:t>
            </w:r>
          </w:p>
        </w:tc>
        <w:tc>
          <w:tcPr>
            <w:tcW w:type="dxa" w:w="4896"/>
            <w:shd w:fill="FFFFFF"/>
          </w:tcPr>
          <w:p>
            <w:r/>
            <w:r>
              <w:rPr>
                <w:b w:val="0"/>
                <w:sz w:val="17"/>
              </w:rPr>
              <w:t>Corrected</w:t>
            </w:r>
          </w:p>
        </w:tc>
      </w:tr>
      <w:tr>
        <w:tc>
          <w:tcPr>
            <w:tcW w:type="dxa" w:w="4896"/>
            <w:shd w:fill="F7F7F8"/>
          </w:tcPr>
          <w:p>
            <w:r/>
            <w:r>
              <w:rPr>
                <w:b w:val="0"/>
                <w:sz w:val="17"/>
              </w:rPr>
              <w:t>Atomic activation target</w:t>
            </w:r>
          </w:p>
        </w:tc>
        <w:tc>
          <w:tcPr>
            <w:tcW w:type="dxa" w:w="4896"/>
            <w:shd w:fill="F7F7F8"/>
          </w:tcPr>
          <w:p>
            <w:r/>
            <w:r>
              <w:rPr>
                <w:b w:val="0"/>
                <w:sz w:val="17"/>
              </w:rPr>
              <w:t>Corrected</w:t>
            </w:r>
          </w:p>
        </w:tc>
      </w:tr>
      <w:tr>
        <w:tc>
          <w:tcPr>
            <w:tcW w:type="dxa" w:w="4896"/>
            <w:shd w:fill="FFFFFF"/>
          </w:tcPr>
          <w:p>
            <w:r/>
            <w:r>
              <w:rPr>
                <w:b w:val="0"/>
                <w:sz w:val="17"/>
              </w:rPr>
              <w:t>ProjectBaseline target schema</w:t>
            </w:r>
          </w:p>
        </w:tc>
        <w:tc>
          <w:tcPr>
            <w:tcW w:type="dxa" w:w="4896"/>
            <w:shd w:fill="FFFFFF"/>
          </w:tcPr>
          <w:p>
            <w:r/>
            <w:r>
              <w:rPr>
                <w:b w:val="0"/>
                <w:sz w:val="17"/>
              </w:rPr>
              <w:t>Minor but mandatory correction — isCurrent missing</w:t>
            </w:r>
          </w:p>
        </w:tc>
      </w:tr>
      <w:tr>
        <w:tc>
          <w:tcPr>
            <w:tcW w:type="dxa" w:w="4896"/>
            <w:shd w:fill="F7F7F8"/>
          </w:tcPr>
          <w:p>
            <w:r/>
            <w:r>
              <w:rPr>
                <w:b w:val="0"/>
                <w:sz w:val="17"/>
              </w:rPr>
              <w:t>Literal TypeScript examples</w:t>
            </w:r>
          </w:p>
        </w:tc>
        <w:tc>
          <w:tcPr>
            <w:tcW w:type="dxa" w:w="4896"/>
            <w:shd w:fill="F7F7F8"/>
          </w:tcPr>
          <w:p>
            <w:r/>
            <w:r>
              <w:rPr>
                <w:b w:val="0"/>
                <w:sz w:val="17"/>
              </w:rPr>
              <w:t>Not yet corrected</w:t>
            </w:r>
          </w:p>
        </w:tc>
      </w:tr>
      <w:tr>
        <w:tc>
          <w:tcPr>
            <w:tcW w:type="dxa" w:w="4896"/>
            <w:shd w:fill="FFFFFF"/>
          </w:tcPr>
          <w:p>
            <w:r/>
            <w:r>
              <w:rPr>
                <w:b w:val="0"/>
                <w:sz w:val="17"/>
              </w:rPr>
              <w:t>DEMO-08 status wording</w:t>
            </w:r>
          </w:p>
        </w:tc>
        <w:tc>
          <w:tcPr>
            <w:tcW w:type="dxa" w:w="4896"/>
            <w:shd w:fill="FFFFFF"/>
          </w:tcPr>
          <w:p>
            <w:r/>
            <w:r>
              <w:rPr>
                <w:b w:val="0"/>
                <w:sz w:val="17"/>
              </w:rPr>
              <w:t>Internally inconsistent</w:t>
            </w:r>
          </w:p>
        </w:tc>
      </w:tr>
      <w:tr>
        <w:tc>
          <w:tcPr>
            <w:tcW w:type="dxa" w:w="4896"/>
            <w:shd w:fill="F7F7F8"/>
          </w:tcPr>
          <w:p>
            <w:r/>
            <w:r>
              <w:rPr>
                <w:b w:val="0"/>
                <w:sz w:val="17"/>
              </w:rPr>
              <w:t>DEMO-12 exception/invoice boundary</w:t>
            </w:r>
          </w:p>
        </w:tc>
        <w:tc>
          <w:tcPr>
            <w:tcW w:type="dxa" w:w="4896"/>
            <w:shd w:fill="F7F7F8"/>
          </w:tcPr>
          <w:p>
            <w:r/>
            <w:r>
              <w:rPr>
                <w:b w:val="0"/>
                <w:sz w:val="17"/>
              </w:rPr>
              <w:t>Clarification required</w:t>
            </w:r>
          </w:p>
        </w:tc>
      </w:tr>
      <w:tr>
        <w:tc>
          <w:tcPr>
            <w:tcW w:type="dxa" w:w="4896"/>
            <w:shd w:fill="FFFFFF"/>
          </w:tcPr>
          <w:p>
            <w:r/>
            <w:r>
              <w:rPr>
                <w:b w:val="0"/>
                <w:sz w:val="17"/>
              </w:rPr>
              <w:t>RevRec replacement relation naming</w:t>
            </w:r>
          </w:p>
        </w:tc>
        <w:tc>
          <w:tcPr>
            <w:tcW w:type="dxa" w:w="4896"/>
            <w:shd w:fill="FFFFFF"/>
          </w:tcPr>
          <w:p>
            <w:r/>
            <w:r>
              <w:rPr>
                <w:b w:val="0"/>
                <w:sz w:val="17"/>
              </w:rPr>
              <w:t>Minor schema clarification required</w:t>
            </w:r>
          </w:p>
        </w:tc>
      </w:tr>
      <w:tr>
        <w:tc>
          <w:tcPr>
            <w:tcW w:type="dxa" w:w="4896"/>
            <w:shd w:fill="F7F7F8"/>
          </w:tcPr>
          <w:p>
            <w:r/>
            <w:r>
              <w:rPr>
                <w:b w:val="0"/>
                <w:sz w:val="17"/>
              </w:rPr>
              <w:t>Technical-only scope</w:t>
            </w:r>
          </w:p>
        </w:tc>
        <w:tc>
          <w:tcPr>
            <w:tcW w:type="dxa" w:w="4896"/>
            <w:shd w:fill="F7F7F8"/>
          </w:tcPr>
          <w:p>
            <w:r/>
            <w:r>
              <w:rPr>
                <w:b w:val="0"/>
                <w:sz w:val="17"/>
              </w:rPr>
              <w:t>Not yet fully corrected</w:t>
            </w:r>
          </w:p>
        </w:tc>
      </w:tr>
    </w:tbl>
    <w:p>
      <w:pPr>
        <w:pStyle w:val="Heading1"/>
      </w:pPr>
      <w:r>
        <w:t>Final Assessment</w:t>
      </w:r>
    </w:p>
    <w:p>
      <w:pPr>
        <w:jc w:val="left"/>
      </w:pPr>
      <w:r>
        <w:rPr>
          <w:b/>
        </w:rPr>
        <w:t xml:space="preserve">Rekomendasi status: </w:t>
      </w:r>
      <w:r>
        <w:rPr>
          <w:i w:val="0"/>
        </w:rPr>
        <w:t>MINOR REVISION REQUIRED — CONDITIONALLY READY AFTER DOCUMENT CORRECTION.</w:t>
      </w:r>
    </w:p>
    <w:p>
      <w:pPr>
        <w:jc w:val="left"/>
      </w:pPr>
      <w:r>
        <w:rPr>
          <w:i w:val="0"/>
        </w:rPr>
        <w:t>Substansi arsitektur utama pada v1.02 sudah cukup untuk dilanjutkan sebagai technical baseline candidate. Tidak diperlukan redesign baru untuk DEMO-13 atau DEMO-14. Revisi berikutnya harus fokus pada konsistensi artifact: kembalikan isCurrent, perbaiki literal backticks, tutup status conflict DEMO-08 secara benar, selaraskan wording DEMO-12 dan RevRec relations, serta keluarkan materi sign-off dari technical-only version.</w:t>
      </w:r>
    </w:p>
    <w:p>
      <w:pPr>
        <w:jc w:val="left"/>
      </w:pPr>
      <w:r>
        <w:rPr>
          <w:i w:val="0"/>
        </w:rPr>
        <w:t>Setelah enam mandatory corrections tersebut diterapkan dan contoh kode tervalidasi, dokumen dapat diajukan kembali untuk final technical acceptance tanpa review arsitektur penuh.</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SecureProfit Hub — 14 FSD v1.02 Final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991B1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