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Dokumen Fitur &amp; Perhitungan Aplikasi</w:t>
      </w:r>
    </w:p>
    <w:p>
      <w:pPr>
        <w:spacing w:after="40"/>
        <w:jc w:val="center"/>
      </w:pPr>
      <w:r>
        <w:rPr>
          <w:i/>
          <w:iCs/>
          <w:color w:val="555555"/>
          <w:sz w:val="24"/>
          <w:szCs w:val="24"/>
        </w:rPr>
        <w:t xml:space="preserve">Sistem Manajemen Project &amp; Profitabilitas untuk Konsultan Keamanan TI</w:t>
      </w:r>
    </w:p>
    <w:p>
      <w:pPr>
        <w:spacing w:before="600"/>
        <w:jc w:val="center"/>
      </w:pPr>
      <w:r>
        <w:rPr>
          <w:color w:val="555555"/>
          <w:sz w:val="22"/>
          <w:szCs w:val="22"/>
        </w:rPr>
        <w:t xml:space="preserve">Bahan Presentasi Internal</w:t>
      </w:r>
    </w:p>
    <w:p>
      <w:pPr>
        <w:jc w:val="center"/>
      </w:pPr>
      <w:r>
        <w:rPr>
          <w:color w:val="555555"/>
          <w:sz w:val="22"/>
          <w:szCs w:val="22"/>
        </w:rPr>
        <w:t xml:space="preserve">Disusun: Juni 2026</w:t>
      </w:r>
    </w:p>
    <w:p>
      <w:r>
        <w:br w:type="page"/>
      </w:r>
    </w:p>
    <w:p>
      <w:pPr>
        <w:pStyle w:val="Heading1"/>
        <w:spacing w:after="140" w:before="360"/>
      </w:pPr>
      <w:r>
        <w:rPr>
          <w:b/>
          <w:bCs/>
          <w:color w:val="1F7A4D"/>
          <w:sz w:val="30"/>
          <w:szCs w:val="30"/>
        </w:rPr>
        <w:t xml:space="preserve">Daftar Isi</w:t>
      </w:r>
    </w:p>
    <w:p>
      <w:pPr>
        <w:pStyle w:val="ListParagraph"/>
        <w:numPr>
          <w:ilvl w:val="0"/>
          <w:numId w:val="1"/>
        </w:numPr>
        <w:spacing w:after="60" w:line="268"/>
      </w:pPr>
      <w:r>
        <w:rPr>
          <w:sz w:val="22"/>
          <w:szCs w:val="22"/>
        </w:rPr>
        <w:t xml:space="preserve">1.  Ringkasan Eksekutif</w:t>
      </w:r>
    </w:p>
    <w:p>
      <w:pPr>
        <w:pStyle w:val="ListParagraph"/>
        <w:numPr>
          <w:ilvl w:val="0"/>
          <w:numId w:val="1"/>
        </w:numPr>
        <w:spacing w:after="60" w:line="268"/>
      </w:pPr>
      <w:r>
        <w:rPr>
          <w:sz w:val="22"/>
          <w:szCs w:val="22"/>
        </w:rPr>
        <w:t xml:space="preserve">2.  Teknologi &amp; Arsitektur</w:t>
      </w:r>
    </w:p>
    <w:p>
      <w:pPr>
        <w:pStyle w:val="ListParagraph"/>
        <w:numPr>
          <w:ilvl w:val="0"/>
          <w:numId w:val="1"/>
        </w:numPr>
        <w:spacing w:after="60" w:line="268"/>
      </w:pPr>
      <w:r>
        <w:rPr>
          <w:sz w:val="22"/>
          <w:szCs w:val="22"/>
        </w:rPr>
        <w:t xml:space="preserve">3.  Peran Pengguna &amp; Hak Akses</w:t>
      </w:r>
    </w:p>
    <w:p>
      <w:pPr>
        <w:pStyle w:val="ListParagraph"/>
        <w:numPr>
          <w:ilvl w:val="0"/>
          <w:numId w:val="1"/>
        </w:numPr>
        <w:spacing w:after="60" w:line="268"/>
      </w:pPr>
      <w:r>
        <w:rPr>
          <w:sz w:val="22"/>
          <w:szCs w:val="22"/>
        </w:rPr>
        <w:t xml:space="preserve">4.  Siklus Hidup Project</w:t>
      </w:r>
    </w:p>
    <w:p>
      <w:pPr>
        <w:pStyle w:val="ListParagraph"/>
        <w:numPr>
          <w:ilvl w:val="0"/>
          <w:numId w:val="1"/>
        </w:numPr>
        <w:spacing w:after="60" w:line="268"/>
      </w:pPr>
      <w:r>
        <w:rPr>
          <w:sz w:val="22"/>
          <w:szCs w:val="22"/>
        </w:rPr>
        <w:t xml:space="preserve">5.  Fitur Utama per Modul</w:t>
      </w:r>
    </w:p>
    <w:p>
      <w:pPr>
        <w:pStyle w:val="ListParagraph"/>
        <w:numPr>
          <w:ilvl w:val="0"/>
          <w:numId w:val="1"/>
        </w:numPr>
        <w:spacing w:after="60" w:line="268"/>
      </w:pPr>
      <w:r>
        <w:rPr>
          <w:sz w:val="22"/>
          <w:szCs w:val="22"/>
        </w:rPr>
        <w:t xml:space="preserve">6.  Perhitungan dalam Aplikasi</w:t>
      </w:r>
    </w:p>
    <w:p>
      <w:pPr>
        <w:pStyle w:val="ListParagraph"/>
        <w:numPr>
          <w:ilvl w:val="0"/>
          <w:numId w:val="1"/>
        </w:numPr>
        <w:spacing w:after="60" w:line="268"/>
      </w:pPr>
      <w:r>
        <w:rPr>
          <w:sz w:val="22"/>
          <w:szCs w:val="22"/>
        </w:rPr>
        <w:t xml:space="preserve">7.  Contoh Perhitungan Menyeluruh</w:t>
      </w:r>
    </w:p>
    <w:p>
      <w:pPr>
        <w:pStyle w:val="ListParagraph"/>
        <w:numPr>
          <w:ilvl w:val="0"/>
          <w:numId w:val="1"/>
        </w:numPr>
        <w:spacing w:after="60" w:line="268"/>
      </w:pPr>
      <w:r>
        <w:rPr>
          <w:sz w:val="22"/>
          <w:szCs w:val="22"/>
        </w:rPr>
        <w:t xml:space="preserve">8.  Integrasi Akuntansi (Xero)</w:t>
      </w:r>
    </w:p>
    <w:p>
      <w:pPr>
        <w:pStyle w:val="ListParagraph"/>
        <w:numPr>
          <w:ilvl w:val="0"/>
          <w:numId w:val="1"/>
        </w:numPr>
        <w:spacing w:after="60" w:line="268"/>
      </w:pPr>
      <w:r>
        <w:rPr>
          <w:sz w:val="22"/>
          <w:szCs w:val="22"/>
        </w:rPr>
        <w:t xml:space="preserve">9.  Keamanan &amp; Kontrol Akses</w:t>
      </w:r>
    </w:p>
    <w:p>
      <w:pPr>
        <w:pStyle w:val="ListParagraph"/>
        <w:numPr>
          <w:ilvl w:val="0"/>
          <w:numId w:val="1"/>
        </w:numPr>
        <w:spacing w:after="60" w:line="268"/>
      </w:pPr>
      <w:r>
        <w:rPr>
          <w:sz w:val="22"/>
          <w:szCs w:val="22"/>
        </w:rPr>
        <w:t xml:space="preserve">10. Saran Persiapan &amp; Alur Demo Presentasi</w:t>
      </w:r>
    </w:p>
    <w:p>
      <w:r>
        <w:br w:type="page"/>
      </w:r>
    </w:p>
    <w:p>
      <w:pPr>
        <w:pStyle w:val="Heading1"/>
        <w:spacing w:after="140" w:before="360"/>
      </w:pPr>
      <w:r>
        <w:rPr>
          <w:b/>
          <w:bCs/>
          <w:color w:val="1F7A4D"/>
          <w:sz w:val="30"/>
          <w:szCs w:val="30"/>
        </w:rPr>
        <w:t xml:space="preserve">1. Ringkasan Eksekutif</w:t>
      </w:r>
    </w:p>
    <w:p>
      <w:pPr>
        <w:spacing w:after="120" w:line="276"/>
      </w:pPr>
      <w:r>
        <w:rPr>
          <w:sz w:val="22"/>
          <w:szCs w:val="22"/>
        </w:rPr>
        <w:t xml:space="preserve">SecureProfit Hub adalah aplikasi web full-stack untuk perusahaan konsultan keamanan TI. Aplikasi ini mengelola seluruh perjalanan sebuah project — mulai dari intake oleh tim Sales, perencanaan oleh Project Manager, eksekusi oleh tim konsultan, hingga penutupan dan penagihan — sambil memantau margin keuntungan secara real-time seiring konsultan mencatat hari kerja (manday) yang dapat ditagih.</w:t>
      </w:r>
    </w:p>
    <w:p>
      <w:pPr>
        <w:pStyle w:val="Heading3"/>
        <w:spacing w:after="70" w:before="160"/>
      </w:pPr>
      <w:r>
        <w:rPr>
          <w:b/>
          <w:bCs/>
          <w:color w:val="0F1B14"/>
          <w:sz w:val="23"/>
          <w:szCs w:val="23"/>
        </w:rPr>
        <w:t xml:space="preserve">Masalah yang dipecahkan</w:t>
      </w:r>
    </w:p>
    <w:p>
      <w:pPr>
        <w:pStyle w:val="ListParagraph"/>
        <w:numPr>
          <w:ilvl w:val="0"/>
          <w:numId w:val="1"/>
        </w:numPr>
        <w:spacing w:after="60" w:line="268"/>
      </w:pPr>
      <w:r>
        <w:rPr>
          <w:sz w:val="22"/>
          <w:szCs w:val="22"/>
        </w:rPr>
        <w:t xml:space="preserve">Visibilitas profitabilitas project yang lambat dan manual (biasanya baru ketahuan saat project selesai).</w:t>
      </w:r>
    </w:p>
    <w:p>
      <w:pPr>
        <w:pStyle w:val="ListParagraph"/>
        <w:numPr>
          <w:ilvl w:val="0"/>
          <w:numId w:val="1"/>
        </w:numPr>
        <w:spacing w:after="60" w:line="268"/>
      </w:pPr>
      <w:r>
        <w:rPr>
          <w:sz w:val="22"/>
          <w:szCs w:val="22"/>
        </w:rPr>
        <w:t xml:space="preserve">Pencatatan timesheet, biaya, dan penagihan yang tersebar di banyak spreadsheet.</w:t>
      </w:r>
    </w:p>
    <w:p>
      <w:pPr>
        <w:pStyle w:val="ListParagraph"/>
        <w:numPr>
          <w:ilvl w:val="0"/>
          <w:numId w:val="1"/>
        </w:numPr>
        <w:spacing w:after="60" w:line="268"/>
      </w:pPr>
      <w:r>
        <w:rPr>
          <w:sz w:val="22"/>
          <w:szCs w:val="22"/>
        </w:rPr>
        <w:t xml:space="preserve">Sulitnya perencanaan kapasitas sumber daya dan pemantauan utilisasi konsultan.</w:t>
      </w:r>
    </w:p>
    <w:p>
      <w:pPr>
        <w:pStyle w:val="ListParagraph"/>
        <w:numPr>
          <w:ilvl w:val="0"/>
          <w:numId w:val="1"/>
        </w:numPr>
        <w:spacing w:after="60" w:line="268"/>
      </w:pPr>
      <w:r>
        <w:rPr>
          <w:sz w:val="22"/>
          <w:szCs w:val="22"/>
        </w:rPr>
        <w:t xml:space="preserve">Proses penagihan (invoice) dan rekap PPN yang rawan kesalahan hitung.</w:t>
      </w:r>
    </w:p>
    <w:p>
      <w:pPr>
        <w:pStyle w:val="Heading3"/>
        <w:spacing w:after="70" w:before="160"/>
      </w:pPr>
      <w:r>
        <w:rPr>
          <w:b/>
          <w:bCs/>
          <w:color w:val="0F1B14"/>
          <w:sz w:val="23"/>
          <w:szCs w:val="23"/>
        </w:rPr>
        <w:t xml:space="preserve">Nilai utama</w:t>
      </w:r>
    </w:p>
    <w:p>
      <w:pPr>
        <w:pStyle w:val="ListParagraph"/>
        <w:numPr>
          <w:ilvl w:val="0"/>
          <w:numId w:val="1"/>
        </w:numPr>
        <w:spacing w:after="60" w:line="268"/>
      </w:pPr>
      <w:r>
        <w:rPr>
          <w:sz w:val="22"/>
          <w:szCs w:val="22"/>
        </w:rPr>
        <w:t xml:space="preserve">Margin &amp; biaya project terhitung otomatis dari timesheet dan biaya yang disetujui.</w:t>
      </w:r>
    </w:p>
    <w:p>
      <w:pPr>
        <w:pStyle w:val="ListParagraph"/>
        <w:numPr>
          <w:ilvl w:val="0"/>
          <w:numId w:val="1"/>
        </w:numPr>
        <w:spacing w:after="60" w:line="268"/>
      </w:pPr>
      <w:r>
        <w:rPr>
          <w:sz w:val="22"/>
          <w:szCs w:val="22"/>
        </w:rPr>
        <w:t xml:space="preserve">Satu sumber data untuk project, sumber daya, penagihan, dan laporan manajemen.</w:t>
      </w:r>
    </w:p>
    <w:p>
      <w:pPr>
        <w:pStyle w:val="ListParagraph"/>
        <w:numPr>
          <w:ilvl w:val="0"/>
          <w:numId w:val="1"/>
        </w:numPr>
        <w:spacing w:after="60" w:line="268"/>
      </w:pPr>
      <w:r>
        <w:rPr>
          <w:sz w:val="22"/>
          <w:szCs w:val="22"/>
        </w:rPr>
        <w:t xml:space="preserve">Kontrol akses berbasis peran sehingga setiap fungsi hanya melihat yang relevan.</w:t>
      </w:r>
    </w:p>
    <w:p>
      <w:pPr>
        <w:pStyle w:val="ListParagraph"/>
        <w:numPr>
          <w:ilvl w:val="0"/>
          <w:numId w:val="1"/>
        </w:numPr>
        <w:spacing w:after="60" w:line="268"/>
      </w:pPr>
      <w:r>
        <w:rPr>
          <w:sz w:val="22"/>
          <w:szCs w:val="22"/>
        </w:rPr>
        <w:t xml:space="preserve">Integrasi langsung ke Xero untuk penerbitan invoice dan sinkronisasi pembayaran.</w:t>
      </w:r>
    </w:p>
    <w:p>
      <w:pPr>
        <w:pStyle w:val="Heading1"/>
        <w:spacing w:after="140" w:before="360"/>
      </w:pPr>
      <w:r>
        <w:rPr>
          <w:b/>
          <w:bCs/>
          <w:color w:val="1F7A4D"/>
          <w:sz w:val="30"/>
          <w:szCs w:val="30"/>
        </w:rPr>
        <w:t xml:space="preserve">2. Teknologi &amp; Arsitektur</w:t>
      </w:r>
    </w:p>
    <w:p>
      <w:pPr>
        <w:spacing w:after="120" w:line="276"/>
      </w:pPr>
      <w:r>
        <w:rPr>
          <w:sz w:val="22"/>
          <w:szCs w:val="22"/>
        </w:rPr>
        <w:t xml:space="preserve">Aplikasi dibangun sebagai monorepo dengan pemisahan jelas antara antarmuka, server, dan basis data.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Lapisan</w:t>
            </w:r>
          </w:p>
        </w:tc>
        <w:tc>
          <w:tcPr>
            <w:tcW w:type="pct" w:w="40%"/>
            <w:shd w:fill="1F7A4D"/>
            <w:tcMar>
              <w:top w:type="dxa" w:w="60"/>
              <w:left w:type="dxa" w:w="90"/>
              <w:bottom w:type="dxa" w:w="60"/>
              <w:right w:type="dxa" w:w="90"/>
            </w:tcMar>
          </w:tcPr>
          <w:p>
            <w:r>
              <w:rPr>
                <w:b/>
                <w:bCs/>
                <w:color w:val="FFFFFF"/>
                <w:sz w:val="20"/>
                <w:szCs w:val="20"/>
              </w:rPr>
              <w:t xml:space="preserve">Teknologi</w:t>
            </w:r>
          </w:p>
        </w:tc>
        <w:tc>
          <w:tcPr>
            <w:tcW w:type="pct" w:w="38%"/>
            <w:shd w:fill="1F7A4D"/>
            <w:tcMar>
              <w:top w:type="dxa" w:w="60"/>
              <w:left w:type="dxa" w:w="90"/>
              <w:bottom w:type="dxa" w:w="60"/>
              <w:right w:type="dxa" w:w="90"/>
            </w:tcMar>
          </w:tcPr>
          <w:p>
            <w:r>
              <w:rPr>
                <w:b/>
                <w:bCs/>
                <w:color w:val="FFFFFF"/>
                <w:sz w:val="20"/>
                <w:szCs w:val="20"/>
              </w:rPr>
              <w:t xml:space="preserve">Fungsi</w:t>
            </w:r>
          </w:p>
        </w:tc>
      </w:tr>
      <w:tr>
        <w:tc>
          <w:tcPr>
            <w:tcW w:type="pct" w:w="22%"/>
            <w:tcMar>
              <w:top w:type="dxa" w:w="60"/>
              <w:left w:type="dxa" w:w="90"/>
              <w:bottom w:type="dxa" w:w="60"/>
              <w:right w:type="dxa" w:w="90"/>
            </w:tcMar>
          </w:tcPr>
          <w:p>
            <w:r>
              <w:rPr>
                <w:color w:val="0F1B14"/>
                <w:sz w:val="20"/>
                <w:szCs w:val="20"/>
              </w:rPr>
              <w:t xml:space="preserve">Antarmuka (Frontend)</w:t>
            </w:r>
          </w:p>
        </w:tc>
        <w:tc>
          <w:tcPr>
            <w:tcW w:type="pct" w:w="40%"/>
            <w:tcMar>
              <w:top w:type="dxa" w:w="60"/>
              <w:left w:type="dxa" w:w="90"/>
              <w:bottom w:type="dxa" w:w="60"/>
              <w:right w:type="dxa" w:w="90"/>
            </w:tcMar>
          </w:tcPr>
          <w:p>
            <w:r>
              <w:rPr>
                <w:color w:val="0F1B14"/>
                <w:sz w:val="20"/>
                <w:szCs w:val="20"/>
              </w:rPr>
              <w:t xml:space="preserve">React + Vite + TypeScript + Tailwind, grafik Recharts</w:t>
            </w:r>
          </w:p>
        </w:tc>
        <w:tc>
          <w:tcPr>
            <w:tcW w:type="pct" w:w="38%"/>
            <w:tcMar>
              <w:top w:type="dxa" w:w="60"/>
              <w:left w:type="dxa" w:w="90"/>
              <w:bottom w:type="dxa" w:w="60"/>
              <w:right w:type="dxa" w:w="90"/>
            </w:tcMar>
          </w:tcPr>
          <w:p>
            <w:r>
              <w:rPr>
                <w:color w:val="0F1B14"/>
                <w:sz w:val="20"/>
                <w:szCs w:val="20"/>
              </w:rPr>
              <w:t xml:space="preserve">Tampilan pengguna, dashboard, formulir, dan visualisasi</w:t>
            </w:r>
          </w:p>
        </w:tc>
      </w:tr>
      <w:tr>
        <w:tc>
          <w:tcPr>
            <w:tcW w:type="pct" w:w="22%"/>
            <w:shd w:fill="F1F6F2"/>
            <w:tcMar>
              <w:top w:type="dxa" w:w="60"/>
              <w:left w:type="dxa" w:w="90"/>
              <w:bottom w:type="dxa" w:w="60"/>
              <w:right w:type="dxa" w:w="90"/>
            </w:tcMar>
          </w:tcPr>
          <w:p>
            <w:r>
              <w:rPr>
                <w:color w:val="0F1B14"/>
                <w:sz w:val="20"/>
                <w:szCs w:val="20"/>
              </w:rPr>
              <w:t xml:space="preserve">Server (Backend)</w:t>
            </w:r>
          </w:p>
        </w:tc>
        <w:tc>
          <w:tcPr>
            <w:tcW w:type="pct" w:w="40%"/>
            <w:shd w:fill="F1F6F2"/>
            <w:tcMar>
              <w:top w:type="dxa" w:w="60"/>
              <w:left w:type="dxa" w:w="90"/>
              <w:bottom w:type="dxa" w:w="60"/>
              <w:right w:type="dxa" w:w="90"/>
            </w:tcMar>
          </w:tcPr>
          <w:p>
            <w:r>
              <w:rPr>
                <w:color w:val="0F1B14"/>
                <w:sz w:val="20"/>
                <w:szCs w:val="20"/>
              </w:rPr>
              <w:t xml:space="preserve">Node.js + Express, autentikasi JWT</w:t>
            </w:r>
          </w:p>
        </w:tc>
        <w:tc>
          <w:tcPr>
            <w:tcW w:type="pct" w:w="38%"/>
            <w:shd w:fill="F1F6F2"/>
            <w:tcMar>
              <w:top w:type="dxa" w:w="60"/>
              <w:left w:type="dxa" w:w="90"/>
              <w:bottom w:type="dxa" w:w="60"/>
              <w:right w:type="dxa" w:w="90"/>
            </w:tcMar>
          </w:tcPr>
          <w:p>
            <w:r>
              <w:rPr>
                <w:color w:val="0F1B14"/>
                <w:sz w:val="20"/>
                <w:szCs w:val="20"/>
              </w:rPr>
              <w:t xml:space="preserve">Logika bisnis, validasi, dan API</w:t>
            </w:r>
          </w:p>
        </w:tc>
      </w:tr>
      <w:tr>
        <w:tc>
          <w:tcPr>
            <w:tcW w:type="pct" w:w="22%"/>
            <w:tcMar>
              <w:top w:type="dxa" w:w="60"/>
              <w:left w:type="dxa" w:w="90"/>
              <w:bottom w:type="dxa" w:w="60"/>
              <w:right w:type="dxa" w:w="90"/>
            </w:tcMar>
          </w:tcPr>
          <w:p>
            <w:r>
              <w:rPr>
                <w:color w:val="0F1B14"/>
                <w:sz w:val="20"/>
                <w:szCs w:val="20"/>
              </w:rPr>
              <w:t xml:space="preserve">Basis Data</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Penyimpanan data project, pengguna, timesheet, penagihan</w:t>
            </w:r>
          </w:p>
        </w:tc>
      </w:tr>
      <w:tr>
        <w:tc>
          <w:tcPr>
            <w:tcW w:type="pct" w:w="22%"/>
            <w:shd w:fill="F1F6F2"/>
            <w:tcMar>
              <w:top w:type="dxa" w:w="60"/>
              <w:left w:type="dxa" w:w="90"/>
              <w:bottom w:type="dxa" w:w="60"/>
              <w:right w:type="dxa" w:w="90"/>
            </w:tcMar>
          </w:tcPr>
          <w:p>
            <w:r>
              <w:rPr>
                <w:color w:val="0F1B14"/>
                <w:sz w:val="20"/>
                <w:szCs w:val="20"/>
              </w:rPr>
              <w:t xml:space="preserve">Kontrak API</w:t>
            </w:r>
          </w:p>
        </w:tc>
        <w:tc>
          <w:tcPr>
            <w:tcW w:type="pct" w:w="40%"/>
            <w:shd w:fill="F1F6F2"/>
            <w:tcMar>
              <w:top w:type="dxa" w:w="60"/>
              <w:left w:type="dxa" w:w="90"/>
              <w:bottom w:type="dxa" w:w="60"/>
              <w:right w:type="dxa" w:w="90"/>
            </w:tcMar>
          </w:tcPr>
          <w:p>
            <w:r>
              <w:rPr>
                <w:color w:val="0F1B14"/>
                <w:sz w:val="20"/>
                <w:szCs w:val="20"/>
              </w:rPr>
              <w:t xml:space="preserve">OpenAPI 3 + validasi skema</w:t>
            </w:r>
          </w:p>
        </w:tc>
        <w:tc>
          <w:tcPr>
            <w:tcW w:type="pct" w:w="38%"/>
            <w:shd w:fill="F1F6F2"/>
            <w:tcMar>
              <w:top w:type="dxa" w:w="60"/>
              <w:left w:type="dxa" w:w="90"/>
              <w:bottom w:type="dxa" w:w="60"/>
              <w:right w:type="dxa" w:w="90"/>
            </w:tcMar>
          </w:tcPr>
          <w:p>
            <w:r>
              <w:rPr>
                <w:color w:val="0F1B14"/>
                <w:sz w:val="20"/>
                <w:szCs w:val="20"/>
              </w:rPr>
              <w:t xml:space="preserve">Menjaga konsistensi data antara server dan antarmuka</w:t>
            </w:r>
          </w:p>
        </w:tc>
      </w:tr>
      <w:tr>
        <w:tc>
          <w:tcPr>
            <w:tcW w:type="pct" w:w="22%"/>
            <w:tcMar>
              <w:top w:type="dxa" w:w="60"/>
              <w:left w:type="dxa" w:w="90"/>
              <w:bottom w:type="dxa" w:w="60"/>
              <w:right w:type="dxa" w:w="90"/>
            </w:tcMar>
          </w:tcPr>
          <w:p>
            <w:r>
              <w:rPr>
                <w:color w:val="0F1B14"/>
                <w:sz w:val="20"/>
                <w:szCs w:val="20"/>
              </w:rPr>
              <w:t xml:space="preserve">Integrasi</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Penerbitan invoice &amp; sinkronisasi pembayaran</w:t>
            </w:r>
          </w:p>
        </w:tc>
      </w:tr>
    </w:tbl>
    <w:p>
      <w:pPr>
        <w:pStyle w:val="Heading1"/>
        <w:spacing w:after="140" w:before="360"/>
      </w:pPr>
      <w:r>
        <w:rPr>
          <w:b/>
          <w:bCs/>
          <w:color w:val="1F7A4D"/>
          <w:sz w:val="30"/>
          <w:szCs w:val="30"/>
        </w:rPr>
        <w:t xml:space="preserve">3. Peran Pengguna &amp; Hak Akses</w:t>
      </w:r>
    </w:p>
    <w:p>
      <w:pPr>
        <w:spacing w:after="120" w:line="276"/>
      </w:pPr>
      <w:r>
        <w:rPr>
          <w:sz w:val="22"/>
          <w:szCs w:val="22"/>
        </w:rPr>
        <w:t xml:space="preserve">Setiap pengguna memiliki peran yang menentukan modul dan data yang dapat diakses. Ringkasan peran utama: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Peran</w:t>
            </w:r>
          </w:p>
        </w:tc>
        <w:tc>
          <w:tcPr>
            <w:tcW w:type="pct" w:w="68%"/>
            <w:shd w:fill="1F7A4D"/>
            <w:tcMar>
              <w:top w:type="dxa" w:w="60"/>
              <w:left w:type="dxa" w:w="90"/>
              <w:bottom w:type="dxa" w:w="60"/>
              <w:right w:type="dxa" w:w="90"/>
            </w:tcMar>
          </w:tcPr>
          <w:p>
            <w:r>
              <w:rPr>
                <w:b/>
                <w:bCs/>
                <w:color w:val="FFFFFF"/>
                <w:sz w:val="20"/>
                <w:szCs w:val="20"/>
              </w:rPr>
              <w:t xml:space="preserve">Tanggung jawab utama</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Akses penuh: seluruh project, persetujuan, dan semua angka finansial.</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Mengelola project sendiri, sumber daya, dan menyetujui timesheet timnya. Dapat pula mencatat timesheet sendiri yang otomatis disetujui (tanpa perlu persetujuan terpisah).</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Membuat klien &amp; project (intake), mengelola data komersial project sendiri.</w:t>
            </w:r>
          </w:p>
        </w:tc>
      </w:tr>
      <w:tr>
        <w:tc>
          <w:tcPr>
            <w:tcW w:type="pct" w:w="32%"/>
            <w:shd w:fill="F1F6F2"/>
            <w:tcMar>
              <w:top w:type="dxa" w:w="60"/>
              <w:left w:type="dxa" w:w="90"/>
              <w:bottom w:type="dxa" w:w="60"/>
              <w:right w:type="dxa" w:w="90"/>
            </w:tcMar>
          </w:tcPr>
          <w:p>
            <w:r>
              <w:rPr>
                <w:color w:val="0F1B14"/>
                <w:sz w:val="20"/>
                <w:szCs w:val="20"/>
              </w:rPr>
              <w:t xml:space="preserve">Konsultan</w:t>
            </w:r>
          </w:p>
        </w:tc>
        <w:tc>
          <w:tcPr>
            <w:tcW w:type="pct" w:w="68%"/>
            <w:shd w:fill="F1F6F2"/>
            <w:tcMar>
              <w:top w:type="dxa" w:w="60"/>
              <w:left w:type="dxa" w:w="90"/>
              <w:bottom w:type="dxa" w:w="60"/>
              <w:right w:type="dxa" w:w="90"/>
            </w:tcMar>
          </w:tcPr>
          <w:p>
            <w:r>
              <w:rPr>
                <w:color w:val="0F1B14"/>
                <w:sz w:val="20"/>
                <w:szCs w:val="20"/>
              </w:rPr>
              <w:t xml:space="preserve">Mencatat timesheet sendiri dan memperbarui status tugas.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Sama seperti konsultan untuk pekerjaan penulisan/laporan.</w:t>
            </w:r>
          </w:p>
        </w:tc>
      </w:tr>
      <w:tr>
        <w:tc>
          <w:tcPr>
            <w:tcW w:type="pct" w:w="32%"/>
            <w:shd w:fill="F1F6F2"/>
            <w:tcMar>
              <w:top w:type="dxa" w:w="60"/>
              <w:left w:type="dxa" w:w="90"/>
              <w:bottom w:type="dxa" w:w="60"/>
              <w:right w:type="dxa" w:w="90"/>
            </w:tcMar>
          </w:tcPr>
          <w:p>
            <w:r>
              <w:rPr>
                <w:color w:val="0F1B14"/>
                <w:sz w:val="20"/>
                <w:szCs w:val="20"/>
              </w:rPr>
              <w:t xml:space="preserve">Admin Project</w:t>
            </w:r>
          </w:p>
        </w:tc>
        <w:tc>
          <w:tcPr>
            <w:tcW w:type="pct" w:w="68%"/>
            <w:shd w:fill="F1F6F2"/>
            <w:tcMar>
              <w:top w:type="dxa" w:w="60"/>
              <w:left w:type="dxa" w:w="90"/>
              <w:bottom w:type="dxa" w:w="60"/>
              <w:right w:type="dxa" w:w="90"/>
            </w:tcMar>
          </w:tcPr>
          <w:p>
            <w:r>
              <w:rPr>
                <w:color w:val="0F1B14"/>
                <w:sz w:val="20"/>
                <w:szCs w:val="20"/>
              </w:rPr>
              <w:t xml:space="preserve">Mengelola dokumen penutupan (BAST/Invoice/Kontrak).</w:t>
            </w:r>
          </w:p>
        </w:tc>
      </w:tr>
      <w:tr>
        <w:tc>
          <w:tcPr>
            <w:tcW w:type="pct" w:w="32%"/>
            <w:tcMar>
              <w:top w:type="dxa" w:w="60"/>
              <w:left w:type="dxa" w:w="90"/>
              <w:bottom w:type="dxa" w:w="60"/>
              <w:right w:type="dxa" w:w="90"/>
            </w:tcMar>
          </w:tcPr>
          <w:p>
            <w:r>
              <w:rPr>
                <w:color w:val="0F1B14"/>
                <w:sz w:val="20"/>
                <w:szCs w:val="20"/>
              </w:rPr>
              <w:t xml:space="preserve">Principal (3 jenis)</w:t>
            </w:r>
          </w:p>
        </w:tc>
        <w:tc>
          <w:tcPr>
            <w:tcW w:type="pct" w:w="68%"/>
            <w:tcMar>
              <w:top w:type="dxa" w:w="60"/>
              <w:left w:type="dxa" w:w="90"/>
              <w:bottom w:type="dxa" w:w="60"/>
              <w:right w:type="dxa" w:w="90"/>
            </w:tcMar>
          </w:tcPr>
          <w:p>
            <w:r>
              <w:rPr>
                <w:color w:val="0F1B14"/>
                <w:sz w:val="20"/>
                <w:szCs w:val="20"/>
              </w:rPr>
              <w:t xml:space="preserve">Mengawasi tim delivery (Konsultan/TW/Admin) — TANPA akses angka finansial.</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Akses baca seluruh project/laporan + rekap PPN; unggah dokumen invoice/kontrak.</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Operasi SDM: karyawan, cuti, matriks keahlian, bench — tanpa akses finansial.</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Administrasi pengguna dan log audit sistem.</w:t>
            </w:r>
          </w:p>
        </w:tc>
      </w:tr>
    </w:tbl>
    <w:p>
      <w:pPr>
        <w:spacing w:after="120" w:line="276"/>
      </w:pPr>
      <w:r>
        <w:rPr>
          <w:b/>
          <w:bCs/>
          <w:sz w:val="22"/>
          <w:szCs w:val="22"/>
        </w:rPr>
        <w:t xml:space="preserve">Catatan penting: </w:t>
      </w:r>
      <w:r>
        <w:rPr>
          <w:b w:val="false"/>
          <w:bCs w:val="false"/>
          <w:sz w:val="22"/>
          <w:szCs w:val="22"/>
        </w:rPr>
        <w:t xml:space="preserve">peran Principal dan peran delivery (Konsultan/TW) serta HR tidak pernah melihat nilai kontrak, biaya, maupun margin. Tab Financials dan Billing otomatis disembunyikan untuk mereka.</w:t>
      </w:r>
    </w:p>
    <w:p>
      <w:pPr>
        <w:pStyle w:val="Heading1"/>
        <w:spacing w:after="140" w:before="360"/>
      </w:pPr>
      <w:r>
        <w:rPr>
          <w:b/>
          <w:bCs/>
          <w:color w:val="1F7A4D"/>
          <w:sz w:val="30"/>
          <w:szCs w:val="30"/>
        </w:rPr>
        <w:t xml:space="preserve">4. Siklus Hidup Project</w:t>
      </w:r>
    </w:p>
    <w:p>
      <w:pPr>
        <w:spacing w:after="120" w:line="276"/>
      </w:pPr>
      <w:r>
        <w:rPr>
          <w:sz w:val="22"/>
          <w:szCs w:val="22"/>
        </w:rPr>
        <w:t xml:space="preserve">Sebuah project bergerak melalui status berikut:</w:t>
      </w:r>
    </w:p>
    <w:p>
      <w:pPr>
        <w:pBdr>
          <w:left w:val="single" w:color="1F7A4D" w:sz="18" w:space="8"/>
        </w:pBdr>
        <w:shd w:fill="F1F6F2"/>
        <w:spacing w:after="120" w:before="60"/>
      </w:pPr>
      <w:r>
        <w:rPr>
          <w:rFonts w:ascii="Consolas" w:cs="Consolas" w:eastAsia="Consolas" w:hAnsi="Consolas"/>
          <w:color w:val="0F1B14"/>
          <w:sz w:val="21"/>
          <w:szCs w:val="21"/>
        </w:rPr>
        <w:t xml:space="preserve">DRAFT  →  OBSERVATION  →  ACTIVE  →  PAUSE / COMPLETE  →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Arti</w:t>
            </w:r>
          </w:p>
        </w:tc>
        <w:tc>
          <w:tcPr>
            <w:tcW w:type="pct" w:w="28%"/>
            <w:shd w:fill="1F7A4D"/>
            <w:tcMar>
              <w:top w:type="dxa" w:w="60"/>
              <w:left w:type="dxa" w:w="90"/>
              <w:bottom w:type="dxa" w:w="60"/>
              <w:right w:type="dxa" w:w="90"/>
            </w:tcMar>
          </w:tcPr>
          <w:p>
            <w:r>
              <w:rPr>
                <w:b/>
                <w:bCs/>
                <w:color w:val="FFFFFF"/>
                <w:sz w:val="20"/>
                <w:szCs w:val="20"/>
              </w:rPr>
              <w:t xml:space="preserve">Siapa yang bertindak</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Intake awal oleh Sales (4 kolom dasar).</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melengkapi deskripsi, tanggal, revenue, manday &amp; biaya.</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berjalan; timesheet &amp; biaya mulai berjalan.</w:t>
            </w:r>
          </w:p>
        </w:tc>
        <w:tc>
          <w:tcPr>
            <w:tcW w:type="pct" w:w="28%"/>
            <w:tcMar>
              <w:top w:type="dxa" w:w="60"/>
              <w:left w:type="dxa" w:w="90"/>
              <w:bottom w:type="dxa" w:w="60"/>
              <w:right w:type="dxa" w:w="90"/>
            </w:tcMar>
          </w:tcPr>
          <w:p>
            <w:r>
              <w:rPr>
                <w:color w:val="0F1B14"/>
                <w:sz w:val="20"/>
                <w:szCs w:val="20"/>
              </w:rPr>
              <w:t xml:space="preserve">Tim delivery</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dijeda atau selesai dikerjakan.</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ditutup sepenuhnya.</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Aturan penagihan baru: </w:t>
      </w:r>
      <w:r>
        <w:rPr>
          <w:b w:val="false"/>
          <w:bCs w:val="false"/>
          <w:sz w:val="22"/>
          <w:szCs w:val="22"/>
        </w:rPr>
        <w:t xml:space="preserve">project hanya dapat di-invoice setelah berstatus ACTIVE atau lebih (ACTIVE, PAUSE, COMPLETE, CLOSED). Project yang masih DRAFT atau OBSERVATION — yaitu belum berjalan — tidak dapat menerbitkan invoice, mendorong ke Xero, maupun ditandai INVOICED/PAID.</w:t>
      </w:r>
    </w:p>
    <w:p>
      <w:pPr>
        <w:pStyle w:val="Heading1"/>
        <w:spacing w:after="140" w:before="360"/>
      </w:pPr>
      <w:r>
        <w:rPr>
          <w:b/>
          <w:bCs/>
          <w:color w:val="1F7A4D"/>
          <w:sz w:val="30"/>
          <w:szCs w:val="30"/>
        </w:rPr>
        <w:t xml:space="preserve">5. Fitur Utama per Modul</w:t>
      </w:r>
    </w:p>
    <w:p>
      <w:pPr>
        <w:pStyle w:val="Heading2"/>
        <w:spacing w:after="90" w:before="220"/>
      </w:pPr>
      <w:r>
        <w:rPr>
          <w:b/>
          <w:bCs/>
          <w:color w:val="0F1B14"/>
          <w:sz w:val="26"/>
          <w:szCs w:val="26"/>
        </w:rPr>
        <w:t xml:space="preserve">5.1 Dashboard per Peran</w:t>
      </w:r>
    </w:p>
    <w:p>
      <w:pPr>
        <w:spacing w:after="120" w:line="276"/>
      </w:pPr>
      <w:r>
        <w:rPr>
          <w:sz w:val="22"/>
          <w:szCs w:val="22"/>
        </w:rPr>
        <w:t xml:space="preserve">Setiap peran memperoleh dashboard yang disesuaikan dengan kebutuhannya:</w:t>
      </w:r>
    </w:p>
    <w:p>
      <w:pPr>
        <w:pStyle w:val="ListParagraph"/>
        <w:numPr>
          <w:ilvl w:val="0"/>
          <w:numId w:val="1"/>
        </w:numPr>
        <w:spacing w:after="60" w:line="268"/>
      </w:pPr>
      <w:r>
        <w:rPr>
          <w:sz w:val="22"/>
          <w:szCs w:val="22"/>
        </w:rPr>
        <w:t xml:space="preserve">Management: KPI eksekutif, tren profit, aging penagihan, project berisiko, alokasi PM.</w:t>
      </w:r>
    </w:p>
    <w:p>
      <w:pPr>
        <w:pStyle w:val="ListParagraph"/>
        <w:numPr>
          <w:ilvl w:val="0"/>
          <w:numId w:val="1"/>
        </w:numPr>
        <w:spacing w:after="60" w:line="268"/>
      </w:pPr>
      <w:r>
        <w:rPr>
          <w:sz w:val="22"/>
          <w:szCs w:val="22"/>
        </w:rPr>
        <w:t xml:space="preserve">Project Manager: project aktif, kotak persetujuan, utilisasi, revenue vs profit, peringatan, dan kartu My Tasks pribadi.</w:t>
      </w:r>
    </w:p>
    <w:p>
      <w:pPr>
        <w:pStyle w:val="ListParagraph"/>
        <w:numPr>
          <w:ilvl w:val="0"/>
          <w:numId w:val="1"/>
        </w:numPr>
        <w:spacing w:after="60" w:line="268"/>
      </w:pPr>
      <w:r>
        <w:rPr>
          <w:sz w:val="22"/>
          <w:szCs w:val="22"/>
        </w:rPr>
        <w:t xml:space="preserve">Sales: pipeline, revenue per klien, tren profitabilitas.</w:t>
      </w:r>
    </w:p>
    <w:p>
      <w:pPr>
        <w:pStyle w:val="ListParagraph"/>
        <w:numPr>
          <w:ilvl w:val="0"/>
          <w:numId w:val="1"/>
        </w:numPr>
        <w:spacing w:after="60" w:line="268"/>
      </w:pPr>
      <w:r>
        <w:rPr>
          <w:sz w:val="22"/>
          <w:szCs w:val="22"/>
        </w:rPr>
        <w:t xml:space="preserve">Konsultan/TW: ajakan mencatat waktu, tren, dan daftar tugas saya.</w:t>
      </w:r>
    </w:p>
    <w:p>
      <w:pPr>
        <w:pStyle w:val="ListParagraph"/>
        <w:numPr>
          <w:ilvl w:val="0"/>
          <w:numId w:val="1"/>
        </w:numPr>
        <w:spacing w:after="60" w:line="268"/>
      </w:pPr>
      <w:r>
        <w:rPr>
          <w:sz w:val="22"/>
          <w:szCs w:val="22"/>
        </w:rPr>
        <w:t xml:space="preserve">Admin Project: kotak dokumen penutupan.</w:t>
      </w:r>
    </w:p>
    <w:p>
      <w:pPr>
        <w:pStyle w:val="ListParagraph"/>
        <w:numPr>
          <w:ilvl w:val="0"/>
          <w:numId w:val="1"/>
        </w:numPr>
        <w:spacing w:after="60" w:line="268"/>
      </w:pPr>
      <w:r>
        <w:rPr>
          <w:sz w:val="22"/>
          <w:szCs w:val="22"/>
        </w:rPr>
        <w:t xml:space="preserve">HR: headcount, distribusi unit bisnis/peran, cuti, bench, kesenjangan keahlian.</w:t>
      </w:r>
    </w:p>
    <w:p>
      <w:pPr>
        <w:pStyle w:val="Heading2"/>
        <w:spacing w:after="90" w:before="220"/>
      </w:pPr>
      <w:r>
        <w:rPr>
          <w:b/>
          <w:bCs/>
          <w:color w:val="0F1B14"/>
          <w:sz w:val="26"/>
          <w:szCs w:val="26"/>
        </w:rPr>
        <w:t xml:space="preserve">5.2 Manajemen Project &amp; Tab-tabnya</w:t>
      </w:r>
    </w:p>
    <w:p>
      <w:pPr>
        <w:spacing w:after="120" w:line="276"/>
      </w:pPr>
      <w:r>
        <w:rPr>
          <w:sz w:val="22"/>
          <w:szCs w:val="22"/>
        </w:rPr>
        <w:t xml:space="preserve">Setiap project memiliki halaman detail dengan tab fungsional berikut:</w:t>
      </w:r>
    </w:p>
    <w:p>
      <w:pPr>
        <w:pStyle w:val="ListParagraph"/>
        <w:numPr>
          <w:ilvl w:val="0"/>
          <w:numId w:val="1"/>
        </w:numPr>
        <w:spacing w:after="60" w:line="268"/>
      </w:pPr>
      <w:r>
        <w:rPr>
          <w:b/>
          <w:bCs/>
          <w:sz w:val="22"/>
          <w:szCs w:val="22"/>
        </w:rPr>
        <w:t xml:space="preserve">Overview — </w:t>
      </w:r>
      <w:r>
        <w:rPr>
          <w:b w:val="false"/>
          <w:bCs w:val="false"/>
          <w:sz w:val="22"/>
          <w:szCs w:val="22"/>
        </w:rPr>
        <w:t xml:space="preserve">ringkasan &amp; edit data inti melalui dialog 'Review &amp; Save'.</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penjadwalan tugas dengan drag-and-drop, resize, dan panah dependensi.</w:t>
      </w:r>
    </w:p>
    <w:p>
      <w:pPr>
        <w:pStyle w:val="ListParagraph"/>
        <w:numPr>
          <w:ilvl w:val="0"/>
          <w:numId w:val="1"/>
        </w:numPr>
        <w:spacing w:after="60" w:line="268"/>
      </w:pPr>
      <w:r>
        <w:rPr>
          <w:b/>
          <w:bCs/>
          <w:sz w:val="22"/>
          <w:szCs w:val="22"/>
        </w:rPr>
        <w:t xml:space="preserve">Tasks (WBS) — </w:t>
      </w:r>
      <w:r>
        <w:rPr>
          <w:b w:val="false"/>
          <w:bCs w:val="false"/>
          <w:sz w:val="22"/>
          <w:szCs w:val="22"/>
        </w:rPr>
        <w:t xml:space="preserve">struktur rincian kerja berjenjang, multi-assignee, dependensi finish-to-start, penanda billable.</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tim Konsultan &amp; Technical Writer, Admin Project, dan sumber daya lain.</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registrasi Risk, Assumption, Issue, Dependency (khusus tim delivery).</w:t>
      </w:r>
    </w:p>
    <w:p>
      <w:pPr>
        <w:pStyle w:val="ListParagraph"/>
        <w:numPr>
          <w:ilvl w:val="0"/>
          <w:numId w:val="1"/>
        </w:numPr>
        <w:spacing w:after="60" w:line="268"/>
      </w:pPr>
      <w:r>
        <w:rPr>
          <w:b/>
          <w:bCs/>
          <w:sz w:val="22"/>
          <w:szCs w:val="22"/>
        </w:rPr>
        <w:t xml:space="preserve">Expenses — </w:t>
      </w:r>
      <w:r>
        <w:rPr>
          <w:b w:val="false"/>
          <w:bCs w:val="false"/>
          <w:sz w:val="22"/>
          <w:szCs w:val="22"/>
        </w:rPr>
        <w:t xml:space="preserve">biaya non-sumber daya dengan alur persetujuan; hanya yang APPROVED menambah biaya aktual.</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seluruh entri waktu pada project, dengan KPI dan persetujuan massal.</w:t>
      </w:r>
    </w:p>
    <w:p>
      <w:pPr>
        <w:pStyle w:val="ListParagraph"/>
        <w:numPr>
          <w:ilvl w:val="0"/>
          <w:numId w:val="1"/>
        </w:numPr>
        <w:spacing w:after="60" w:line="268"/>
      </w:pPr>
      <w:r>
        <w:rPr>
          <w:b/>
          <w:bCs/>
          <w:sz w:val="22"/>
          <w:szCs w:val="22"/>
        </w:rPr>
        <w:t xml:space="preserve">Billing — </w:t>
      </w:r>
      <w:r>
        <w:rPr>
          <w:b w:val="false"/>
          <w:bCs w:val="false"/>
          <w:sz w:val="22"/>
          <w:szCs w:val="22"/>
        </w:rPr>
        <w:t xml:space="preserve">Termin pembayaran (milestone) dengan %, DPP, PPN, total, jatuh tempo, dan status invoice.</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biaya, profit, margin, burn rate, dan proyeksi (forecast).</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dokumen, penutupan, laporan project, survei pelanggan, alur kerja, dan jejak audit.</w:t>
      </w:r>
    </w:p>
    <w:p>
      <w:pPr>
        <w:pStyle w:val="Heading2"/>
        <w:spacing w:after="90" w:before="220"/>
      </w:pPr>
      <w:r>
        <w:rPr>
          <w:b/>
          <w:bCs/>
          <w:color w:val="0F1B14"/>
          <w:sz w:val="26"/>
          <w:szCs w:val="26"/>
        </w:rPr>
        <w:t xml:space="preserve">5.3 Modul &amp; Halaman Lain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w:t>
            </w:r>
          </w:p>
        </w:tc>
        <w:tc>
          <w:tcPr>
            <w:tcW w:type="pct" w:w="66%"/>
            <w:shd w:fill="1F7A4D"/>
            <w:tcMar>
              <w:top w:type="dxa" w:w="60"/>
              <w:left w:type="dxa" w:w="90"/>
              <w:bottom w:type="dxa" w:w="60"/>
              <w:right w:type="dxa" w:w="90"/>
            </w:tcMar>
          </w:tcPr>
          <w:p>
            <w:r>
              <w:rPr>
                <w:b/>
                <w:bCs/>
                <w:color w:val="FFFFFF"/>
                <w:sz w:val="20"/>
                <w:szCs w:val="20"/>
              </w:rPr>
              <w:t xml:space="preserve">Fungsi</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Manajemen data klien.</w:t>
            </w:r>
          </w:p>
        </w:tc>
      </w:tr>
      <w:tr>
        <w:tc>
          <w:tcPr>
            <w:tcW w:type="pct" w:w="34%"/>
            <w:shd w:fill="F1F6F2"/>
            <w:tcMar>
              <w:top w:type="dxa" w:w="60"/>
              <w:left w:type="dxa" w:w="90"/>
              <w:bottom w:type="dxa" w:w="60"/>
              <w:right w:type="dxa" w:w="90"/>
            </w:tcMar>
          </w:tcPr>
          <w:p>
            <w:r>
              <w:rPr>
                <w:color w:val="0F1B14"/>
                <w:sz w:val="20"/>
                <w:szCs w:val="20"/>
              </w:rPr>
              <w:t xml:space="preserve">Timesheets (global) + entri massal</w:t>
            </w:r>
          </w:p>
        </w:tc>
        <w:tc>
          <w:tcPr>
            <w:tcW w:type="pct" w:w="66%"/>
            <w:shd w:fill="F1F6F2"/>
            <w:tcMar>
              <w:top w:type="dxa" w:w="60"/>
              <w:left w:type="dxa" w:w="90"/>
              <w:bottom w:type="dxa" w:w="60"/>
              <w:right w:type="dxa" w:w="90"/>
            </w:tcMar>
          </w:tcPr>
          <w:p>
            <w:r>
              <w:rPr>
                <w:color w:val="0F1B14"/>
                <w:sz w:val="20"/>
                <w:szCs w:val="20"/>
              </w:rPr>
              <w:t xml:space="preserve">Pencatatan &amp; persetujuan waktu lintas project; entri mingguan massal.</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laporan siap pakai dengan ekspor CSV/XLSX/PDF.</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Beban manday mingguan per unit bisnis (dengan overlay cuti).</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Konsultan yang belum teralokasi dan kapasitas tim.</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Pemetaan keahlian tim dan identifikasi kesenjangan.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Proyeksi penagihan per periode (minggu/bulan) per unit bisnis.</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Rekap PPN 12 bulan + tahunan dari invoice INVOICED/PAID.</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Penilaian kinerja dengan alur DRAFT → SUBMITTED → ACKNOWLEDGED.</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Manajemen cuti dan bagan organisasi.</w:t>
            </w:r>
          </w:p>
        </w:tc>
      </w:tr>
      <w:tr>
        <w:tc>
          <w:tcPr>
            <w:tcW w:type="pct" w:w="34%"/>
            <w:tcMar>
              <w:top w:type="dxa" w:w="60"/>
              <w:left w:type="dxa" w:w="90"/>
              <w:bottom w:type="dxa" w:w="60"/>
              <w:right w:type="dxa" w:w="90"/>
            </w:tcMar>
          </w:tcPr>
          <w:p>
            <w:r>
              <w:rPr>
                <w:color w:val="0F1B14"/>
                <w:sz w:val="20"/>
                <w:szCs w:val="20"/>
              </w:rPr>
              <w:t xml:space="preserve">Task Templates</w:t>
            </w:r>
          </w:p>
        </w:tc>
        <w:tc>
          <w:tcPr>
            <w:tcW w:type="pct" w:w="66%"/>
            <w:tcMar>
              <w:top w:type="dxa" w:w="60"/>
              <w:left w:type="dxa" w:w="90"/>
              <w:bottom w:type="dxa" w:w="60"/>
              <w:right w:type="dxa" w:w="90"/>
            </w:tcMar>
          </w:tcPr>
          <w:p>
            <w:r>
              <w:rPr>
                <w:color w:val="0F1B14"/>
                <w:sz w:val="20"/>
                <w:szCs w:val="20"/>
              </w:rPr>
              <w:t xml:space="preserve">Template WBS yang dapat diterapkan ke project baru.</w:t>
            </w:r>
          </w:p>
        </w:tc>
      </w:tr>
    </w:tbl>
    <w:p>
      <w:r>
        <w:br w:type="page"/>
      </w:r>
    </w:p>
    <w:p>
      <w:pPr>
        <w:pStyle w:val="Heading1"/>
        <w:spacing w:after="140" w:before="360"/>
      </w:pPr>
      <w:r>
        <w:rPr>
          <w:b/>
          <w:bCs/>
          <w:color w:val="1F7A4D"/>
          <w:sz w:val="30"/>
          <w:szCs w:val="30"/>
        </w:rPr>
        <w:t xml:space="preserve">6. Perhitungan dalam Aplikasi</w:t>
      </w:r>
    </w:p>
    <w:p>
      <w:pPr>
        <w:spacing w:after="120" w:line="276"/>
      </w:pPr>
      <w:r>
        <w:rPr>
          <w:sz w:val="22"/>
          <w:szCs w:val="22"/>
        </w:rPr>
        <w:t xml:space="preserve">Bagian ini menjelaskan semua rumus inti yang dipakai aplikasi untuk menghitung biaya, profit, margin, pajak, dan penagihan. Semua nilai mata uang dalam Rupiah (Rp).</w:t>
      </w:r>
    </w:p>
    <w:p>
      <w:pPr>
        <w:pStyle w:val="Heading2"/>
        <w:spacing w:after="90" w:before="220"/>
      </w:pPr>
      <w:r>
        <w:rPr>
          <w:b/>
          <w:bCs/>
          <w:color w:val="0F1B14"/>
          <w:sz w:val="26"/>
          <w:szCs w:val="26"/>
        </w:rPr>
        <w:t xml:space="preserve">6.1 Biaya Sumber Daya (Resource Cost)</w:t>
      </w:r>
    </w:p>
    <w:p>
      <w:pPr>
        <w:spacing w:after="120" w:line="276"/>
      </w:pPr>
      <w:r>
        <w:rPr>
          <w:sz w:val="22"/>
          <w:szCs w:val="22"/>
        </w:rPr>
        <w:t xml:space="preserve">Biaya tenaga kerja dihitung dari timesheet yang sudah DISETUJUI (APPROVED). Jam kerja dikonversi ke hari (manday) dengan basis 8 jam per hari, lalu dikalikan tarif harian sumber daya.</w:t>
      </w:r>
    </w:p>
    <w:p>
      <w:pPr>
        <w:pBdr>
          <w:left w:val="single" w:color="1F7A4D" w:sz="18" w:space="8"/>
        </w:pBdr>
        <w:shd w:fill="F1F6F2"/>
        <w:spacing w:after="120" w:before="60"/>
      </w:pPr>
      <w:r>
        <w:rPr>
          <w:rFonts w:ascii="Consolas" w:cs="Consolas" w:eastAsia="Consolas" w:hAnsi="Consolas"/>
          <w:color w:val="0F1B14"/>
          <w:sz w:val="21"/>
          <w:szCs w:val="21"/>
        </w:rPr>
        <w:t xml:space="preserve">hari (manday) = jam timesheet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Σ (hari × tarif_harian) untuk semua timesheet APPROVED</w:t>
      </w:r>
    </w:p>
    <w:p>
      <w:pPr>
        <w:spacing w:after="120" w:line="276"/>
      </w:pPr>
      <w:r>
        <w:rPr>
          <w:b/>
          <w:bCs/>
          <w:sz w:val="22"/>
          <w:szCs w:val="22"/>
        </w:rPr>
        <w:t xml:space="preserve">Catatan: </w:t>
      </w:r>
      <w:r>
        <w:rPr>
          <w:b w:val="false"/>
          <w:bCs w:val="false"/>
          <w:sz w:val="22"/>
          <w:szCs w:val="22"/>
        </w:rPr>
        <w:t xml:space="preserve">tarif yang dipakai adalah tarif pada penugasan project (ProjectResource); jika tidak ada, jatuh ke tarif harian default pengguna.</w:t>
      </w:r>
    </w:p>
    <w:p>
      <w:pPr>
        <w:pStyle w:val="Heading2"/>
        <w:spacing w:after="90" w:before="220"/>
      </w:pPr>
      <w:r>
        <w:rPr>
          <w:b/>
          <w:bCs/>
          <w:color w:val="0F1B14"/>
          <w:sz w:val="26"/>
          <w:szCs w:val="26"/>
        </w:rPr>
        <w:t xml:space="preserve">6.2 Biaya Tambahan (Additional Cost)</w:t>
      </w:r>
    </w:p>
    <w:p>
      <w:pPr>
        <w:spacing w:after="120" w:line="276"/>
      </w:pPr>
      <w:r>
        <w:rPr>
          <w:sz w:val="22"/>
          <w:szCs w:val="22"/>
        </w:rPr>
        <w:t xml:space="preserve">Biaya non-tenaga kerja (software, hardware, lisensi, perjalanan, lainnya). Hanya biaya berstatus APPROVED yang dihitung; biaya PENDING/REJECTED tetap terlihat untuk transparansi tetapi tidak menambah biaya.</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Σ amount untuk semua ProjectExpense APPROVED</w:t>
      </w:r>
    </w:p>
    <w:p>
      <w:pPr>
        <w:pStyle w:val="Heading2"/>
        <w:spacing w:after="90" w:before="220"/>
      </w:pPr>
      <w:r>
        <w:rPr>
          <w:b/>
          <w:bCs/>
          <w:color w:val="0F1B14"/>
          <w:sz w:val="26"/>
          <w:szCs w:val="26"/>
        </w:rPr>
        <w:t xml:space="preserve">6.3 Biaya Aktual, Profit, dan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 100</w:t>
      </w:r>
    </w:p>
    <w:p>
      <w:pPr>
        <w:spacing w:after="120" w:line="276"/>
      </w:pPr>
      <w:r>
        <w:rPr>
          <w:sz w:val="22"/>
          <w:szCs w:val="22"/>
        </w:rPr>
        <w:t xml:space="preserve">contractValue adalah nilai kontrak project. Margin dinyatakan dalam persen.</w:t>
      </w:r>
    </w:p>
    <w:p>
      <w:pPr>
        <w:pStyle w:val="Heading2"/>
        <w:spacing w:after="90" w:before="220"/>
      </w:pPr>
      <w:r>
        <w:rPr>
          <w:b/>
          <w:bCs/>
          <w:color w:val="0F1B14"/>
          <w:sz w:val="26"/>
          <w:szCs w:val="26"/>
        </w:rPr>
        <w:t xml:space="preserve">6.4 Biaya Akrual (Accrued Cost)</w:t>
      </w:r>
    </w:p>
    <w:p>
      <w:pPr>
        <w:spacing w:after="120" w:line="276"/>
      </w:pPr>
      <w:r>
        <w:rPr>
          <w:sz w:val="22"/>
          <w:szCs w:val="22"/>
        </w:rPr>
        <w:t xml:space="preserve">Untuk memantau biaya yang sedang berjalan, aplikasi juga menghitung biaya akrual yang memasukkan tenaga kerja yang sudah DIAJUKAN (SUBMITTED) namun belum disetujui.</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Σ (hari × tarif) untuk timesheet APPROVED + SUBMITTED</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Biaya Penuh / Overhead (Fully-Loaded Cost)</w:t>
      </w:r>
    </w:p>
    <w:p>
      <w:pPr>
        <w:spacing w:after="120" w:line="276"/>
      </w:pPr>
      <w:r>
        <w:rPr>
          <w:sz w:val="22"/>
          <w:szCs w:val="22"/>
        </w:rPr>
        <w:t xml:space="preserve">Untuk mencerminkan biaya tidak langsung (overhead) perusahaan, biaya sumber daya dapat dikalikan faktor pengali overhead (dapat dikonfigurasi). Ini menghasilkan biaya dan margin 'bersih' yang lebih konservatif.</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 100</w:t>
      </w:r>
    </w:p>
    <w:p>
      <w:pPr>
        <w:pStyle w:val="Heading2"/>
        <w:spacing w:after="90" w:before="220"/>
      </w:pPr>
      <w:r>
        <w:rPr>
          <w:b/>
          <w:bCs/>
          <w:color w:val="0F1B14"/>
          <w:sz w:val="26"/>
          <w:szCs w:val="26"/>
        </w:rPr>
        <w:t xml:space="preserve">6.6 Burn Rate &amp; Pengakuan Pendapatan</w:t>
      </w:r>
    </w:p>
    <w:p>
      <w:pPr>
        <w:spacing w:after="120" w:line="276"/>
      </w:pPr>
      <w:r>
        <w:rPr>
          <w:sz w:val="22"/>
          <w:szCs w:val="22"/>
        </w:rPr>
        <w:t xml:space="preserve">Tingkat penyelesaian (burn rate) diukur dari manday aktual dibanding manday yang direncanakan, dibatasi maksimal 100%. Pendapatan diakui secara proporsional (mengacu prinsip persentase penyelesaian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 revenueNet</w:t>
      </w:r>
    </w:p>
    <w:p>
      <w:pPr>
        <w:pStyle w:val="Heading2"/>
        <w:spacing w:after="90" w:before="220"/>
      </w:pPr>
      <w:r>
        <w:rPr>
          <w:b/>
          <w:bCs/>
          <w:color w:val="0F1B14"/>
          <w:sz w:val="26"/>
          <w:szCs w:val="26"/>
        </w:rPr>
        <w:t xml:space="preserve">6.7 DPP &amp; PPN (Pemisahan Pajak)</w:t>
      </w:r>
    </w:p>
    <w:p>
      <w:pPr>
        <w:spacing w:after="120" w:line="276"/>
      </w:pPr>
      <w:r>
        <w:rPr>
          <w:sz w:val="22"/>
          <w:szCs w:val="22"/>
        </w:rPr>
        <w:t xml:space="preserve">Nilai kontrak dapat sudah termasuk PPN (inclusive) atau belum (exclusive). DPP adalah Dasar Pengenaan Pajak (nilai bersih), dan PPN dihitung dari sini. Tarif default 11%.</w:t>
      </w:r>
    </w:p>
    <w:p>
      <w:pPr>
        <w:pStyle w:val="Heading3"/>
        <w:spacing w:after="70" w:before="160"/>
      </w:pPr>
      <w:r>
        <w:rPr>
          <w:b/>
          <w:bCs/>
          <w:color w:val="0F1B14"/>
          <w:sz w:val="23"/>
          <w:szCs w:val="23"/>
        </w:rPr>
        <w:t xml:space="preserve">Jika nilai SUDAH termasuk PPN (inclusive):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 (1 + tarifPPN/100)
PPN = nilai − DPP
Total = nilai</w:t>
      </w:r>
    </w:p>
    <w:p>
      <w:pPr>
        <w:pStyle w:val="Heading3"/>
        <w:spacing w:after="70" w:before="160"/>
      </w:pPr>
      <w:r>
        <w:rPr>
          <w:b/>
          <w:bCs/>
          <w:color w:val="0F1B14"/>
          <w:sz w:val="23"/>
          <w:szCs w:val="23"/>
        </w:rPr>
        <w:t xml:space="preserve">Jika nilai BELUM termasuk PPN (exclusive):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PPN = nilai × (tarifPPN/100)
Total = nilai + PPN</w:t>
      </w:r>
    </w:p>
    <w:p>
      <w:pPr>
        <w:pStyle w:val="Heading2"/>
        <w:spacing w:after="90" w:before="220"/>
      </w:pPr>
      <w:r>
        <w:rPr>
          <w:b/>
          <w:bCs/>
          <w:color w:val="0F1B14"/>
          <w:sz w:val="26"/>
          <w:szCs w:val="26"/>
        </w:rPr>
        <w:t xml:space="preserve">6.8 Termin Pembayaran (Billing Milestone)</w:t>
      </w:r>
    </w:p>
    <w:p>
      <w:pPr>
        <w:spacing w:after="120" w:line="276"/>
      </w:pPr>
      <w:r>
        <w:rPr>
          <w:sz w:val="22"/>
          <w:szCs w:val="22"/>
        </w:rPr>
        <w:t xml:space="preserve">Setiap project dapat dibagi menjadi beberapa termin (Terms of Payment). Tiap termin memiliki persentase dari nilai kontrak (atau nominal tetap), lalu dipecah menjadi DPP, PPN, dan Total memakai rumus pada 6.7.</w:t>
      </w:r>
    </w:p>
    <w:p>
      <w:pPr>
        <w:pBdr>
          <w:left w:val="single" w:color="1F7A4D" w:sz="18" w:space="8"/>
        </w:pBdr>
        <w:shd w:fill="F1F6F2"/>
        <w:spacing w:after="120" w:before="60"/>
      </w:pPr>
      <w:r>
        <w:rPr>
          <w:rFonts w:ascii="Consolas" w:cs="Consolas" w:eastAsia="Consolas" w:hAnsi="Consolas"/>
          <w:color w:val="0F1B14"/>
          <w:sz w:val="21"/>
          <w:szCs w:val="21"/>
        </w:rPr>
        <w:t xml:space="preserve">nilai_termin = (persentase ÷ 100) × contractValue   (atau nominal tetap bila diisi)</w:t>
      </w:r>
    </w:p>
    <w:p>
      <w:pPr>
        <w:spacing w:after="120" w:line="276"/>
      </w:pPr>
      <w:r>
        <w:rPr>
          <w:b/>
          <w:bCs/>
          <w:sz w:val="22"/>
          <w:szCs w:val="22"/>
        </w:rPr>
        <w:t xml:space="preserve">Validasi: </w:t>
      </w:r>
      <w:r>
        <w:rPr>
          <w:b w:val="false"/>
          <w:bCs w:val="false"/>
          <w:sz w:val="22"/>
          <w:szCs w:val="22"/>
        </w:rPr>
        <w:t xml:space="preserve">aplikasi memberi peringatan bila total persentase seluruh termin tidak sama dengan 100%.</w:t>
      </w:r>
    </w:p>
    <w:p>
      <w:pPr>
        <w:pStyle w:val="Heading2"/>
        <w:spacing w:after="90" w:before="220"/>
      </w:pPr>
      <w:r>
        <w:rPr>
          <w:b/>
          <w:bCs/>
          <w:color w:val="0F1B14"/>
          <w:sz w:val="26"/>
          <w:szCs w:val="26"/>
        </w:rPr>
        <w:t xml:space="preserve">6.9 Penomoran Invoice</w:t>
      </w:r>
    </w:p>
    <w:p>
      <w:pPr>
        <w:spacing w:after="120" w:line="276"/>
      </w:pPr>
      <w:r>
        <w:rPr>
          <w:sz w:val="22"/>
          <w:szCs w:val="22"/>
        </w:rPr>
        <w:t xml:space="preserve">Nomor invoice dialokasikan secara berurutan dan unik dengan format tahun/bulan, lalu nomor urut 4 digit, contoh:</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Nomor dialokasikan di dalam transaksi yang aman dari tabrakan (race-safe), sehingga tidak ada nomor ganda meski beberapa invoice dibuat bersamaan.</w:t>
      </w:r>
    </w:p>
    <w:p>
      <w:pPr>
        <w:pStyle w:val="Heading2"/>
        <w:spacing w:after="90" w:before="220"/>
      </w:pPr>
      <w:r>
        <w:rPr>
          <w:b/>
          <w:bCs/>
          <w:color w:val="0F1B14"/>
          <w:sz w:val="26"/>
          <w:szCs w:val="26"/>
        </w:rPr>
        <w:t xml:space="preserve">6.10 Proyeksi Biaya (Forecast)</w:t>
      </w:r>
    </w:p>
    <w:p>
      <w:pPr>
        <w:spacing w:after="120" w:line="276"/>
      </w:pPr>
      <w:r>
        <w:rPr>
          <w:sz w:val="22"/>
          <w:szCs w:val="22"/>
        </w:rPr>
        <w:t xml:space="preserve">Forecast memproyeksikan biaya akhir secara linear berdasarkan laju pembakaran (burn rate) saat ini. Endpoint finansial mengagregasi timesheet yang disetujui per bulan dan membandingkannya dengan nilai kontrak yang disebar di sepanjang bulan-bulan aktif project.</w:t>
      </w:r>
    </w:p>
    <w:p>
      <w:pPr>
        <w:pStyle w:val="Heading2"/>
        <w:spacing w:after="90" w:before="220"/>
      </w:pPr>
      <w:r>
        <w:rPr>
          <w:b/>
          <w:bCs/>
          <w:color w:val="0F1B14"/>
          <w:sz w:val="26"/>
          <w:szCs w:val="26"/>
        </w:rPr>
        <w:t xml:space="preserve">6.11 Rekap PPN (VAT Recap)</w:t>
      </w:r>
    </w:p>
    <w:p>
      <w:pPr>
        <w:spacing w:after="120" w:line="276"/>
      </w:pPr>
      <w:r>
        <w:rPr>
          <w:sz w:val="22"/>
          <w:szCs w:val="22"/>
        </w:rPr>
        <w:t xml:space="preserve">Rekap PPN menjumlahkan seluruh invoice berstatus INVOICED dan PAID ke dalam rincian 12 bulan + total tahunan, untuk kebutuhan pelaporan pajak.</w:t>
      </w:r>
    </w:p>
    <w:p>
      <w:pPr>
        <w:pStyle w:val="Heading2"/>
        <w:spacing w:after="90" w:before="220"/>
      </w:pPr>
      <w:r>
        <w:rPr>
          <w:b/>
          <w:bCs/>
          <w:color w:val="0F1B14"/>
          <w:sz w:val="26"/>
          <w:szCs w:val="26"/>
        </w:rPr>
        <w:t xml:space="preserve">6.12 Utilisasi Sumber Daya</w:t>
      </w:r>
    </w:p>
    <w:p>
      <w:pPr>
        <w:spacing w:after="120" w:line="276"/>
      </w:pPr>
      <w:r>
        <w:rPr>
          <w:sz w:val="22"/>
          <w:szCs w:val="22"/>
        </w:rPr>
        <w:t xml:space="preserve">Perencanaan sumber daya menampilkan beban manday per minggu per orang/unit bisnis, dengan memperhitungkan cuti (UserLeave). Ini dipakai untuk memantau utilisasi konsultan dan mengidentifikasi bench (kapasitas menganggur).</w:t>
      </w:r>
    </w:p>
    <w:p>
      <w:r>
        <w:br w:type="page"/>
      </w:r>
    </w:p>
    <w:p>
      <w:pPr>
        <w:pStyle w:val="Heading1"/>
        <w:spacing w:after="140" w:before="360"/>
      </w:pPr>
      <w:r>
        <w:rPr>
          <w:b/>
          <w:bCs/>
          <w:color w:val="1F7A4D"/>
          <w:sz w:val="30"/>
          <w:szCs w:val="30"/>
        </w:rPr>
        <w:t xml:space="preserve">7. Contoh Perhitungan Menyeluruh</w:t>
      </w:r>
    </w:p>
    <w:p>
      <w:pPr>
        <w:spacing w:after="120" w:line="276"/>
      </w:pPr>
      <w:r>
        <w:rPr>
          <w:sz w:val="22"/>
          <w:szCs w:val="22"/>
        </w:rPr>
        <w:t xml:space="preserve">Berikut contoh angka (ilustrasi) untuk menggambarkan bagaimana semua rumus saling terhubung pada satu project.</w:t>
      </w:r>
    </w:p>
    <w:p>
      <w:pPr>
        <w:pStyle w:val="Heading3"/>
        <w:spacing w:after="70" w:before="160"/>
      </w:pPr>
      <w:r>
        <w:rPr>
          <w:b/>
          <w:bCs/>
          <w:color w:val="0F1B14"/>
          <w:sz w:val="23"/>
          <w:szCs w:val="23"/>
        </w:rPr>
        <w:t xml:space="preserve">Asumsi project</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Nilai</w:t>
            </w:r>
          </w:p>
        </w:tc>
      </w:tr>
      <w:tr>
        <w:tc>
          <w:tcPr>
            <w:tcW w:type="pct" w:w="60%"/>
            <w:tcMar>
              <w:top w:type="dxa" w:w="60"/>
              <w:left w:type="dxa" w:w="90"/>
              <w:bottom w:type="dxa" w:w="60"/>
              <w:right w:type="dxa" w:w="90"/>
            </w:tcMar>
          </w:tcPr>
          <w:p>
            <w:r>
              <w:rPr>
                <w:color w:val="0F1B14"/>
                <w:sz w:val="20"/>
                <w:szCs w:val="20"/>
              </w:rPr>
              <w:t xml:space="preserve">Nilai kontrak (termasuk PPN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Manday direncanakan</w:t>
            </w:r>
          </w:p>
        </w:tc>
        <w:tc>
          <w:tcPr>
            <w:tcW w:type="pct" w:w="40%"/>
            <w:shd w:fill="F1F6F2"/>
            <w:tcMar>
              <w:top w:type="dxa" w:w="60"/>
              <w:left w:type="dxa" w:w="90"/>
              <w:bottom w:type="dxa" w:w="60"/>
              <w:right w:type="dxa" w:w="90"/>
            </w:tcMar>
          </w:tcPr>
          <w:p>
            <w:r>
              <w:rPr>
                <w:color w:val="0F1B14"/>
                <w:sz w:val="20"/>
                <w:szCs w:val="20"/>
              </w:rPr>
              <w:t xml:space="preserve">100 hari</w:t>
            </w:r>
          </w:p>
        </w:tc>
      </w:tr>
      <w:tr>
        <w:tc>
          <w:tcPr>
            <w:tcW w:type="pct" w:w="60%"/>
            <w:tcMar>
              <w:top w:type="dxa" w:w="60"/>
              <w:left w:type="dxa" w:w="90"/>
              <w:bottom w:type="dxa" w:w="60"/>
              <w:right w:type="dxa" w:w="90"/>
            </w:tcMar>
          </w:tcPr>
          <w:p>
            <w:r>
              <w:rPr>
                <w:color w:val="0F1B14"/>
                <w:sz w:val="20"/>
                <w:szCs w:val="20"/>
              </w:rPr>
              <w:t xml:space="preserve">Konsultan A — tarif harian</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Konsultan A — timesheet disetujui</w:t>
            </w:r>
          </w:p>
        </w:tc>
        <w:tc>
          <w:tcPr>
            <w:tcW w:type="pct" w:w="40%"/>
            <w:shd w:fill="F1F6F2"/>
            <w:tcMar>
              <w:top w:type="dxa" w:w="60"/>
              <w:left w:type="dxa" w:w="90"/>
              <w:bottom w:type="dxa" w:w="60"/>
              <w:right w:type="dxa" w:w="90"/>
            </w:tcMar>
          </w:tcPr>
          <w:p>
            <w:r>
              <w:rPr>
                <w:color w:val="0F1B14"/>
                <w:sz w:val="20"/>
                <w:szCs w:val="20"/>
              </w:rPr>
              <w:t xml:space="preserve">320 jam (= 40 hari)</w:t>
            </w:r>
          </w:p>
        </w:tc>
      </w:tr>
      <w:tr>
        <w:tc>
          <w:tcPr>
            <w:tcW w:type="pct" w:w="60%"/>
            <w:tcMar>
              <w:top w:type="dxa" w:w="60"/>
              <w:left w:type="dxa" w:w="90"/>
              <w:bottom w:type="dxa" w:w="60"/>
              <w:right w:type="dxa" w:w="90"/>
            </w:tcMar>
          </w:tcPr>
          <w:p>
            <w:r>
              <w:rPr>
                <w:color w:val="0F1B14"/>
                <w:sz w:val="20"/>
                <w:szCs w:val="20"/>
              </w:rPr>
              <w:t xml:space="preserve">Konsultan B — tarif harian</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Konsultan B — timesheet disetujui</w:t>
            </w:r>
          </w:p>
        </w:tc>
        <w:tc>
          <w:tcPr>
            <w:tcW w:type="pct" w:w="40%"/>
            <w:shd w:fill="F1F6F2"/>
            <w:tcMar>
              <w:top w:type="dxa" w:w="60"/>
              <w:left w:type="dxa" w:w="90"/>
              <w:bottom w:type="dxa" w:w="60"/>
              <w:right w:type="dxa" w:w="90"/>
            </w:tcMar>
          </w:tcPr>
          <w:p>
            <w:r>
              <w:rPr>
                <w:color w:val="0F1B14"/>
                <w:sz w:val="20"/>
                <w:szCs w:val="20"/>
              </w:rPr>
              <w:t xml:space="preserve">160 jam (= 20 hari)</w:t>
            </w:r>
          </w:p>
        </w:tc>
      </w:tr>
      <w:tr>
        <w:tc>
          <w:tcPr>
            <w:tcW w:type="pct" w:w="60%"/>
            <w:tcMar>
              <w:top w:type="dxa" w:w="60"/>
              <w:left w:type="dxa" w:w="90"/>
              <w:bottom w:type="dxa" w:w="60"/>
              <w:right w:type="dxa" w:w="90"/>
            </w:tcMar>
          </w:tcPr>
          <w:p>
            <w:r>
              <w:rPr>
                <w:color w:val="0F1B14"/>
                <w:sz w:val="20"/>
                <w:szCs w:val="20"/>
              </w:rPr>
              <w:t xml:space="preserve">Biaya tambahan disetujui (lisensi)</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Faktor overhead (ilustrasi)</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Hasil perhitungan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Komponen</w:t>
            </w:r>
          </w:p>
        </w:tc>
        <w:tc>
          <w:tcPr>
            <w:tcW w:type="pct" w:w="46%"/>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 2.000.000) + (20 ×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lisensi disetujui</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PPN</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Contoh termin penagihan</w:t>
      </w:r>
    </w:p>
    <w:p>
      <w:pPr>
        <w:spacing w:after="120" w:line="276"/>
      </w:pPr>
      <w:r>
        <w:rPr>
          <w:sz w:val="22"/>
          <w:szCs w:val="22"/>
        </w:rPr>
        <w:t xml:space="preserve">Termin 1 = 30% dari nilai kontrak (termasuk PPN):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Komponen</w:t>
            </w:r>
          </w:p>
        </w:tc>
        <w:tc>
          <w:tcPr>
            <w:tcW w:type="pct" w:w="40%"/>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30%"/>
            <w:tcMar>
              <w:top w:type="dxa" w:w="60"/>
              <w:left w:type="dxa" w:w="90"/>
              <w:bottom w:type="dxa" w:w="60"/>
              <w:right w:type="dxa" w:w="90"/>
            </w:tcMar>
          </w:tcPr>
          <w:p>
            <w:r>
              <w:rPr>
                <w:color w:val="0F1B14"/>
                <w:sz w:val="20"/>
                <w:szCs w:val="20"/>
              </w:rPr>
              <w:t xml:space="preserve">Nilai termin (Total)</w:t>
            </w:r>
          </w:p>
        </w:tc>
        <w:tc>
          <w:tcPr>
            <w:tcW w:type="pct" w:w="40%"/>
            <w:tcMar>
              <w:top w:type="dxa" w:w="60"/>
              <w:left w:type="dxa" w:w="90"/>
              <w:bottom w:type="dxa" w:w="60"/>
              <w:right w:type="dxa" w:w="90"/>
            </w:tcMar>
          </w:tcPr>
          <w:p>
            <w:r>
              <w:rPr>
                <w:color w:val="0F1B14"/>
                <w:sz w:val="20"/>
                <w:szCs w:val="20"/>
              </w:rPr>
              <w:t xml:space="preserve">30% ×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PPN</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Integrasi Akuntansi (Xero)</w:t>
      </w:r>
    </w:p>
    <w:p>
      <w:pPr>
        <w:spacing w:after="120" w:line="276"/>
      </w:pPr>
      <w:r>
        <w:rPr>
          <w:sz w:val="22"/>
          <w:szCs w:val="22"/>
        </w:rPr>
        <w:t xml:space="preserve">Aplikasi terhubung satu arah ke Xero (perangkat lunak akuntansi) untuk mengotomatiskan penagihan:</w:t>
      </w:r>
    </w:p>
    <w:p>
      <w:pPr>
        <w:pStyle w:val="ListParagraph"/>
        <w:numPr>
          <w:ilvl w:val="0"/>
          <w:numId w:val="1"/>
        </w:numPr>
        <w:spacing w:after="60" w:line="268"/>
      </w:pPr>
      <w:r>
        <w:rPr>
          <w:b/>
          <w:bCs/>
          <w:sz w:val="22"/>
          <w:szCs w:val="22"/>
        </w:rPr>
        <w:t xml:space="preserve">Penerbitan invoice — </w:t>
      </w:r>
      <w:r>
        <w:rPr>
          <w:b w:val="false"/>
          <w:bCs w:val="false"/>
          <w:sz w:val="22"/>
          <w:szCs w:val="22"/>
        </w:rPr>
        <w:t xml:space="preserve">termin penagihan didorong menjadi invoice penjualan (ACCREC) di Xero, lengkap dengan nomor, jatuh tempo, dan nilai.</w:t>
      </w:r>
    </w:p>
    <w:p>
      <w:pPr>
        <w:pStyle w:val="ListParagraph"/>
        <w:numPr>
          <w:ilvl w:val="0"/>
          <w:numId w:val="1"/>
        </w:numPr>
        <w:spacing w:after="60" w:line="268"/>
      </w:pPr>
      <w:r>
        <w:rPr>
          <w:b/>
          <w:bCs/>
          <w:sz w:val="22"/>
          <w:szCs w:val="22"/>
        </w:rPr>
        <w:t xml:space="preserve">Sinkronisasi kontak — </w:t>
      </w:r>
      <w:r>
        <w:rPr>
          <w:b w:val="false"/>
          <w:bCs w:val="false"/>
          <w:sz w:val="22"/>
          <w:szCs w:val="22"/>
        </w:rPr>
        <w:t xml:space="preserve">data klien otomatis dibuat sebagai Contact di Xero bila belum ada.</w:t>
      </w:r>
    </w:p>
    <w:p>
      <w:pPr>
        <w:pStyle w:val="ListParagraph"/>
        <w:numPr>
          <w:ilvl w:val="0"/>
          <w:numId w:val="1"/>
        </w:numPr>
        <w:spacing w:after="60" w:line="268"/>
      </w:pPr>
      <w:r>
        <w:rPr>
          <w:b/>
          <w:bCs/>
          <w:sz w:val="22"/>
          <w:szCs w:val="22"/>
        </w:rPr>
        <w:t xml:space="preserve">Sinkronisasi pembayaran — </w:t>
      </w:r>
      <w:r>
        <w:rPr>
          <w:b w:val="false"/>
          <w:bCs w:val="false"/>
          <w:sz w:val="22"/>
          <w:szCs w:val="22"/>
        </w:rPr>
        <w:t xml:space="preserve">status pembayaran ditarik dari Xero; termin ditandai PAID hanya bila Xero menyatakan status 'PAID'.</w:t>
      </w:r>
    </w:p>
    <w:p>
      <w:pPr>
        <w:spacing w:after="120" w:line="276"/>
      </w:pPr>
      <w:r>
        <w:rPr>
          <w:b/>
          <w:bCs/>
          <w:sz w:val="22"/>
          <w:szCs w:val="22"/>
        </w:rPr>
        <w:t xml:space="preserve">Akurasi nilai: </w:t>
      </w:r>
      <w:r>
        <w:rPr>
          <w:b w:val="false"/>
          <w:bCs w:val="false"/>
          <w:sz w:val="22"/>
          <w:szCs w:val="22"/>
        </w:rPr>
        <w:t xml:space="preserve">invoice didorong secara tax-inclusive sehingga total invoice sama persis dengan nilai termin hingga satuan sen (menghindari selisih pembulatan 1 sen yang sebelumnya muncul).</w:t>
      </w:r>
    </w:p>
    <w:p>
      <w:pPr>
        <w:pStyle w:val="Heading1"/>
        <w:spacing w:after="140" w:before="360"/>
      </w:pPr>
      <w:r>
        <w:rPr>
          <w:b/>
          <w:bCs/>
          <w:color w:val="1F7A4D"/>
          <w:sz w:val="30"/>
          <w:szCs w:val="30"/>
        </w:rPr>
        <w:t xml:space="preserve">9. Keamanan &amp; Kontrol Akses</w:t>
      </w:r>
    </w:p>
    <w:p>
      <w:pPr>
        <w:pStyle w:val="ListParagraph"/>
        <w:numPr>
          <w:ilvl w:val="0"/>
          <w:numId w:val="1"/>
        </w:numPr>
        <w:spacing w:after="60" w:line="268"/>
      </w:pPr>
      <w:r>
        <w:rPr>
          <w:sz w:val="22"/>
          <w:szCs w:val="22"/>
        </w:rPr>
        <w:t xml:space="preserve">Autentikasi berbasis token (JWT) dengan kata sandi ter-hash (bcrypt).</w:t>
      </w:r>
    </w:p>
    <w:p>
      <w:pPr>
        <w:pStyle w:val="ListParagraph"/>
        <w:numPr>
          <w:ilvl w:val="0"/>
          <w:numId w:val="1"/>
        </w:numPr>
        <w:spacing w:after="60" w:line="268"/>
      </w:pPr>
      <w:r>
        <w:rPr>
          <w:sz w:val="22"/>
          <w:szCs w:val="22"/>
        </w:rPr>
        <w:t xml:space="preserve">Kontrol akses berbasis peran (RBAC) di sisi server — tidak hanya disembunyikan di antarmuka.</w:t>
      </w:r>
    </w:p>
    <w:p>
      <w:pPr>
        <w:pStyle w:val="ListParagraph"/>
        <w:numPr>
          <w:ilvl w:val="0"/>
          <w:numId w:val="1"/>
        </w:numPr>
        <w:spacing w:after="60" w:line="268"/>
      </w:pPr>
      <w:r>
        <w:rPr>
          <w:sz w:val="22"/>
          <w:szCs w:val="22"/>
        </w:rPr>
        <w:t xml:space="preserve">Data difilter sesuai peran (mis. PM hanya melihat project miliknya; peran delivery tidak melihat angka finansial).</w:t>
      </w:r>
    </w:p>
    <w:p>
      <w:pPr>
        <w:pStyle w:val="ListParagraph"/>
        <w:numPr>
          <w:ilvl w:val="0"/>
          <w:numId w:val="1"/>
        </w:numPr>
        <w:spacing w:after="60" w:line="268"/>
      </w:pPr>
      <w:r>
        <w:rPr>
          <w:sz w:val="22"/>
          <w:szCs w:val="22"/>
        </w:rPr>
        <w:t xml:space="preserve">Jejak audit (Activity) mencatat perubahan penting pada project dan penagihan.</w:t>
      </w:r>
    </w:p>
    <w:p>
      <w:pPr>
        <w:pStyle w:val="ListParagraph"/>
        <w:numPr>
          <w:ilvl w:val="0"/>
          <w:numId w:val="1"/>
        </w:numPr>
        <w:spacing w:after="60" w:line="268"/>
      </w:pPr>
      <w:r>
        <w:rPr>
          <w:sz w:val="22"/>
          <w:szCs w:val="22"/>
        </w:rPr>
        <w:t xml:space="preserve">Integrasi Xero memakai OAuth2 dengan state ber-tanda tangan; penomoran invoice aman dari duplikasi.</w:t>
      </w:r>
    </w:p>
    <w:p>
      <w:r>
        <w:br w:type="page"/>
      </w:r>
    </w:p>
    <w:p>
      <w:pPr>
        <w:pStyle w:val="Heading1"/>
        <w:spacing w:after="140" w:before="360"/>
      </w:pPr>
      <w:r>
        <w:rPr>
          <w:b/>
          <w:bCs/>
          <w:color w:val="1F7A4D"/>
          <w:sz w:val="30"/>
          <w:szCs w:val="30"/>
        </w:rPr>
        <w:t xml:space="preserve">10. Saran Persiapan &amp; Alur Demo Presentasi</w:t>
      </w:r>
    </w:p>
    <w:p>
      <w:pPr>
        <w:pStyle w:val="Heading3"/>
        <w:spacing w:after="70" w:before="160"/>
      </w:pPr>
      <w:r>
        <w:rPr>
          <w:b/>
          <w:bCs/>
          <w:color w:val="0F1B14"/>
          <w:sz w:val="23"/>
          <w:szCs w:val="23"/>
        </w:rPr>
        <w:t xml:space="preserve">Yang perlu disiapkan</w:t>
      </w:r>
    </w:p>
    <w:p>
      <w:pPr>
        <w:pStyle w:val="ListParagraph"/>
        <w:numPr>
          <w:ilvl w:val="0"/>
          <w:numId w:val="2"/>
        </w:numPr>
        <w:spacing w:after="60" w:line="268"/>
      </w:pPr>
      <w:r>
        <w:rPr>
          <w:sz w:val="22"/>
          <w:szCs w:val="22"/>
        </w:rPr>
        <w:t xml:space="preserve">Akun login untuk tiap peran yang akan didemokan (Management, PM, Sales, Konsultan).</w:t>
      </w:r>
    </w:p>
    <w:p>
      <w:pPr>
        <w:pStyle w:val="ListParagraph"/>
        <w:numPr>
          <w:ilvl w:val="0"/>
          <w:numId w:val="2"/>
        </w:numPr>
        <w:spacing w:after="60" w:line="268"/>
      </w:pPr>
      <w:r>
        <w:rPr>
          <w:sz w:val="22"/>
          <w:szCs w:val="22"/>
        </w:rPr>
        <w:t xml:space="preserve">Satu project contoh yang sudah ACTIVE dengan timesheet, biaya, dan termin penagihan terisi.</w:t>
      </w:r>
    </w:p>
    <w:p>
      <w:pPr>
        <w:pStyle w:val="ListParagraph"/>
        <w:numPr>
          <w:ilvl w:val="0"/>
          <w:numId w:val="2"/>
        </w:numPr>
        <w:spacing w:after="60" w:line="268"/>
      </w:pPr>
      <w:r>
        <w:rPr>
          <w:sz w:val="22"/>
          <w:szCs w:val="22"/>
        </w:rPr>
        <w:t xml:space="preserve">Skenario cerita: dari intake Sales → perencanaan PM → eksekusi konsultan → penagihan &amp; Xero.</w:t>
      </w:r>
    </w:p>
    <w:p>
      <w:pPr>
        <w:pStyle w:val="ListParagraph"/>
        <w:numPr>
          <w:ilvl w:val="0"/>
          <w:numId w:val="2"/>
        </w:numPr>
        <w:spacing w:after="60" w:line="268"/>
      </w:pPr>
      <w:r>
        <w:rPr>
          <w:sz w:val="22"/>
          <w:szCs w:val="22"/>
        </w:rPr>
        <w:t xml:space="preserve">Dokumen ini sebagai lampiran/handout, dan koneksi internet untuk demo Xero (opsional).</w:t>
      </w:r>
    </w:p>
    <w:p>
      <w:pPr>
        <w:pStyle w:val="Heading3"/>
        <w:spacing w:after="70" w:before="160"/>
      </w:pPr>
      <w:r>
        <w:rPr>
          <w:b/>
          <w:bCs/>
          <w:color w:val="0F1B14"/>
          <w:sz w:val="23"/>
          <w:szCs w:val="23"/>
        </w:rPr>
        <w:t xml:space="preserve">Alur demo yang disarankan (±15 menit)</w:t>
      </w:r>
    </w:p>
    <w:p>
      <w:pPr>
        <w:pStyle w:val="ListParagraph"/>
        <w:numPr>
          <w:ilvl w:val="0"/>
          <w:numId w:val="3"/>
        </w:numPr>
        <w:spacing w:after="60" w:line="268"/>
      </w:pPr>
      <w:r>
        <w:rPr>
          <w:sz w:val="22"/>
          <w:szCs w:val="22"/>
        </w:rPr>
        <w:t xml:space="preserve">Login sebagai Management — tunjukkan dashboard eksekutif (KPI, tren profit, project berisiko).</w:t>
      </w:r>
    </w:p>
    <w:p>
      <w:pPr>
        <w:pStyle w:val="ListParagraph"/>
        <w:numPr>
          <w:ilvl w:val="0"/>
          <w:numId w:val="3"/>
        </w:numPr>
        <w:spacing w:after="60" w:line="268"/>
      </w:pPr>
      <w:r>
        <w:rPr>
          <w:sz w:val="22"/>
          <w:szCs w:val="22"/>
        </w:rPr>
        <w:t xml:space="preserve">Buka satu project — telusuri tab Overview, Tasks (WBS/Gantt), dan Resources.</w:t>
      </w:r>
    </w:p>
    <w:p>
      <w:pPr>
        <w:pStyle w:val="ListParagraph"/>
        <w:numPr>
          <w:ilvl w:val="0"/>
          <w:numId w:val="3"/>
        </w:numPr>
        <w:spacing w:after="60" w:line="268"/>
      </w:pPr>
      <w:r>
        <w:rPr>
          <w:sz w:val="22"/>
          <w:szCs w:val="22"/>
        </w:rPr>
        <w:t xml:space="preserve">Tab Timesheets &amp; Expenses — perlihatkan alur persetujuan dan dampaknya ke biaya.</w:t>
      </w:r>
    </w:p>
    <w:p>
      <w:pPr>
        <w:pStyle w:val="ListParagraph"/>
        <w:numPr>
          <w:ilvl w:val="0"/>
          <w:numId w:val="3"/>
        </w:numPr>
        <w:spacing w:after="60" w:line="268"/>
      </w:pPr>
      <w:r>
        <w:rPr>
          <w:sz w:val="22"/>
          <w:szCs w:val="22"/>
        </w:rPr>
        <w:t xml:space="preserve">Tab Financials — tunjukkan biaya, margin, burn rate, dan forecast bergerak otomatis.</w:t>
      </w:r>
    </w:p>
    <w:p>
      <w:pPr>
        <w:pStyle w:val="ListParagraph"/>
        <w:numPr>
          <w:ilvl w:val="0"/>
          <w:numId w:val="3"/>
        </w:numPr>
        <w:spacing w:after="60" w:line="268"/>
      </w:pPr>
      <w:r>
        <w:rPr>
          <w:sz w:val="22"/>
          <w:szCs w:val="22"/>
        </w:rPr>
        <w:t xml:space="preserve">Tab Billing — buat/lihat termin, lalu 'Send to Xero' untuk menerbitkan invoice.</w:t>
      </w:r>
    </w:p>
    <w:p>
      <w:pPr>
        <w:pStyle w:val="ListParagraph"/>
        <w:numPr>
          <w:ilvl w:val="0"/>
          <w:numId w:val="3"/>
        </w:numPr>
        <w:spacing w:after="60" w:line="268"/>
      </w:pPr>
      <w:r>
        <w:rPr>
          <w:sz w:val="22"/>
          <w:szCs w:val="22"/>
        </w:rPr>
        <w:t xml:space="preserve">Tutup dengan modul lintas-project: Resource Planning, Reports, dan VAT Recap.</w:t>
      </w:r>
    </w:p>
    <w:p>
      <w:pPr>
        <w:pStyle w:val="Heading3"/>
        <w:spacing w:after="70" w:before="160"/>
      </w:pPr>
      <w:r>
        <w:rPr>
          <w:b/>
          <w:bCs/>
          <w:color w:val="0F1B14"/>
          <w:sz w:val="23"/>
          <w:szCs w:val="23"/>
        </w:rPr>
        <w:t xml:space="preserve">Poin pembicaraan utama (talking points)</w:t>
      </w:r>
    </w:p>
    <w:p>
      <w:pPr>
        <w:pStyle w:val="ListParagraph"/>
        <w:numPr>
          <w:ilvl w:val="0"/>
          <w:numId w:val="1"/>
        </w:numPr>
        <w:spacing w:after="60" w:line="268"/>
      </w:pPr>
      <w:r>
        <w:rPr>
          <w:sz w:val="22"/>
          <w:szCs w:val="22"/>
        </w:rPr>
        <w:t xml:space="preserve">'Margin terlihat sejak hari pertama, bukan setelah project selesai.'</w:t>
      </w:r>
    </w:p>
    <w:p>
      <w:pPr>
        <w:pStyle w:val="ListParagraph"/>
        <w:numPr>
          <w:ilvl w:val="0"/>
          <w:numId w:val="1"/>
        </w:numPr>
        <w:spacing w:after="60" w:line="268"/>
      </w:pPr>
      <w:r>
        <w:rPr>
          <w:sz w:val="22"/>
          <w:szCs w:val="22"/>
        </w:rPr>
        <w:t xml:space="preserve">'Setiap angka biaya berasal dari timesheet &amp; biaya yang disetujui — bukan estimasi manual.'</w:t>
      </w:r>
    </w:p>
    <w:p>
      <w:pPr>
        <w:pStyle w:val="ListParagraph"/>
        <w:numPr>
          <w:ilvl w:val="0"/>
          <w:numId w:val="1"/>
        </w:numPr>
        <w:spacing w:after="60" w:line="268"/>
      </w:pPr>
      <w:r>
        <w:rPr>
          <w:sz w:val="22"/>
          <w:szCs w:val="22"/>
        </w:rPr>
        <w:t xml:space="preserve">'Penagihan dan PPN otomatis, terhubung langsung ke akuntansi (Xero).'</w:t>
      </w:r>
    </w:p>
    <w:p>
      <w:pPr>
        <w:pStyle w:val="ListParagraph"/>
        <w:numPr>
          <w:ilvl w:val="0"/>
          <w:numId w:val="1"/>
        </w:numPr>
        <w:spacing w:after="60" w:line="268"/>
      </w:pPr>
      <w:r>
        <w:rPr>
          <w:sz w:val="22"/>
          <w:szCs w:val="22"/>
        </w:rPr>
        <w:t xml:space="preserve">'Setiap peran hanya melihat yang relevan — finansial terlindungi dari tim delivery.'</w:t>
      </w:r>
    </w:p>
    <w:p>
      <w:pPr>
        <w:spacing w:after="120" w:line="276"/>
      </w:pPr>
      <w:r>
        <w:rPr>
          <w:b/>
          <w:bCs/>
          <w:sz w:val="22"/>
          <w:szCs w:val="22"/>
        </w:rPr>
        <w:t xml:space="preserve">Catatan: </w:t>
      </w:r>
      <w:r>
        <w:rPr>
          <w:b w:val="false"/>
          <w:bCs w:val="false"/>
          <w:sz w:val="22"/>
          <w:szCs w:val="22"/>
        </w:rPr>
        <w:t xml:space="preserve">antarmuka aplikasi berbahasa Inggris; dokumen ini berbahasa Indonesia khusus untuk bahan presentasi.</w:t>
      </w:r>
    </w:p>
    <w:p>
      <w:r>
        <w:br w:type="page"/>
      </w:r>
    </w:p>
    <w:p>
      <w:pPr>
        <w:pStyle w:val="Heading1"/>
        <w:spacing w:after="140" w:before="360"/>
      </w:pPr>
      <w:r>
        <w:rPr>
          <w:b/>
          <w:bCs/>
          <w:color w:val="1F7A4D"/>
          <w:sz w:val="30"/>
          <w:szCs w:val="30"/>
        </w:rPr>
        <w:t xml:space="preserve">Lampiran A — Glosarium Perhitungan</w:t>
      </w:r>
    </w:p>
    <w:p>
      <w:pPr>
        <w:spacing w:after="120" w:line="276"/>
      </w:pPr>
      <w:r>
        <w:rPr>
          <w:sz w:val="22"/>
          <w:szCs w:val="22"/>
        </w:rPr>
        <w:t xml:space="preserve">Penjelasan ringkas setiap metrik finansial beserta rumus dan contoh angka (mengacu contoh project pada Bagian 7: nilai kontrak Rp 1.000.000.000 termasuk PPN 11%).</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gridCol w:w="100"/>
      </w:tblGrid>
      <w:tr>
        <w:trPr>
          <w:tblHeader/>
        </w:trPr>
        <w:tc>
          <w:tcPr>
            <w:tcW w:type="pct" w:w="17%"/>
            <w:shd w:fill="1F7A4D"/>
            <w:tcMar>
              <w:top w:type="dxa" w:w="60"/>
              <w:left w:type="dxa" w:w="90"/>
              <w:bottom w:type="dxa" w:w="60"/>
              <w:right w:type="dxa" w:w="90"/>
            </w:tcMar>
          </w:tcPr>
          <w:p>
            <w:r>
              <w:rPr>
                <w:b/>
                <w:bCs/>
                <w:color w:val="FFFFFF"/>
                <w:sz w:val="20"/>
                <w:szCs w:val="20"/>
              </w:rPr>
              <w:t xml:space="preserve">Istilah</w:t>
            </w:r>
          </w:p>
        </w:tc>
        <w:tc>
          <w:tcPr>
            <w:tcW w:type="pct" w:w="33%"/>
            <w:shd w:fill="1F7A4D"/>
            <w:tcMar>
              <w:top w:type="dxa" w:w="60"/>
              <w:left w:type="dxa" w:w="90"/>
              <w:bottom w:type="dxa" w:w="60"/>
              <w:right w:type="dxa" w:w="90"/>
            </w:tcMar>
          </w:tcPr>
          <w:p>
            <w:r>
              <w:rPr>
                <w:b/>
                <w:bCs/>
                <w:color w:val="FFFFFF"/>
                <w:sz w:val="20"/>
                <w:szCs w:val="20"/>
              </w:rPr>
              <w:t xml:space="preserve">Arti</w:t>
            </w:r>
          </w:p>
        </w:tc>
        <w:tc>
          <w:tcPr>
            <w:tcW w:type="pct" w:w="30%"/>
            <w:shd w:fill="1F7A4D"/>
            <w:tcMar>
              <w:top w:type="dxa" w:w="60"/>
              <w:left w:type="dxa" w:w="90"/>
              <w:bottom w:type="dxa" w:w="60"/>
              <w:right w:type="dxa" w:w="90"/>
            </w:tcMar>
          </w:tcPr>
          <w:p>
            <w:r>
              <w:rPr>
                <w:b/>
                <w:bCs/>
                <w:color w:val="FFFFFF"/>
                <w:sz w:val="20"/>
                <w:szCs w:val="20"/>
              </w:rPr>
              <w:t xml:space="preserve">Rumus</w:t>
            </w:r>
          </w:p>
        </w:tc>
        <w:tc>
          <w:tcPr>
            <w:tcW w:type="pct" w:w="20%"/>
            <w:shd w:fill="1F7A4D"/>
            <w:tcMar>
              <w:top w:type="dxa" w:w="60"/>
              <w:left w:type="dxa" w:w="90"/>
              <w:bottom w:type="dxa" w:w="60"/>
              <w:right w:type="dxa" w:w="90"/>
            </w:tcMar>
          </w:tcPr>
          <w:p>
            <w:r>
              <w:rPr>
                <w:b/>
                <w:bCs/>
                <w:color w:val="FFFFFF"/>
                <w:sz w:val="20"/>
                <w:szCs w:val="20"/>
              </w:rPr>
              <w:t xml:space="preserve">Contoh</w:t>
            </w:r>
          </w:p>
        </w:tc>
      </w:tr>
      <w:tr>
        <w:tc>
          <w:tcPr>
            <w:tcW w:type="pct" w:w="17%"/>
            <w:tcMar>
              <w:top w:type="dxa" w:w="60"/>
              <w:left w:type="dxa" w:w="90"/>
              <w:bottom w:type="dxa" w:w="60"/>
              <w:right w:type="dxa" w:w="90"/>
            </w:tcMar>
          </w:tcPr>
          <w:p>
            <w:r>
              <w:rPr>
                <w:color w:val="0F1B14"/>
                <w:sz w:val="20"/>
                <w:szCs w:val="20"/>
              </w:rPr>
              <w:t xml:space="preserve">resourceCost</w:t>
            </w:r>
          </w:p>
        </w:tc>
        <w:tc>
          <w:tcPr>
            <w:tcW w:type="pct" w:w="33%"/>
            <w:tcMar>
              <w:top w:type="dxa" w:w="60"/>
              <w:left w:type="dxa" w:w="90"/>
              <w:bottom w:type="dxa" w:w="60"/>
              <w:right w:type="dxa" w:w="90"/>
            </w:tcMar>
          </w:tcPr>
          <w:p>
            <w:r>
              <w:rPr>
                <w:color w:val="0F1B14"/>
                <w:sz w:val="20"/>
                <w:szCs w:val="20"/>
              </w:rPr>
              <w:t xml:space="preserve">Biaya jam kerja konsultan yang sudah disetujui (APPROVED)</w:t>
            </w:r>
          </w:p>
        </w:tc>
        <w:tc>
          <w:tcPr>
            <w:tcW w:type="pct" w:w="30%"/>
            <w:tcMar>
              <w:top w:type="dxa" w:w="60"/>
              <w:left w:type="dxa" w:w="90"/>
              <w:bottom w:type="dxa" w:w="60"/>
              <w:right w:type="dxa" w:w="90"/>
            </w:tcMar>
          </w:tcPr>
          <w:p>
            <w:r>
              <w:rPr>
                <w:color w:val="0F1B14"/>
                <w:sz w:val="20"/>
                <w:szCs w:val="20"/>
              </w:rPr>
              <w:t xml:space="preserve">Σ (jam ÷ 8 × tarif harian)</w:t>
            </w:r>
          </w:p>
        </w:tc>
        <w:tc>
          <w:tcPr>
            <w:tcW w:type="pct" w:w="20%"/>
            <w:tcMar>
              <w:top w:type="dxa" w:w="60"/>
              <w:left w:type="dxa" w:w="90"/>
              <w:bottom w:type="dxa" w:w="60"/>
              <w:right w:type="dxa" w:w="90"/>
            </w:tcMar>
          </w:tcPr>
          <w:p>
            <w:r>
              <w:rPr>
                <w:color w:val="0F1B14"/>
                <w:sz w:val="20"/>
                <w:szCs w:val="20"/>
              </w:rPr>
              <w:t xml:space="preserve">Rp 110.000.000</w:t>
            </w:r>
          </w:p>
        </w:tc>
      </w:tr>
      <w:tr>
        <w:tc>
          <w:tcPr>
            <w:tcW w:type="pct" w:w="17%"/>
            <w:shd w:fill="F1F6F2"/>
            <w:tcMar>
              <w:top w:type="dxa" w:w="60"/>
              <w:left w:type="dxa" w:w="90"/>
              <w:bottom w:type="dxa" w:w="60"/>
              <w:right w:type="dxa" w:w="90"/>
            </w:tcMar>
          </w:tcPr>
          <w:p>
            <w:r>
              <w:rPr>
                <w:color w:val="0F1B14"/>
                <w:sz w:val="20"/>
                <w:szCs w:val="20"/>
              </w:rPr>
              <w:t xml:space="preserve">additionalCost</w:t>
            </w:r>
          </w:p>
        </w:tc>
        <w:tc>
          <w:tcPr>
            <w:tcW w:type="pct" w:w="33%"/>
            <w:shd w:fill="F1F6F2"/>
            <w:tcMar>
              <w:top w:type="dxa" w:w="60"/>
              <w:left w:type="dxa" w:w="90"/>
              <w:bottom w:type="dxa" w:w="60"/>
              <w:right w:type="dxa" w:w="90"/>
            </w:tcMar>
          </w:tcPr>
          <w:p>
            <w:r>
              <w:rPr>
                <w:color w:val="0F1B14"/>
                <w:sz w:val="20"/>
                <w:szCs w:val="20"/>
              </w:rPr>
              <w:t xml:space="preserve">Biaya non-tenaga kerja yang disetujui (lisensi, software, dll)</w:t>
            </w:r>
          </w:p>
        </w:tc>
        <w:tc>
          <w:tcPr>
            <w:tcW w:type="pct" w:w="30%"/>
            <w:shd w:fill="F1F6F2"/>
            <w:tcMar>
              <w:top w:type="dxa" w:w="60"/>
              <w:left w:type="dxa" w:w="90"/>
              <w:bottom w:type="dxa" w:w="60"/>
              <w:right w:type="dxa" w:w="90"/>
            </w:tcMar>
          </w:tcPr>
          <w:p>
            <w:r>
              <w:rPr>
                <w:color w:val="0F1B14"/>
                <w:sz w:val="20"/>
                <w:szCs w:val="20"/>
              </w:rPr>
              <w:t xml:space="preserve">Σ amount (APPROVED)</w:t>
            </w:r>
          </w:p>
        </w:tc>
        <w:tc>
          <w:tcPr>
            <w:tcW w:type="pct" w:w="20%"/>
            <w:shd w:fill="F1F6F2"/>
            <w:tcMar>
              <w:top w:type="dxa" w:w="60"/>
              <w:left w:type="dxa" w:w="90"/>
              <w:bottom w:type="dxa" w:w="60"/>
              <w:right w:type="dxa" w:w="90"/>
            </w:tcMar>
          </w:tcPr>
          <w:p>
            <w:r>
              <w:rPr>
                <w:color w:val="0F1B14"/>
                <w:sz w:val="20"/>
                <w:szCs w:val="20"/>
              </w:rPr>
              <w:t xml:space="preserve">Rp 20.000.000</w:t>
            </w:r>
          </w:p>
        </w:tc>
      </w:tr>
      <w:tr>
        <w:tc>
          <w:tcPr>
            <w:tcW w:type="pct" w:w="17%"/>
            <w:tcMar>
              <w:top w:type="dxa" w:w="60"/>
              <w:left w:type="dxa" w:w="90"/>
              <w:bottom w:type="dxa" w:w="60"/>
              <w:right w:type="dxa" w:w="90"/>
            </w:tcMar>
          </w:tcPr>
          <w:p>
            <w:r>
              <w:rPr>
                <w:color w:val="0F1B14"/>
                <w:sz w:val="20"/>
                <w:szCs w:val="20"/>
              </w:rPr>
              <w:t xml:space="preserve">actualCost</w:t>
            </w:r>
          </w:p>
        </w:tc>
        <w:tc>
          <w:tcPr>
            <w:tcW w:type="pct" w:w="33%"/>
            <w:tcMar>
              <w:top w:type="dxa" w:w="60"/>
              <w:left w:type="dxa" w:w="90"/>
              <w:bottom w:type="dxa" w:w="60"/>
              <w:right w:type="dxa" w:w="90"/>
            </w:tcMar>
          </w:tcPr>
          <w:p>
            <w:r>
              <w:rPr>
                <w:color w:val="0F1B14"/>
                <w:sz w:val="20"/>
                <w:szCs w:val="20"/>
              </w:rPr>
              <w:t xml:space="preserve">Total biaya nyata project</w:t>
            </w:r>
          </w:p>
        </w:tc>
        <w:tc>
          <w:tcPr>
            <w:tcW w:type="pct" w:w="30%"/>
            <w:tcMar>
              <w:top w:type="dxa" w:w="60"/>
              <w:left w:type="dxa" w:w="90"/>
              <w:bottom w:type="dxa" w:w="60"/>
              <w:right w:type="dxa" w:w="90"/>
            </w:tcMar>
          </w:tcPr>
          <w:p>
            <w:r>
              <w:rPr>
                <w:color w:val="0F1B14"/>
                <w:sz w:val="20"/>
                <w:szCs w:val="20"/>
              </w:rPr>
              <w:t xml:space="preserve">resourceCost + additionalCost</w:t>
            </w:r>
          </w:p>
        </w:tc>
        <w:tc>
          <w:tcPr>
            <w:tcW w:type="pct" w:w="20%"/>
            <w:tcMar>
              <w:top w:type="dxa" w:w="60"/>
              <w:left w:type="dxa" w:w="90"/>
              <w:bottom w:type="dxa" w:w="60"/>
              <w:right w:type="dxa" w:w="90"/>
            </w:tcMar>
          </w:tcPr>
          <w:p>
            <w:r>
              <w:rPr>
                <w:color w:val="0F1B14"/>
                <w:sz w:val="20"/>
                <w:szCs w:val="20"/>
              </w:rPr>
              <w:t xml:space="preserve">Rp 130.000.000</w:t>
            </w:r>
          </w:p>
        </w:tc>
      </w:tr>
      <w:tr>
        <w:tc>
          <w:tcPr>
            <w:tcW w:type="pct" w:w="17%"/>
            <w:shd w:fill="F1F6F2"/>
            <w:tcMar>
              <w:top w:type="dxa" w:w="60"/>
              <w:left w:type="dxa" w:w="90"/>
              <w:bottom w:type="dxa" w:w="60"/>
              <w:right w:type="dxa" w:w="90"/>
            </w:tcMar>
          </w:tcPr>
          <w:p>
            <w:r>
              <w:rPr>
                <w:color w:val="0F1B14"/>
                <w:sz w:val="20"/>
                <w:szCs w:val="20"/>
              </w:rPr>
              <w:t xml:space="preserve">actualProfit</w:t>
            </w:r>
          </w:p>
        </w:tc>
        <w:tc>
          <w:tcPr>
            <w:tcW w:type="pct" w:w="33%"/>
            <w:shd w:fill="F1F6F2"/>
            <w:tcMar>
              <w:top w:type="dxa" w:w="60"/>
              <w:left w:type="dxa" w:w="90"/>
              <w:bottom w:type="dxa" w:w="60"/>
              <w:right w:type="dxa" w:w="90"/>
            </w:tcMar>
          </w:tcPr>
          <w:p>
            <w:r>
              <w:rPr>
                <w:color w:val="0F1B14"/>
                <w:sz w:val="20"/>
                <w:szCs w:val="20"/>
              </w:rPr>
              <w:t xml:space="preserve">Profit setelah dikurangi biaya aktual</w:t>
            </w:r>
          </w:p>
        </w:tc>
        <w:tc>
          <w:tcPr>
            <w:tcW w:type="pct" w:w="30%"/>
            <w:shd w:fill="F1F6F2"/>
            <w:tcMar>
              <w:top w:type="dxa" w:w="60"/>
              <w:left w:type="dxa" w:w="90"/>
              <w:bottom w:type="dxa" w:w="60"/>
              <w:right w:type="dxa" w:w="90"/>
            </w:tcMar>
          </w:tcPr>
          <w:p>
            <w:r>
              <w:rPr>
                <w:color w:val="0F1B14"/>
                <w:sz w:val="20"/>
                <w:szCs w:val="20"/>
              </w:rPr>
              <w:t xml:space="preserve">contractValue − actualCost</w:t>
            </w:r>
          </w:p>
        </w:tc>
        <w:tc>
          <w:tcPr>
            <w:tcW w:type="pct" w:w="20%"/>
            <w:shd w:fill="F1F6F2"/>
            <w:tcMar>
              <w:top w:type="dxa" w:w="60"/>
              <w:left w:type="dxa" w:w="90"/>
              <w:bottom w:type="dxa" w:w="60"/>
              <w:right w:type="dxa" w:w="90"/>
            </w:tcMar>
          </w:tcPr>
          <w:p>
            <w:r>
              <w:rPr>
                <w:color w:val="0F1B14"/>
                <w:sz w:val="20"/>
                <w:szCs w:val="20"/>
              </w:rPr>
              <w:t xml:space="preserve">Rp 870.000.000</w:t>
            </w:r>
          </w:p>
        </w:tc>
      </w:tr>
      <w:tr>
        <w:tc>
          <w:tcPr>
            <w:tcW w:type="pct" w:w="17%"/>
            <w:tcMar>
              <w:top w:type="dxa" w:w="60"/>
              <w:left w:type="dxa" w:w="90"/>
              <w:bottom w:type="dxa" w:w="60"/>
              <w:right w:type="dxa" w:w="90"/>
            </w:tcMar>
          </w:tcPr>
          <w:p>
            <w:r>
              <w:rPr>
                <w:color w:val="0F1B14"/>
                <w:sz w:val="20"/>
                <w:szCs w:val="20"/>
              </w:rPr>
              <w:t xml:space="preserve">marginPct</w:t>
            </w:r>
          </w:p>
        </w:tc>
        <w:tc>
          <w:tcPr>
            <w:tcW w:type="pct" w:w="33%"/>
            <w:tcMar>
              <w:top w:type="dxa" w:w="60"/>
              <w:left w:type="dxa" w:w="90"/>
              <w:bottom w:type="dxa" w:w="60"/>
              <w:right w:type="dxa" w:w="90"/>
            </w:tcMar>
          </w:tcPr>
          <w:p>
            <w:r>
              <w:rPr>
                <w:color w:val="0F1B14"/>
                <w:sz w:val="20"/>
                <w:szCs w:val="20"/>
              </w:rPr>
              <w:t xml:space="preserve">Margin terhadap nilai kontrak (%)</w:t>
            </w:r>
          </w:p>
        </w:tc>
        <w:tc>
          <w:tcPr>
            <w:tcW w:type="pct" w:w="30%"/>
            <w:tcMar>
              <w:top w:type="dxa" w:w="60"/>
              <w:left w:type="dxa" w:w="90"/>
              <w:bottom w:type="dxa" w:w="60"/>
              <w:right w:type="dxa" w:w="90"/>
            </w:tcMar>
          </w:tcPr>
          <w:p>
            <w:r>
              <w:rPr>
                <w:color w:val="0F1B14"/>
                <w:sz w:val="20"/>
                <w:szCs w:val="20"/>
              </w:rPr>
              <w:t xml:space="preserve">actualProfit ÷ contractValue × 100</w:t>
            </w:r>
          </w:p>
        </w:tc>
        <w:tc>
          <w:tcPr>
            <w:tcW w:type="pct" w:w="20%"/>
            <w:tcMar>
              <w:top w:type="dxa" w:w="60"/>
              <w:left w:type="dxa" w:w="90"/>
              <w:bottom w:type="dxa" w:w="60"/>
              <w:right w:type="dxa" w:w="90"/>
            </w:tcMar>
          </w:tcPr>
          <w:p>
            <w:r>
              <w:rPr>
                <w:color w:val="0F1B14"/>
                <w:sz w:val="20"/>
                <w:szCs w:val="20"/>
              </w:rPr>
              <w:t xml:space="preserve">87,0%</w:t>
            </w:r>
          </w:p>
        </w:tc>
      </w:tr>
      <w:tr>
        <w:tc>
          <w:tcPr>
            <w:tcW w:type="pct" w:w="17%"/>
            <w:shd w:fill="F1F6F2"/>
            <w:tcMar>
              <w:top w:type="dxa" w:w="60"/>
              <w:left w:type="dxa" w:w="90"/>
              <w:bottom w:type="dxa" w:w="60"/>
              <w:right w:type="dxa" w:w="90"/>
            </w:tcMar>
          </w:tcPr>
          <w:p>
            <w:r>
              <w:rPr>
                <w:color w:val="0F1B14"/>
                <w:sz w:val="20"/>
                <w:szCs w:val="20"/>
              </w:rPr>
              <w:t xml:space="preserve">DPP (revenueNet)</w:t>
            </w:r>
          </w:p>
        </w:tc>
        <w:tc>
          <w:tcPr>
            <w:tcW w:type="pct" w:w="33%"/>
            <w:shd w:fill="F1F6F2"/>
            <w:tcMar>
              <w:top w:type="dxa" w:w="60"/>
              <w:left w:type="dxa" w:w="90"/>
              <w:bottom w:type="dxa" w:w="60"/>
              <w:right w:type="dxa" w:w="90"/>
            </w:tcMar>
          </w:tcPr>
          <w:p>
            <w:r>
              <w:rPr>
                <w:color w:val="0F1B14"/>
                <w:sz w:val="20"/>
                <w:szCs w:val="20"/>
              </w:rPr>
              <w:t xml:space="preserve">Pendapatan bersih tanpa PPN</w:t>
            </w:r>
          </w:p>
        </w:tc>
        <w:tc>
          <w:tcPr>
            <w:tcW w:type="pct" w:w="30%"/>
            <w:shd w:fill="F1F6F2"/>
            <w:tcMar>
              <w:top w:type="dxa" w:w="60"/>
              <w:left w:type="dxa" w:w="90"/>
              <w:bottom w:type="dxa" w:w="60"/>
              <w:right w:type="dxa" w:w="90"/>
            </w:tcMar>
          </w:tcPr>
          <w:p>
            <w:r>
              <w:rPr>
                <w:color w:val="0F1B14"/>
                <w:sz w:val="20"/>
                <w:szCs w:val="20"/>
              </w:rPr>
              <w:t xml:space="preserve">nilai ÷ 1,11 (inclusive)</w:t>
            </w:r>
          </w:p>
        </w:tc>
        <w:tc>
          <w:tcPr>
            <w:tcW w:type="pct" w:w="20%"/>
            <w:shd w:fill="F1F6F2"/>
            <w:tcMar>
              <w:top w:type="dxa" w:w="60"/>
              <w:left w:type="dxa" w:w="90"/>
              <w:bottom w:type="dxa" w:w="60"/>
              <w:right w:type="dxa" w:w="90"/>
            </w:tcMar>
          </w:tcPr>
          <w:p>
            <w:r>
              <w:rPr>
                <w:color w:val="0F1B14"/>
                <w:sz w:val="20"/>
                <w:szCs w:val="20"/>
              </w:rPr>
              <w:t xml:space="preserve">Rp 900.900.900,90</w:t>
            </w:r>
          </w:p>
        </w:tc>
      </w:tr>
      <w:tr>
        <w:tc>
          <w:tcPr>
            <w:tcW w:type="pct" w:w="17%"/>
            <w:tcMar>
              <w:top w:type="dxa" w:w="60"/>
              <w:left w:type="dxa" w:w="90"/>
              <w:bottom w:type="dxa" w:w="60"/>
              <w:right w:type="dxa" w:w="90"/>
            </w:tcMar>
          </w:tcPr>
          <w:p>
            <w:r>
              <w:rPr>
                <w:color w:val="0F1B14"/>
                <w:sz w:val="20"/>
                <w:szCs w:val="20"/>
              </w:rPr>
              <w:t xml:space="preserve">PPN</w:t>
            </w:r>
          </w:p>
        </w:tc>
        <w:tc>
          <w:tcPr>
            <w:tcW w:type="pct" w:w="33%"/>
            <w:tcMar>
              <w:top w:type="dxa" w:w="60"/>
              <w:left w:type="dxa" w:w="90"/>
              <w:bottom w:type="dxa" w:w="60"/>
              <w:right w:type="dxa" w:w="90"/>
            </w:tcMar>
          </w:tcPr>
          <w:p>
            <w:r>
              <w:rPr>
                <w:color w:val="0F1B14"/>
                <w:sz w:val="20"/>
                <w:szCs w:val="20"/>
              </w:rPr>
              <w:t xml:space="preserve">Bagian pajak di dalam nilai kontrak</w:t>
            </w:r>
          </w:p>
        </w:tc>
        <w:tc>
          <w:tcPr>
            <w:tcW w:type="pct" w:w="30%"/>
            <w:tcMar>
              <w:top w:type="dxa" w:w="60"/>
              <w:left w:type="dxa" w:w="90"/>
              <w:bottom w:type="dxa" w:w="60"/>
              <w:right w:type="dxa" w:w="90"/>
            </w:tcMar>
          </w:tcPr>
          <w:p>
            <w:r>
              <w:rPr>
                <w:color w:val="0F1B14"/>
                <w:sz w:val="20"/>
                <w:szCs w:val="20"/>
              </w:rPr>
              <w:t xml:space="preserve">nilai − DPP</w:t>
            </w:r>
          </w:p>
        </w:tc>
        <w:tc>
          <w:tcPr>
            <w:tcW w:type="pct" w:w="20%"/>
            <w:tcMar>
              <w:top w:type="dxa" w:w="60"/>
              <w:left w:type="dxa" w:w="90"/>
              <w:bottom w:type="dxa" w:w="60"/>
              <w:right w:type="dxa" w:w="90"/>
            </w:tcMar>
          </w:tcPr>
          <w:p>
            <w:r>
              <w:rPr>
                <w:color w:val="0F1B14"/>
                <w:sz w:val="20"/>
                <w:szCs w:val="20"/>
              </w:rPr>
              <w:t xml:space="preserve">Rp 99.099.099,10</w:t>
            </w:r>
          </w:p>
        </w:tc>
      </w:tr>
      <w:tr>
        <w:tc>
          <w:tcPr>
            <w:tcW w:type="pct" w:w="17%"/>
            <w:shd w:fill="F1F6F2"/>
            <w:tcMar>
              <w:top w:type="dxa" w:w="60"/>
              <w:left w:type="dxa" w:w="90"/>
              <w:bottom w:type="dxa" w:w="60"/>
              <w:right w:type="dxa" w:w="90"/>
            </w:tcMar>
          </w:tcPr>
          <w:p>
            <w:r>
              <w:rPr>
                <w:color w:val="0F1B14"/>
                <w:sz w:val="20"/>
                <w:szCs w:val="20"/>
              </w:rPr>
              <w:t xml:space="preserve">burnRatePct</w:t>
            </w:r>
          </w:p>
        </w:tc>
        <w:tc>
          <w:tcPr>
            <w:tcW w:type="pct" w:w="33%"/>
            <w:shd w:fill="F1F6F2"/>
            <w:tcMar>
              <w:top w:type="dxa" w:w="60"/>
              <w:left w:type="dxa" w:w="90"/>
              <w:bottom w:type="dxa" w:w="60"/>
              <w:right w:type="dxa" w:w="90"/>
            </w:tcMar>
          </w:tcPr>
          <w:p>
            <w:r>
              <w:rPr>
                <w:color w:val="0F1B14"/>
                <w:sz w:val="20"/>
                <w:szCs w:val="20"/>
              </w:rPr>
              <w:t xml:space="preserve">Tingkat penyelesaian (manday aktual vs rencana, maks 100%)</w:t>
            </w:r>
          </w:p>
        </w:tc>
        <w:tc>
          <w:tcPr>
            <w:tcW w:type="pct" w:w="30%"/>
            <w:shd w:fill="F1F6F2"/>
            <w:tcMar>
              <w:top w:type="dxa" w:w="60"/>
              <w:left w:type="dxa" w:w="90"/>
              <w:bottom w:type="dxa" w:w="60"/>
              <w:right w:type="dxa" w:w="90"/>
            </w:tcMar>
          </w:tcPr>
          <w:p>
            <w:r>
              <w:rPr>
                <w:color w:val="0F1B14"/>
                <w:sz w:val="20"/>
                <w:szCs w:val="20"/>
              </w:rPr>
              <w:t xml:space="preserve">min(actualMandays ÷ plannedMandays × 100, 100)</w:t>
            </w:r>
          </w:p>
        </w:tc>
        <w:tc>
          <w:tcPr>
            <w:tcW w:type="pct" w:w="20%"/>
            <w:shd w:fill="F1F6F2"/>
            <w:tcMar>
              <w:top w:type="dxa" w:w="60"/>
              <w:left w:type="dxa" w:w="90"/>
              <w:bottom w:type="dxa" w:w="60"/>
              <w:right w:type="dxa" w:w="90"/>
            </w:tcMar>
          </w:tcPr>
          <w:p>
            <w:r>
              <w:rPr>
                <w:color w:val="0F1B14"/>
                <w:sz w:val="20"/>
                <w:szCs w:val="20"/>
              </w:rPr>
              <w:t xml:space="preserve">60%</w:t>
            </w:r>
          </w:p>
        </w:tc>
      </w:tr>
      <w:tr>
        <w:tc>
          <w:tcPr>
            <w:tcW w:type="pct" w:w="17%"/>
            <w:tcMar>
              <w:top w:type="dxa" w:w="60"/>
              <w:left w:type="dxa" w:w="90"/>
              <w:bottom w:type="dxa" w:w="60"/>
              <w:right w:type="dxa" w:w="90"/>
            </w:tcMar>
          </w:tcPr>
          <w:p>
            <w:r>
              <w:rPr>
                <w:color w:val="0F1B14"/>
                <w:sz w:val="20"/>
                <w:szCs w:val="20"/>
              </w:rPr>
              <w:t xml:space="preserve">recognizedRevenue</w:t>
            </w:r>
          </w:p>
        </w:tc>
        <w:tc>
          <w:tcPr>
            <w:tcW w:type="pct" w:w="33%"/>
            <w:tcMar>
              <w:top w:type="dxa" w:w="60"/>
              <w:left w:type="dxa" w:w="90"/>
              <w:bottom w:type="dxa" w:w="60"/>
              <w:right w:type="dxa" w:w="90"/>
            </w:tcMar>
          </w:tcPr>
          <w:p>
            <w:r>
              <w:rPr>
                <w:color w:val="0F1B14"/>
                <w:sz w:val="20"/>
                <w:szCs w:val="20"/>
              </w:rPr>
              <w:t xml:space="preserve">Pendapatan diakui sesuai progres (PSAK 72)</w:t>
            </w:r>
          </w:p>
        </w:tc>
        <w:tc>
          <w:tcPr>
            <w:tcW w:type="pct" w:w="30%"/>
            <w:tcMar>
              <w:top w:type="dxa" w:w="60"/>
              <w:left w:type="dxa" w:w="90"/>
              <w:bottom w:type="dxa" w:w="60"/>
              <w:right w:type="dxa" w:w="90"/>
            </w:tcMar>
          </w:tcPr>
          <w:p>
            <w:r>
              <w:rPr>
                <w:color w:val="0F1B14"/>
                <w:sz w:val="20"/>
                <w:szCs w:val="20"/>
              </w:rPr>
              <w:t xml:space="preserve">burnRatePct × DPP</w:t>
            </w:r>
          </w:p>
        </w:tc>
        <w:tc>
          <w:tcPr>
            <w:tcW w:type="pct" w:w="20%"/>
            <w:tcMar>
              <w:top w:type="dxa" w:w="60"/>
              <w:left w:type="dxa" w:w="90"/>
              <w:bottom w:type="dxa" w:w="60"/>
              <w:right w:type="dxa" w:w="90"/>
            </w:tcMar>
          </w:tcPr>
          <w:p>
            <w:r>
              <w:rPr>
                <w:color w:val="0F1B14"/>
                <w:sz w:val="20"/>
                <w:szCs w:val="20"/>
              </w:rPr>
              <w:t xml:space="preserve">Rp 540.540.540,54</w:t>
            </w:r>
          </w:p>
        </w:tc>
      </w:tr>
      <w:tr>
        <w:tc>
          <w:tcPr>
            <w:tcW w:type="pct" w:w="17%"/>
            <w:shd w:fill="F1F6F2"/>
            <w:tcMar>
              <w:top w:type="dxa" w:w="60"/>
              <w:left w:type="dxa" w:w="90"/>
              <w:bottom w:type="dxa" w:w="60"/>
              <w:right w:type="dxa" w:w="90"/>
            </w:tcMar>
          </w:tcPr>
          <w:p>
            <w:r>
              <w:rPr>
                <w:color w:val="0F1B14"/>
                <w:sz w:val="20"/>
                <w:szCs w:val="20"/>
              </w:rPr>
              <w:t xml:space="preserve">loadedResourceCost</w:t>
            </w:r>
          </w:p>
        </w:tc>
        <w:tc>
          <w:tcPr>
            <w:tcW w:type="pct" w:w="33%"/>
            <w:shd w:fill="F1F6F2"/>
            <w:tcMar>
              <w:top w:type="dxa" w:w="60"/>
              <w:left w:type="dxa" w:w="90"/>
              <w:bottom w:type="dxa" w:w="60"/>
              <w:right w:type="dxa" w:w="90"/>
            </w:tcMar>
          </w:tcPr>
          <w:p>
            <w:r>
              <w:rPr>
                <w:color w:val="0F1B14"/>
                <w:sz w:val="20"/>
                <w:szCs w:val="20"/>
              </w:rPr>
              <w:t xml:space="preserve">Biaya tenaga kerja setelah dibebani overhead</w:t>
            </w:r>
          </w:p>
        </w:tc>
        <w:tc>
          <w:tcPr>
            <w:tcW w:type="pct" w:w="30%"/>
            <w:shd w:fill="F1F6F2"/>
            <w:tcMar>
              <w:top w:type="dxa" w:w="60"/>
              <w:left w:type="dxa" w:w="90"/>
              <w:bottom w:type="dxa" w:w="60"/>
              <w:right w:type="dxa" w:w="90"/>
            </w:tcMar>
          </w:tcPr>
          <w:p>
            <w:r>
              <w:rPr>
                <w:color w:val="0F1B14"/>
                <w:sz w:val="20"/>
                <w:szCs w:val="20"/>
              </w:rPr>
              <w:t xml:space="preserve">resourceCost × overheadMultiplier</w:t>
            </w:r>
          </w:p>
        </w:tc>
        <w:tc>
          <w:tcPr>
            <w:tcW w:type="pct" w:w="20%"/>
            <w:shd w:fill="F1F6F2"/>
            <w:tcMar>
              <w:top w:type="dxa" w:w="60"/>
              <w:left w:type="dxa" w:w="90"/>
              <w:bottom w:type="dxa" w:w="60"/>
              <w:right w:type="dxa" w:w="90"/>
            </w:tcMar>
          </w:tcPr>
          <w:p>
            <w:r>
              <w:rPr>
                <w:color w:val="0F1B14"/>
                <w:sz w:val="20"/>
                <w:szCs w:val="20"/>
              </w:rPr>
              <w:t xml:space="preserve">Rp 143.000.000</w:t>
            </w:r>
          </w:p>
        </w:tc>
      </w:tr>
      <w:tr>
        <w:tc>
          <w:tcPr>
            <w:tcW w:type="pct" w:w="17%"/>
            <w:tcMar>
              <w:top w:type="dxa" w:w="60"/>
              <w:left w:type="dxa" w:w="90"/>
              <w:bottom w:type="dxa" w:w="60"/>
              <w:right w:type="dxa" w:w="90"/>
            </w:tcMar>
          </w:tcPr>
          <w:p>
            <w:r>
              <w:rPr>
                <w:color w:val="0F1B14"/>
                <w:sz w:val="20"/>
                <w:szCs w:val="20"/>
              </w:rPr>
              <w:t xml:space="preserve">netActualCost</w:t>
            </w:r>
          </w:p>
        </w:tc>
        <w:tc>
          <w:tcPr>
            <w:tcW w:type="pct" w:w="33%"/>
            <w:tcMar>
              <w:top w:type="dxa" w:w="60"/>
              <w:left w:type="dxa" w:w="90"/>
              <w:bottom w:type="dxa" w:w="60"/>
              <w:right w:type="dxa" w:w="90"/>
            </w:tcMar>
          </w:tcPr>
          <w:p>
            <w:r>
              <w:rPr>
                <w:color w:val="0F1B14"/>
                <w:sz w:val="20"/>
                <w:szCs w:val="20"/>
              </w:rPr>
              <w:t xml:space="preserve">Total biaya penuh (sudah termasuk overhead)</w:t>
            </w:r>
          </w:p>
        </w:tc>
        <w:tc>
          <w:tcPr>
            <w:tcW w:type="pct" w:w="30%"/>
            <w:tcMar>
              <w:top w:type="dxa" w:w="60"/>
              <w:left w:type="dxa" w:w="90"/>
              <w:bottom w:type="dxa" w:w="60"/>
              <w:right w:type="dxa" w:w="90"/>
            </w:tcMar>
          </w:tcPr>
          <w:p>
            <w:r>
              <w:rPr>
                <w:color w:val="0F1B14"/>
                <w:sz w:val="20"/>
                <w:szCs w:val="20"/>
              </w:rPr>
              <w:t xml:space="preserve">loadedResourceCost + additionalCost</w:t>
            </w:r>
          </w:p>
        </w:tc>
        <w:tc>
          <w:tcPr>
            <w:tcW w:type="pct" w:w="20%"/>
            <w:tcMar>
              <w:top w:type="dxa" w:w="60"/>
              <w:left w:type="dxa" w:w="90"/>
              <w:bottom w:type="dxa" w:w="60"/>
              <w:right w:type="dxa" w:w="90"/>
            </w:tcMar>
          </w:tcPr>
          <w:p>
            <w:r>
              <w:rPr>
                <w:color w:val="0F1B14"/>
                <w:sz w:val="20"/>
                <w:szCs w:val="20"/>
              </w:rPr>
              <w:t xml:space="preserve">Rp 163.000.000</w:t>
            </w:r>
          </w:p>
        </w:tc>
      </w:tr>
      <w:tr>
        <w:tc>
          <w:tcPr>
            <w:tcW w:type="pct" w:w="17%"/>
            <w:shd w:fill="F1F6F2"/>
            <w:tcMar>
              <w:top w:type="dxa" w:w="60"/>
              <w:left w:type="dxa" w:w="90"/>
              <w:bottom w:type="dxa" w:w="60"/>
              <w:right w:type="dxa" w:w="90"/>
            </w:tcMar>
          </w:tcPr>
          <w:p>
            <w:r>
              <w:rPr>
                <w:color w:val="0F1B14"/>
                <w:sz w:val="20"/>
                <w:szCs w:val="20"/>
              </w:rPr>
              <w:t xml:space="preserve">netActualProfit</w:t>
            </w:r>
          </w:p>
        </w:tc>
        <w:tc>
          <w:tcPr>
            <w:tcW w:type="pct" w:w="33%"/>
            <w:shd w:fill="F1F6F2"/>
            <w:tcMar>
              <w:top w:type="dxa" w:w="60"/>
              <w:left w:type="dxa" w:w="90"/>
              <w:bottom w:type="dxa" w:w="60"/>
              <w:right w:type="dxa" w:w="90"/>
            </w:tcMar>
          </w:tcPr>
          <w:p>
            <w:r>
              <w:rPr>
                <w:color w:val="0F1B14"/>
                <w:sz w:val="20"/>
                <w:szCs w:val="20"/>
              </w:rPr>
              <w:t xml:space="preserve">Profit bersih penuh (dihitung vs DPP)</w:t>
            </w:r>
          </w:p>
        </w:tc>
        <w:tc>
          <w:tcPr>
            <w:tcW w:type="pct" w:w="30%"/>
            <w:shd w:fill="F1F6F2"/>
            <w:tcMar>
              <w:top w:type="dxa" w:w="60"/>
              <w:left w:type="dxa" w:w="90"/>
              <w:bottom w:type="dxa" w:w="60"/>
              <w:right w:type="dxa" w:w="90"/>
            </w:tcMar>
          </w:tcPr>
          <w:p>
            <w:r>
              <w:rPr>
                <w:color w:val="0F1B14"/>
                <w:sz w:val="20"/>
                <w:szCs w:val="20"/>
              </w:rPr>
              <w:t xml:space="preserve">revenueNet − netActualCost</w:t>
            </w:r>
          </w:p>
        </w:tc>
        <w:tc>
          <w:tcPr>
            <w:tcW w:type="pct" w:w="20%"/>
            <w:shd w:fill="F1F6F2"/>
            <w:tcMar>
              <w:top w:type="dxa" w:w="60"/>
              <w:left w:type="dxa" w:w="90"/>
              <w:bottom w:type="dxa" w:w="60"/>
              <w:right w:type="dxa" w:w="90"/>
            </w:tcMar>
          </w:tcPr>
          <w:p>
            <w:r>
              <w:rPr>
                <w:color w:val="0F1B14"/>
                <w:sz w:val="20"/>
                <w:szCs w:val="20"/>
              </w:rPr>
              <w:t xml:space="preserve">Rp 737.900.900,90</w:t>
            </w:r>
          </w:p>
        </w:tc>
      </w:tr>
      <w:tr>
        <w:tc>
          <w:tcPr>
            <w:tcW w:type="pct" w:w="17%"/>
            <w:tcMar>
              <w:top w:type="dxa" w:w="60"/>
              <w:left w:type="dxa" w:w="90"/>
              <w:bottom w:type="dxa" w:w="60"/>
              <w:right w:type="dxa" w:w="90"/>
            </w:tcMar>
          </w:tcPr>
          <w:p>
            <w:r>
              <w:rPr>
                <w:color w:val="0F1B14"/>
                <w:sz w:val="20"/>
                <w:szCs w:val="20"/>
              </w:rPr>
              <w:t xml:space="preserve">netMarginPct</w:t>
            </w:r>
          </w:p>
        </w:tc>
        <w:tc>
          <w:tcPr>
            <w:tcW w:type="pct" w:w="33%"/>
            <w:tcMar>
              <w:top w:type="dxa" w:w="60"/>
              <w:left w:type="dxa" w:w="90"/>
              <w:bottom w:type="dxa" w:w="60"/>
              <w:right w:type="dxa" w:w="90"/>
            </w:tcMar>
          </w:tcPr>
          <w:p>
            <w:r>
              <w:rPr>
                <w:color w:val="0F1B14"/>
                <w:sz w:val="20"/>
                <w:szCs w:val="20"/>
              </w:rPr>
              <w:t xml:space="preserve">Margin bersih penuh (%)</w:t>
            </w:r>
          </w:p>
        </w:tc>
        <w:tc>
          <w:tcPr>
            <w:tcW w:type="pct" w:w="30%"/>
            <w:tcMar>
              <w:top w:type="dxa" w:w="60"/>
              <w:left w:type="dxa" w:w="90"/>
              <w:bottom w:type="dxa" w:w="60"/>
              <w:right w:type="dxa" w:w="90"/>
            </w:tcMar>
          </w:tcPr>
          <w:p>
            <w:r>
              <w:rPr>
                <w:color w:val="0F1B14"/>
                <w:sz w:val="20"/>
                <w:szCs w:val="20"/>
              </w:rPr>
              <w:t xml:space="preserve">netActualProfit ÷ revenueNet × 100</w:t>
            </w:r>
          </w:p>
        </w:tc>
        <w:tc>
          <w:tcPr>
            <w:tcW w:type="pct" w:w="20%"/>
            <w:tcMar>
              <w:top w:type="dxa" w:w="60"/>
              <w:left w:type="dxa" w:w="90"/>
              <w:bottom w:type="dxa" w:w="60"/>
              <w:right w:type="dxa" w:w="90"/>
            </w:tcMar>
          </w:tcPr>
          <w:p>
            <w:r>
              <w:rPr>
                <w:color w:val="0F1B14"/>
                <w:sz w:val="20"/>
                <w:szCs w:val="20"/>
              </w:rPr>
              <w:t xml:space="preserve">81,9%</w:t>
            </w:r>
          </w:p>
        </w:tc>
      </w:tr>
    </w:tbl>
    <w:p>
      <w:pPr>
        <w:spacing w:after="120" w:line="276"/>
      </w:pPr>
      <w:r>
        <w:rPr>
          <w:b/>
          <w:bCs/>
          <w:sz w:val="22"/>
          <w:szCs w:val="22"/>
        </w:rPr>
        <w:t xml:space="preserve">Dua jenis margin: </w:t>
      </w:r>
      <w:r>
        <w:rPr>
          <w:b w:val="false"/>
          <w:bCs w:val="false"/>
          <w:sz w:val="22"/>
          <w:szCs w:val="22"/>
        </w:rPr>
        <w:t xml:space="preserve">marginPct (87,0%) adalah pandangan cepat — nilai kontrak kotor dikurangi biaya langsung saja. netMarginPct (81,9%) adalah pandangan realistis — pendapatan bersih (tanpa PPN) dikurangi biaya yang sudah dibebani overhead, sehingga selalu lebih kecil dan lebih jujur untuk pengambilan keputusan.</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Dokumen Fitur &amp; Perhitungan</dc:title>
  <dc:creator>SecureProfit Hub</dc:creator>
  <cp:lastModifiedBy>Un-named</cp:lastModifiedBy>
  <cp:revision>1</cp:revision>
  <dcterms:created xsi:type="dcterms:W3CDTF">2026-06-08T12:07:20.487Z</dcterms:created>
  <dcterms:modified xsi:type="dcterms:W3CDTF">2026-06-08T12:07:20.488Z</dcterms:modified>
</cp:coreProperties>
</file>

<file path=docProps/custom.xml><?xml version="1.0" encoding="utf-8"?>
<Properties xmlns="http://schemas.openxmlformats.org/officeDocument/2006/custom-properties" xmlns:vt="http://schemas.openxmlformats.org/officeDocument/2006/docPropsVTypes"/>
</file>