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91B1B"/>
          <w:sz w:val="22"/>
        </w:rPr>
        <w:t>SECUREPROFIT HUB</w:t>
      </w:r>
    </w:p>
    <w:p>
      <w:pPr>
        <w:jc w:val="center"/>
      </w:pPr>
      <w:r>
        <w:rPr>
          <w:b/>
          <w:color w:val="242E3E"/>
          <w:sz w:val="48"/>
        </w:rPr>
        <w:t>14 FSD v1.01 — Technical Review</w:t>
        <w:br/>
        <w:t>and Required Revisions</w:t>
      </w:r>
    </w:p>
    <w:p>
      <w:pPr>
        <w:jc w:val="center"/>
      </w:pPr>
      <w:r>
        <w:rPr>
          <w:color w:val="5A5A5A"/>
          <w:sz w:val="24"/>
        </w:rPr>
        <w:t>Review terhadap Answer to Master Recommendation All 14 FSD</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991B1B"/>
          </w:tcPr>
          <w:p>
            <w:r/>
            <w:r>
              <w:rPr>
                <w:b/>
                <w:color w:val="FFFFFF"/>
                <w:sz w:val="17"/>
              </w:rPr>
              <w:t>Dokumen diperiksa</w:t>
            </w:r>
          </w:p>
        </w:tc>
        <w:tc>
          <w:tcPr>
            <w:tcW w:type="dxa" w:w="5083"/>
            <w:vAlign w:val="center"/>
            <w:tcMar>
              <w:top w:w="80" w:type="dxa"/>
              <w:start w:w="90" w:type="dxa"/>
              <w:bottom w:w="80" w:type="dxa"/>
              <w:end w:w="90" w:type="dxa"/>
            </w:tcMar>
          </w:tcPr>
          <w:p>
            <w:r/>
            <w:r>
              <w:rPr>
                <w:b w:val="0"/>
                <w:sz w:val="17"/>
              </w:rPr>
              <w:t>Answer_to_-_SecureProfit-Hub-Master-Recommendation-All-14-FSD.docx</w:t>
            </w:r>
          </w:p>
        </w:tc>
      </w:tr>
      <w:tr>
        <w:tc>
          <w:tcPr>
            <w:tcW w:type="dxa" w:w="5083"/>
            <w:vAlign w:val="center"/>
            <w:tcMar>
              <w:top w:w="80" w:type="dxa"/>
              <w:start w:w="90" w:type="dxa"/>
              <w:bottom w:w="80" w:type="dxa"/>
              <w:end w:w="90" w:type="dxa"/>
            </w:tcMar>
            <w:shd w:fill="991B1B"/>
          </w:tcPr>
          <w:p>
            <w:r/>
            <w:r>
              <w:rPr>
                <w:b/>
                <w:color w:val="FFFFFF"/>
                <w:sz w:val="17"/>
              </w:rPr>
              <w:t>Versi dokumen</w:t>
            </w:r>
          </w:p>
        </w:tc>
        <w:tc>
          <w:tcPr>
            <w:tcW w:type="dxa" w:w="5083"/>
            <w:vAlign w:val="center"/>
            <w:tcMar>
              <w:top w:w="80" w:type="dxa"/>
              <w:start w:w="90" w:type="dxa"/>
              <w:bottom w:w="80" w:type="dxa"/>
              <w:end w:w="90" w:type="dxa"/>
            </w:tcMar>
          </w:tcPr>
          <w:p>
            <w:r/>
            <w:r>
              <w:rPr>
                <w:b w:val="0"/>
                <w:sz w:val="17"/>
              </w:rPr>
              <w:t>v1.01</w:t>
            </w:r>
          </w:p>
        </w:tc>
      </w:tr>
      <w:tr>
        <w:tc>
          <w:tcPr>
            <w:tcW w:type="dxa" w:w="5083"/>
            <w:vAlign w:val="center"/>
            <w:tcMar>
              <w:top w:w="80" w:type="dxa"/>
              <w:start w:w="90" w:type="dxa"/>
              <w:bottom w:w="80" w:type="dxa"/>
              <w:end w:w="90" w:type="dxa"/>
            </w:tcMar>
            <w:shd w:fill="991B1B"/>
          </w:tcPr>
          <w:p>
            <w:r/>
            <w:r>
              <w:rPr>
                <w:b/>
                <w:color w:val="FFFFFF"/>
                <w:sz w:val="17"/>
              </w:rPr>
              <w:t>Source code verifikasi</w:t>
            </w:r>
          </w:p>
        </w:tc>
        <w:tc>
          <w:tcPr>
            <w:tcW w:type="dxa" w:w="5083"/>
            <w:vAlign w:val="center"/>
            <w:tcMar>
              <w:top w:w="80" w:type="dxa"/>
              <w:start w:w="90" w:type="dxa"/>
              <w:bottom w:w="80" w:type="dxa"/>
              <w:end w:w="90" w:type="dxa"/>
            </w:tcMar>
          </w:tcPr>
          <w:p>
            <w:r/>
            <w:r>
              <w:rPr>
                <w:b w:val="0"/>
                <w:sz w:val="17"/>
              </w:rPr>
              <w:t>Current HEAD aa3425a76bf66b40000d521fe071c87b463a006d</w:t>
            </w:r>
          </w:p>
        </w:tc>
      </w:tr>
      <w:tr>
        <w:tc>
          <w:tcPr>
            <w:tcW w:type="dxa" w:w="5083"/>
            <w:vAlign w:val="center"/>
            <w:tcMar>
              <w:top w:w="80" w:type="dxa"/>
              <w:start w:w="90" w:type="dxa"/>
              <w:bottom w:w="80" w:type="dxa"/>
              <w:end w:w="90" w:type="dxa"/>
            </w:tcMar>
            <w:shd w:fill="991B1B"/>
          </w:tcPr>
          <w:p>
            <w:r/>
            <w:r>
              <w:rPr>
                <w:b/>
                <w:color w:val="FFFFFF"/>
                <w:sz w:val="17"/>
              </w:rPr>
              <w:t>Baseline historis dalam dokumen</w:t>
            </w:r>
          </w:p>
        </w:tc>
        <w:tc>
          <w:tcPr>
            <w:tcW w:type="dxa" w:w="5083"/>
            <w:vAlign w:val="center"/>
            <w:tcMar>
              <w:top w:w="80" w:type="dxa"/>
              <w:start w:w="90" w:type="dxa"/>
              <w:bottom w:w="80" w:type="dxa"/>
              <w:end w:w="90" w:type="dxa"/>
            </w:tcMar>
          </w:tcPr>
          <w:p>
            <w:r/>
            <w:r>
              <w:rPr>
                <w:b w:val="0"/>
                <w:sz w:val="17"/>
              </w:rPr>
              <w:t>c7080af</w:t>
            </w:r>
          </w:p>
        </w:tc>
      </w:tr>
      <w:tr>
        <w:tc>
          <w:tcPr>
            <w:tcW w:type="dxa" w:w="5083"/>
            <w:vAlign w:val="center"/>
            <w:tcMar>
              <w:top w:w="80" w:type="dxa"/>
              <w:start w:w="90" w:type="dxa"/>
              <w:bottom w:w="80" w:type="dxa"/>
              <w:end w:w="90" w:type="dxa"/>
            </w:tcMar>
            <w:shd w:fill="991B1B"/>
          </w:tcPr>
          <w:p>
            <w:r/>
            <w:r>
              <w:rPr>
                <w:b/>
                <w:color w:val="FFFFFF"/>
                <w:sz w:val="17"/>
              </w:rPr>
              <w:t>Tanggal review</w:t>
            </w:r>
          </w:p>
        </w:tc>
        <w:tc>
          <w:tcPr>
            <w:tcW w:type="dxa" w:w="5083"/>
            <w:vAlign w:val="center"/>
            <w:tcMar>
              <w:top w:w="80" w:type="dxa"/>
              <w:start w:w="90" w:type="dxa"/>
              <w:bottom w:w="80" w:type="dxa"/>
              <w:end w:w="90" w:type="dxa"/>
            </w:tcMar>
          </w:tcPr>
          <w:p>
            <w:r/>
            <w:r>
              <w:rPr>
                <w:b w:val="0"/>
                <w:sz w:val="17"/>
              </w:rPr>
              <w:t>3 September 2026</w:t>
            </w:r>
          </w:p>
        </w:tc>
      </w:tr>
    </w:tbl>
    <w:p>
      <w:r>
        <w:br w:type="page"/>
      </w:r>
    </w:p>
    <w:p>
      <w:pPr>
        <w:pStyle w:val="Heading1"/>
      </w:pPr>
      <w:r>
        <w:t>1. Verdict Teknis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B91C1C"/>
          </w:tcPr>
          <w:p>
            <w:r/>
            <w:r>
              <w:rPr>
                <w:b/>
                <w:color w:val="FFFFFF"/>
                <w:sz w:val="18"/>
              </w:rPr>
              <w:t>STATUS</w:t>
            </w:r>
          </w:p>
        </w:tc>
        <w:tc>
          <w:tcPr>
            <w:tcW w:type="dxa" w:w="5083"/>
            <w:vAlign w:val="center"/>
            <w:tcMar>
              <w:top w:w="80" w:type="dxa"/>
              <w:start w:w="90" w:type="dxa"/>
              <w:bottom w:w="80" w:type="dxa"/>
              <w:end w:w="90" w:type="dxa"/>
            </w:tcMar>
          </w:tcPr>
          <w:p>
            <w:r/>
            <w:r>
              <w:rPr>
                <w:b/>
                <w:sz w:val="18"/>
              </w:rPr>
              <w:t>REVISI WAJIB SEBELUM DITERIMA SEBAGAI BASELINE TEKNIS</w:t>
            </w:r>
          </w:p>
        </w:tc>
      </w:tr>
    </w:tbl>
    <w:p>
      <w:r>
        <w:t>Dokumen memiliki struktur yang lengkap dan sebagian besar target design telah dijelaskan dengan baik. Namun, dokumen belum konsisten terhadap FSD sumber dan kondisi source code aktif. Beberapa bagian masih mencampur target design dengan fakta implementasi, serta terdapat contoh kode yang tidak valid secara sintaksis.</w:t>
      </w:r>
    </w:p>
    <w:p>
      <w:r>
        <w:t>DEMO-12 Phase 1 terkonfirmasi sesuai source code dan memiliki regression test. DEMO-13 belum diimplementasikan dan perilaku Revenue Recognition saat ini justru bertentangan dengan keputusan dual-timeline. DEMO-14 baru sebagian tersedia dan belum memenuhi shared evaluator, kontrak HTTP 422, serta atomic activation.</w:t>
      </w:r>
    </w:p>
    <w:p>
      <w:pPr>
        <w:pStyle w:val="Heading1"/>
      </w:pPr>
      <w:r>
        <w:t>2. Ringkasan Temuan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Mar>
              <w:top w:w="80" w:type="dxa"/>
              <w:start w:w="90" w:type="dxa"/>
              <w:bottom w:w="80" w:type="dxa"/>
              <w:end w:w="90" w:type="dxa"/>
            </w:tcMar>
            <w:shd w:fill="24303E"/>
          </w:tcPr>
          <w:p>
            <w:r/>
            <w:r>
              <w:rPr>
                <w:b/>
                <w:color w:val="FFFFFF"/>
                <w:sz w:val="17"/>
              </w:rPr>
              <w:t>Severity</w:t>
            </w:r>
          </w:p>
        </w:tc>
        <w:tc>
          <w:tcPr>
            <w:tcW w:type="dxa" w:w="3389"/>
            <w:vAlign w:val="center"/>
            <w:tcMar>
              <w:top w:w="80" w:type="dxa"/>
              <w:start w:w="90" w:type="dxa"/>
              <w:bottom w:w="80" w:type="dxa"/>
              <w:end w:w="90" w:type="dxa"/>
            </w:tcMar>
            <w:shd w:fill="24303E"/>
          </w:tcPr>
          <w:p>
            <w:r/>
            <w:r>
              <w:rPr>
                <w:b/>
                <w:color w:val="FFFFFF"/>
                <w:sz w:val="17"/>
              </w:rPr>
              <w:t>Jumlah</w:t>
            </w:r>
          </w:p>
        </w:tc>
        <w:tc>
          <w:tcPr>
            <w:tcW w:type="dxa" w:w="3389"/>
            <w:vAlign w:val="center"/>
            <w:tcMar>
              <w:top w:w="80" w:type="dxa"/>
              <w:start w:w="90" w:type="dxa"/>
              <w:bottom w:w="80" w:type="dxa"/>
              <w:end w:w="90" w:type="dxa"/>
            </w:tcMar>
            <w:shd w:fill="24303E"/>
          </w:tcPr>
          <w:p>
            <w:r/>
            <w:r>
              <w:rPr>
                <w:b/>
                <w:color w:val="FFFFFF"/>
                <w:sz w:val="17"/>
              </w:rPr>
              <w:t>Area utama</w:t>
            </w:r>
          </w:p>
        </w:tc>
      </w:tr>
      <w:tr>
        <w:tc>
          <w:tcPr>
            <w:tcW w:type="dxa" w:w="3389"/>
            <w:vAlign w:val="center"/>
            <w:tcMar>
              <w:top w:w="80" w:type="dxa"/>
              <w:start w:w="90" w:type="dxa"/>
              <w:bottom w:w="80" w:type="dxa"/>
              <w:end w:w="90" w:type="dxa"/>
            </w:tcMar>
            <w:shd w:fill="FFFFFF"/>
          </w:tcPr>
          <w:p>
            <w:r/>
            <w:r>
              <w:rPr>
                <w:b w:val="0"/>
                <w:sz w:val="17"/>
              </w:rPr>
              <w:t>Kritis</w:t>
            </w:r>
          </w:p>
        </w:tc>
        <w:tc>
          <w:tcPr>
            <w:tcW w:type="dxa" w:w="3389"/>
            <w:vAlign w:val="center"/>
            <w:tcMar>
              <w:top w:w="80" w:type="dxa"/>
              <w:start w:w="90" w:type="dxa"/>
              <w:bottom w:w="80" w:type="dxa"/>
              <w:end w:w="90" w:type="dxa"/>
            </w:tcMar>
            <w:shd w:fill="FFFFFF"/>
          </w:tcPr>
          <w:p>
            <w:r/>
            <w:r>
              <w:rPr>
                <w:b w:val="0"/>
                <w:sz w:val="17"/>
              </w:rPr>
              <w:t>2</w:t>
            </w:r>
          </w:p>
        </w:tc>
        <w:tc>
          <w:tcPr>
            <w:tcW w:type="dxa" w:w="3389"/>
            <w:vAlign w:val="center"/>
            <w:tcMar>
              <w:top w:w="80" w:type="dxa"/>
              <w:start w:w="90" w:type="dxa"/>
              <w:bottom w:w="80" w:type="dxa"/>
              <w:end w:w="90" w:type="dxa"/>
            </w:tcMar>
            <w:shd w:fill="FFFFFF"/>
          </w:tcPr>
          <w:p>
            <w:r/>
            <w:r>
              <w:rPr>
                <w:b w:val="0"/>
                <w:sz w:val="17"/>
              </w:rPr>
              <w:t>DEMO-13; atomic activation/baseline DEMO-11/14</w:t>
            </w:r>
          </w:p>
        </w:tc>
      </w:tr>
      <w:tr>
        <w:tc>
          <w:tcPr>
            <w:tcW w:type="dxa" w:w="3389"/>
            <w:vAlign w:val="center"/>
            <w:tcMar>
              <w:top w:w="80" w:type="dxa"/>
              <w:start w:w="90" w:type="dxa"/>
              <w:bottom w:w="80" w:type="dxa"/>
              <w:end w:w="90" w:type="dxa"/>
            </w:tcMar>
            <w:shd w:fill="F7F7F8"/>
          </w:tcPr>
          <w:p>
            <w:r/>
            <w:r>
              <w:rPr>
                <w:b w:val="0"/>
                <w:sz w:val="17"/>
              </w:rPr>
              <w:t>Tinggi</w:t>
            </w:r>
          </w:p>
        </w:tc>
        <w:tc>
          <w:tcPr>
            <w:tcW w:type="dxa" w:w="3389"/>
            <w:vAlign w:val="center"/>
            <w:tcMar>
              <w:top w:w="80" w:type="dxa"/>
              <w:start w:w="90" w:type="dxa"/>
              <w:bottom w:w="80" w:type="dxa"/>
              <w:end w:w="90" w:type="dxa"/>
            </w:tcMar>
            <w:shd w:fill="F7F7F8"/>
          </w:tcPr>
          <w:p>
            <w:r/>
            <w:r>
              <w:rPr>
                <w:b w:val="0"/>
                <w:sz w:val="17"/>
              </w:rPr>
              <w:t>5</w:t>
            </w:r>
          </w:p>
        </w:tc>
        <w:tc>
          <w:tcPr>
            <w:tcW w:type="dxa" w:w="3389"/>
            <w:vAlign w:val="center"/>
            <w:tcMar>
              <w:top w:w="80" w:type="dxa"/>
              <w:start w:w="90" w:type="dxa"/>
              <w:bottom w:w="80" w:type="dxa"/>
              <w:end w:w="90" w:type="dxa"/>
            </w:tcMar>
            <w:shd w:fill="F7F7F8"/>
          </w:tcPr>
          <w:p>
            <w:r/>
            <w:r>
              <w:rPr>
                <w:b w:val="0"/>
                <w:sz w:val="17"/>
              </w:rPr>
              <w:t>DEMO-08, API contract, baseline source, invalid code examples, technical scope</w:t>
            </w:r>
          </w:p>
        </w:tc>
      </w:tr>
      <w:tr>
        <w:tc>
          <w:tcPr>
            <w:tcW w:type="dxa" w:w="3389"/>
            <w:vAlign w:val="center"/>
            <w:tcMar>
              <w:top w:w="80" w:type="dxa"/>
              <w:start w:w="90" w:type="dxa"/>
              <w:bottom w:w="80" w:type="dxa"/>
              <w:end w:w="90" w:type="dxa"/>
            </w:tcMar>
            <w:shd w:fill="FFFFFF"/>
          </w:tcPr>
          <w:p>
            <w:r/>
            <w:r>
              <w:rPr>
                <w:b w:val="0"/>
                <w:sz w:val="17"/>
              </w:rPr>
              <w:t>Sedang</w:t>
            </w:r>
          </w:p>
        </w:tc>
        <w:tc>
          <w:tcPr>
            <w:tcW w:type="dxa" w:w="3389"/>
            <w:vAlign w:val="center"/>
            <w:tcMar>
              <w:top w:w="80" w:type="dxa"/>
              <w:start w:w="90" w:type="dxa"/>
              <w:bottom w:w="80" w:type="dxa"/>
              <w:end w:w="90" w:type="dxa"/>
            </w:tcMar>
            <w:shd w:fill="FFFFFF"/>
          </w:tcPr>
          <w:p>
            <w:r/>
            <w:r>
              <w:rPr>
                <w:b w:val="0"/>
                <w:sz w:val="17"/>
              </w:rPr>
              <w:t>3</w:t>
            </w:r>
          </w:p>
        </w:tc>
        <w:tc>
          <w:tcPr>
            <w:tcW w:type="dxa" w:w="3389"/>
            <w:vAlign w:val="center"/>
            <w:tcMar>
              <w:top w:w="80" w:type="dxa"/>
              <w:start w:w="90" w:type="dxa"/>
              <w:bottom w:w="80" w:type="dxa"/>
              <w:end w:w="90" w:type="dxa"/>
            </w:tcMar>
            <w:shd w:fill="FFFFFF"/>
          </w:tcPr>
          <w:p>
            <w:r/>
            <w:r>
              <w:rPr>
                <w:b w:val="0"/>
                <w:sz w:val="17"/>
              </w:rPr>
              <w:t>Role alignment, document numbering, traceability status</w:t>
            </w:r>
          </w:p>
        </w:tc>
      </w:tr>
    </w:tbl>
    <w:p>
      <w:pPr>
        <w:pStyle w:val="Heading1"/>
      </w:pPr>
      <w:r>
        <w:t>3. Revisi Wajib</w:t>
      </w:r>
    </w:p>
    <w:p>
      <w:r>
        <w:rPr>
          <w:b/>
          <w:color w:val="991B1B"/>
          <w:sz w:val="22"/>
        </w:rPr>
        <w:t>1. [KRITIS] DEMO-13 belum dipisahkan dan perilaku aktif bertentangan dengan keputusan</w:t>
      </w:r>
    </w:p>
    <w:p>
      <w:r>
        <w:rPr>
          <w:b/>
        </w:rPr>
        <w:t xml:space="preserve">Temuan: </w:t>
      </w:r>
      <w:r>
        <w:t>Di source code aktif tidak ada RevenueRecognitionSchedule, RevenueRecognitionEvidence, RevenueRecognitionEntry, immutable reversal ledger, inferred-history backfill, atau Xero journal CSV. Endpoint revenue-recognition masih menandai milestone sebagai recognized jika ada BAST, status PAID, atau reportUrl. Dengan demikian, pembayaran invoice masih dapat otomatis dianggap sebagai revenue recognition.</w:t>
      </w:r>
    </w:p>
    <w:p>
      <w:r>
        <w:rPr>
          <w:b/>
        </w:rPr>
        <w:t xml:space="preserve">Revisi wajib: </w:t>
      </w:r>
      <w:r>
        <w:t>Ubah seluruh status DEMO-13 menjadi NOT IMPLEMENTED / CURRENT BEHAVIOR CONTRADICTS TARGET. Nyatakan endpoint existing sebagai legacy yang harus diganti atau didepresiasi. Tambahkan acceptance test eksplisit bahwa invoice PAID, contract signing, PO receipt, dan advance payment tidak boleh mengakui revenue tanpa fulfilled performance obligation dan approval FINANCE.</w:t>
      </w:r>
    </w:p>
    <w:p>
      <w:r>
        <w:rPr>
          <w:b/>
          <w:color w:val="991B1B"/>
          <w:sz w:val="22"/>
        </w:rPr>
        <w:t>2. [KRITIS] Aktivasi, baseline, dan audit belum atomik</w:t>
      </w:r>
    </w:p>
    <w:p>
      <w:r>
        <w:rPr>
          <w:b/>
        </w:rPr>
        <w:t xml:space="preserve">Temuan: </w:t>
      </w:r>
      <w:r>
        <w:t>PATCH Project saat ini mengubah status Project terlebih dahulu, lalu memeriksa/membuat ProjectBaseline pada operasi terpisah, kemudian menulis activity dan audit di luar transaksi. Kegagalan di tengah proses dapat menghasilkan Project ACTIVE tanpa baseline atau audit lengkap. Model ProjectBaseline juga masih memakai Float dan hanya memiliki @@unique([projectId, version]) serta indeks biasa [projectId, isCurrent].</w:t>
      </w:r>
    </w:p>
    <w:p>
      <w:r>
        <w:rPr>
          <w:b/>
        </w:rPr>
        <w:t xml:space="preserve">Revisi wajib: </w:t>
      </w:r>
      <w:r>
        <w:t>Label partial unique index, Decimal migration, commercial linkage, dan atomic activation sebagai TARGET / NOT IMPLEMENTED. Wajibkan satu transaksi untuk readiness re-check, status ACTIVE, baseline v1, current-baseline selection, activity, dan audit; tambahkan concurrency protection serta partial unique index satu current baseline per project.</w:t>
      </w:r>
    </w:p>
    <w:p>
      <w:r>
        <w:rPr>
          <w:b/>
          <w:color w:val="991B1B"/>
          <w:sz w:val="22"/>
        </w:rPr>
        <w:t>3. [TINGGI] Kontrak DEMO-14 masih target, bukan kondisi existing</w:t>
      </w:r>
    </w:p>
    <w:p>
      <w:r>
        <w:rPr>
          <w:b/>
        </w:rPr>
        <w:t xml:space="preserve">Temuan: </w:t>
      </w:r>
      <w:r>
        <w:t>Source code sudah mempunyai activation gate, effective-state evaluation untuk beberapa scalar field, dan exemption revenue/billing bagi non-CLIENT. Namun belum ada GET /projects/:id/activation-readiness, shared evaluator, structured checklist, HTTP 422 ACTIVATION_GATE_VIOLATION, commercial revision check, T&amp;M rate check, canonical primary BU check, atau validasi endDate &gt;= startDate. Respons aktif masih HTTP 400 dengan ACTIVATION_REQUIREMENTS_INCOMPLETE.</w:t>
      </w:r>
    </w:p>
    <w:p>
      <w:r>
        <w:rPr>
          <w:b/>
        </w:rPr>
        <w:t xml:space="preserve">Revisi wajib: </w:t>
      </w:r>
      <w:r>
        <w:t>Pisahkan fitur existing dan target secara granular. Jangan menyebut lib/projectValidators.ts sebagai komponen existing. Pertahankan missing[] hanya sebagai compatibility target. Definisikan ProjectKind matrix yang telah disepakati secara eksplisit dan jangan menganggap semua invariant berlaku identik untuk CLIENT, INTERNAL, PRESALES, dan TRAINING.</w:t>
      </w:r>
    </w:p>
    <w:p>
      <w:r>
        <w:rPr>
          <w:b/>
          <w:color w:val="991B1B"/>
          <w:sz w:val="22"/>
        </w:rPr>
        <w:t>4. [TINGGI] DEMO-08 memiliki dua baseline probability yang bertentangan</w:t>
      </w:r>
    </w:p>
    <w:p>
      <w:r>
        <w:rPr>
          <w:b/>
        </w:rPr>
        <w:t xml:space="preserve">Temuan: </w:t>
      </w:r>
      <w:r>
        <w:t>FSD DEMO-08 v0.03 menetapkan DISCOVERY 10%, QUALIFIED 30%, PROPOSAL 60%, NEGOTIATION 80%, WON 100%, LOST 0%. Dokumen master menetapkan NEW 20%, QUALIFIED 40%, PROPOSAL 60%, NEGOTIATION 80%, WON 100%, LOST 0%. Source code aktif menggunakan enum NEW, QUALIFIED, PROPOSAL, NEGOTIATION, WON, LOST dan default Lead 20%, tetapi belum melakukan automatic stage reset atau audited override.</w:t>
      </w:r>
    </w:p>
    <w:p>
      <w:r>
        <w:rPr>
          <w:b/>
        </w:rPr>
        <w:t xml:space="preserve">Revisi wajib: </w:t>
      </w:r>
      <w:r>
        <w:t>Pilih satu canonical policy dan sinkronkan FSD, master document, API, Pipedrive mapping, CSV import, UI, serta test. Jika mempertahankan enum source code, revisi DEMO-08 FSD agar memakai NEW dan angka yang disetujui. Sampai konflik selesai, Decision 5.1/5.2 tidak boleh disebut fully synchronized.</w:t>
      </w:r>
    </w:p>
    <w:p>
      <w:r>
        <w:rPr>
          <w:b/>
          <w:color w:val="991B1B"/>
          <w:sz w:val="22"/>
        </w:rPr>
        <w:t>5. [TINGGI] Referensi c7080af adalah baseline historis, bukan source aktif</w:t>
      </w:r>
    </w:p>
    <w:p>
      <w:r>
        <w:rPr>
          <w:b/>
        </w:rPr>
        <w:t xml:space="preserve">Temuan: </w:t>
      </w:r>
      <w:r>
        <w:t>Dokumen mengacu pada commit c7080af, sedangkan source code yang diverifikasi saat review berada pada HEAD aa3425a76bf66b40000d521fe071c87b463a006d. Klaim DEMO-12 Phase 1 memang tersedia pada c7080af dan masih ada di HEAD, tetapi kondisi modul lain dapat berubah setelah commit tersebut.</w:t>
      </w:r>
    </w:p>
    <w:p>
      <w:r>
        <w:rPr>
          <w:b/>
        </w:rPr>
        <w:t xml:space="preserve">Revisi wajib: </w:t>
      </w:r>
      <w:r>
        <w:t>Pertahankan c7080af hanya dengan label Historical Referenced Baseline. Tambahkan Current Verification Baseline dan tanggal pemeriksaan. Semua implementation status harus diverifikasi terhadap baseline yang sama agar matrix tidak mencampur snapshot kode.</w:t>
      </w:r>
    </w:p>
    <w:p>
      <w:r>
        <w:rPr>
          <w:b/>
          <w:color w:val="991B1B"/>
          <w:sz w:val="22"/>
        </w:rPr>
        <w:t>6. [TINGGI] Endpoint DEMO-12 ditulis PUT, sedangkan route aktif adalah PATCH</w:t>
      </w:r>
    </w:p>
    <w:p>
      <w:r>
        <w:rPr>
          <w:b/>
        </w:rPr>
        <w:t xml:space="preserve">Temuan: </w:t>
      </w:r>
      <w:r>
        <w:t>Hard lock Project.clientId benar-benar tersedia dan mengembalikan HTTP 409 dengan error CLIENT_ATTRIBUTION_LOCKED. Namun route aktif adalah PATCH /projects/:id, bukan PUT. Regression test untuk immutable client attribution juga tersedia.</w:t>
      </w:r>
    </w:p>
    <w:p>
      <w:r>
        <w:rPr>
          <w:b/>
        </w:rPr>
        <w:t xml:space="preserve">Revisi wajib: </w:t>
      </w:r>
      <w:r>
        <w:t>Ganti kontrak PUT menjadi PATCH pada keputusan, acceptance criteria, dan traceability. Pertahankan keputusan bahwa Project.clientId dikunci, identical clientId diterima untuk compatibility, dan Client.name tetap editable.</w:t>
      </w:r>
    </w:p>
    <w:p>
      <w:r>
        <w:rPr>
          <w:b/>
          <w:color w:val="991B1B"/>
          <w:sz w:val="22"/>
        </w:rPr>
        <w:t>7. [TINGGI] Contoh kode referensi mengandung sintaks tidak valid</w:t>
      </w:r>
    </w:p>
    <w:p>
      <w:r>
        <w:rPr>
          <w:b/>
        </w:rPr>
        <w:t xml:space="preserve">Temuan: </w:t>
      </w:r>
      <w:r>
        <w:t>Beberapa template literal hilang dan raw SQL ditulis sebagai await tx.$executeRawSELECT ..., return LEAD-${...}, serta scopeSummary: Auto-synced ... tanpa delimiters. Walaupun diberi label optional/reference, contoh tersebut tidak dapat dikompilasi atau disalin dengan aman.</w:t>
      </w:r>
    </w:p>
    <w:p>
      <w:r>
        <w:rPr>
          <w:b/>
        </w:rPr>
        <w:t xml:space="preserve">Revisi wajib: </w:t>
      </w:r>
      <w:r>
        <w:t>Perbaiki seluruh fenced code blocks menggunakan syntax highlighting yang benar. Gunakan tagged template Prisma $executeRaw`SELECT ...`, backtick pada Lead ID dan scopeSummary, lalu lakukan parse/typecheck terhadap seluruh contoh TypeScript dan validasi Prisma schema contoh.</w:t>
      </w:r>
    </w:p>
    <w:p>
      <w:r>
        <w:rPr>
          <w:b/>
          <w:color w:val="242E3E"/>
          <w:sz w:val="22"/>
        </w:rPr>
        <w:t>8. [SEDANG] Role target harus konsisten dengan role aktual</w:t>
      </w:r>
    </w:p>
    <w:p>
      <w:r>
        <w:rPr>
          <w:b/>
        </w:rPr>
        <w:t xml:space="preserve">Temuan: </w:t>
      </w:r>
      <w:r>
        <w:t>Source code aktif menggunakan FINANCE, PROJECT_MANAGER, MANAGEMENT, dan SITE_ADMIN; tidak ada FINANCE_LEAD atau DELIVERY_LEAD. FSD sumber DEMO-10 dan DEMO-12 masih memuat FINANCE_LEAD, sedangkan sebagian master document sudah menggunakan FINANCE.</w:t>
      </w:r>
    </w:p>
    <w:p>
      <w:r>
        <w:rPr>
          <w:b/>
        </w:rPr>
        <w:t xml:space="preserve">Revisi wajib: </w:t>
      </w:r>
      <w:r>
        <w:t>Gunakan FINANCE dan PROJECT_MANAGER di seluruh master document, matrix, API authorization, dan model relation. Jika istilah bisnis Finance Lead tetap ditampilkan, nyatakan sebagai display label yang dipetakan ke role FINANCE, bukan enum baru.</w:t>
      </w:r>
    </w:p>
    <w:p>
      <w:r>
        <w:rPr>
          <w:b/>
          <w:color w:val="242E3E"/>
          <w:sz w:val="22"/>
        </w:rPr>
        <w:t>9. [SEDANG] Jumlah keputusan dan pertanyaan tidak konsisten</w:t>
      </w:r>
    </w:p>
    <w:p>
      <w:r>
        <w:rPr>
          <w:b/>
        </w:rPr>
        <w:t xml:space="preserve">Temuan: </w:t>
      </w:r>
      <w:r>
        <w:t>Executive Summary masih menyebut 21 Open Business &amp; Architectural Decisions, sementara dokumen memuat Question 1 sampai 30 dan menambah Decisions 13.x serta 14.x.</w:t>
      </w:r>
    </w:p>
    <w:p>
      <w:r>
        <w:rPr>
          <w:b/>
        </w:rPr>
        <w:t xml:space="preserve">Revisi wajib: </w:t>
      </w:r>
      <w:r>
        <w:t>Gunakan satu angka yang konsisten: 30 clarification questions/decision records atau definisikan secara eksplisit perbedaan antara 21 keputusan awal dan 9 ekstensi. Perbarui executive summary, revision history, dan traceability.</w:t>
      </w:r>
    </w:p>
    <w:p>
      <w:r>
        <w:rPr>
          <w:b/>
          <w:color w:val="242E3E"/>
          <w:sz w:val="22"/>
        </w:rPr>
        <w:t>10. [SEDANG] Materi non-teknis mendominasi technical baseline</w:t>
      </w:r>
    </w:p>
    <w:p>
      <w:r>
        <w:rPr>
          <w:b/>
        </w:rPr>
        <w:t xml:space="preserve">Temuan: </w:t>
      </w:r>
      <w:r>
        <w:t>Document control, revision history, executive summary, Go/No-Go matrix, dan bagian akhir memuat banyak label formal approval, promotion, author/stakeholder sign-off, serta implementation gating. Isi tersebut tidak diperlukan untuk pemeriksaan teknis dan mengaburkan pemisahan antara design decision dan implementation evidence.</w:t>
      </w:r>
    </w:p>
    <w:p>
      <w:r>
        <w:rPr>
          <w:b/>
        </w:rPr>
        <w:t xml:space="preserve">Revisi wajib: </w:t>
      </w:r>
      <w:r>
        <w:t>Hapus materi approval/sign-off dari versi technical review. Pertahankan hanya version, source reference, technical decision status, implementation status, test status, gap, dan required revisions. Revisi ini hanya mengatur cakupan dokumen teknis dan tidak menilai proses persetujuan pihak mana pun.</w:t>
      </w:r>
    </w:p>
    <w:p>
      <w:r>
        <w:br w:type="page"/>
      </w:r>
    </w:p>
    <w:p>
      <w:pPr>
        <w:pStyle w:val="Heading1"/>
      </w:pPr>
      <w:r>
        <w:t>4. Disposisi per DEMO</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Mar>
              <w:top w:w="80" w:type="dxa"/>
              <w:start w:w="90" w:type="dxa"/>
              <w:bottom w:w="80" w:type="dxa"/>
              <w:end w:w="90" w:type="dxa"/>
            </w:tcMar>
            <w:shd w:fill="24303E"/>
          </w:tcPr>
          <w:p>
            <w:r/>
            <w:r>
              <w:rPr>
                <w:b/>
                <w:color w:val="FFFFFF"/>
                <w:sz w:val="15"/>
              </w:rPr>
              <w:t>FSD</w:t>
            </w:r>
          </w:p>
        </w:tc>
        <w:tc>
          <w:tcPr>
            <w:tcW w:type="dxa" w:w="3389"/>
            <w:vAlign w:val="center"/>
            <w:tcMar>
              <w:top w:w="80" w:type="dxa"/>
              <w:start w:w="90" w:type="dxa"/>
              <w:bottom w:w="80" w:type="dxa"/>
              <w:end w:w="90" w:type="dxa"/>
            </w:tcMar>
            <w:shd w:fill="24303E"/>
          </w:tcPr>
          <w:p>
            <w:r/>
            <w:r>
              <w:rPr>
                <w:b/>
                <w:color w:val="FFFFFF"/>
                <w:sz w:val="15"/>
              </w:rPr>
              <w:t>Disposisi teknis</w:t>
            </w:r>
          </w:p>
        </w:tc>
        <w:tc>
          <w:tcPr>
            <w:tcW w:type="dxa" w:w="3389"/>
            <w:vAlign w:val="center"/>
            <w:tcMar>
              <w:top w:w="80" w:type="dxa"/>
              <w:start w:w="90" w:type="dxa"/>
              <w:bottom w:w="80" w:type="dxa"/>
              <w:end w:w="90" w:type="dxa"/>
            </w:tcMar>
            <w:shd w:fill="24303E"/>
          </w:tcPr>
          <w:p>
            <w:r/>
            <w:r>
              <w:rPr>
                <w:b/>
                <w:color w:val="FFFFFF"/>
                <w:sz w:val="15"/>
              </w:rPr>
              <w:t>Catatan</w:t>
            </w:r>
          </w:p>
        </w:tc>
      </w:tr>
      <w:tr>
        <w:tc>
          <w:tcPr>
            <w:tcW w:type="dxa" w:w="3389"/>
            <w:vAlign w:val="center"/>
            <w:tcMar>
              <w:top w:w="80" w:type="dxa"/>
              <w:start w:w="90" w:type="dxa"/>
              <w:bottom w:w="80" w:type="dxa"/>
              <w:end w:w="90" w:type="dxa"/>
            </w:tcMar>
            <w:shd w:fill="FFFFFF"/>
          </w:tcPr>
          <w:p>
            <w:r/>
            <w:r>
              <w:rPr>
                <w:b/>
                <w:sz w:val="15"/>
              </w:rPr>
              <w:t>DEMO-01</w:t>
            </w:r>
          </w:p>
        </w:tc>
        <w:tc>
          <w:tcPr>
            <w:tcW w:type="dxa" w:w="3389"/>
            <w:vAlign w:val="center"/>
            <w:tcMar>
              <w:top w:w="80" w:type="dxa"/>
              <w:start w:w="90" w:type="dxa"/>
              <w:bottom w:w="80" w:type="dxa"/>
              <w:end w:w="90" w:type="dxa"/>
            </w:tcMar>
            <w:shd w:fill="FFFFFF"/>
          </w:tcPr>
          <w:p>
            <w:r/>
            <w:r>
              <w:rPr>
                <w:b/>
                <w:sz w:val="15"/>
              </w:rPr>
              <w:t>TARGET</w:t>
            </w:r>
          </w:p>
        </w:tc>
        <w:tc>
          <w:tcPr>
            <w:tcW w:type="dxa" w:w="3389"/>
            <w:vAlign w:val="center"/>
            <w:tcMar>
              <w:top w:w="80" w:type="dxa"/>
              <w:start w:w="90" w:type="dxa"/>
              <w:bottom w:w="80" w:type="dxa"/>
              <w:end w:w="90" w:type="dxa"/>
            </w:tcMar>
            <w:shd w:fill="FFFFFF"/>
          </w:tcPr>
          <w:p>
            <w:r/>
            <w:r>
              <w:rPr>
                <w:b w:val="0"/>
                <w:sz w:val="15"/>
              </w:rPr>
              <w:t>Model IndustrySector/LeadSector belum ada; requirement dapat dipertahankan.</w:t>
            </w:r>
          </w:p>
        </w:tc>
      </w:tr>
      <w:tr>
        <w:tc>
          <w:tcPr>
            <w:tcW w:type="dxa" w:w="3389"/>
            <w:vAlign w:val="center"/>
            <w:tcMar>
              <w:top w:w="80" w:type="dxa"/>
              <w:start w:w="90" w:type="dxa"/>
              <w:bottom w:w="80" w:type="dxa"/>
              <w:end w:w="90" w:type="dxa"/>
            </w:tcMar>
            <w:shd w:fill="F7F7F8"/>
          </w:tcPr>
          <w:p>
            <w:r/>
            <w:r>
              <w:rPr>
                <w:b/>
                <w:sz w:val="15"/>
              </w:rPr>
              <w:t>DEMO-02</w:t>
            </w:r>
          </w:p>
        </w:tc>
        <w:tc>
          <w:tcPr>
            <w:tcW w:type="dxa" w:w="3389"/>
            <w:vAlign w:val="center"/>
            <w:tcMar>
              <w:top w:w="80" w:type="dxa"/>
              <w:start w:w="90" w:type="dxa"/>
              <w:bottom w:w="80" w:type="dxa"/>
              <w:end w:w="90" w:type="dxa"/>
            </w:tcMar>
            <w:shd w:fill="F7F7F8"/>
          </w:tcPr>
          <w:p>
            <w:r/>
            <w:r>
              <w:rPr>
                <w:b/>
                <w:sz w:val="15"/>
              </w:rPr>
              <w:t>TARGET</w:t>
            </w:r>
          </w:p>
        </w:tc>
        <w:tc>
          <w:tcPr>
            <w:tcW w:type="dxa" w:w="3389"/>
            <w:vAlign w:val="center"/>
            <w:tcMar>
              <w:top w:w="80" w:type="dxa"/>
              <w:start w:w="90" w:type="dxa"/>
              <w:bottom w:w="80" w:type="dxa"/>
              <w:end w:w="90" w:type="dxa"/>
            </w:tcMar>
            <w:shd w:fill="F7F7F8"/>
          </w:tcPr>
          <w:p>
            <w:r/>
            <w:r>
              <w:rPr>
                <w:b w:val="0"/>
                <w:sz w:val="15"/>
              </w:rPr>
              <w:t>OfferingCatalog/LeadOffering dan conversion mapping belum ada.</w:t>
            </w:r>
          </w:p>
        </w:tc>
      </w:tr>
      <w:tr>
        <w:tc>
          <w:tcPr>
            <w:tcW w:type="dxa" w:w="3389"/>
            <w:vAlign w:val="center"/>
            <w:tcMar>
              <w:top w:w="80" w:type="dxa"/>
              <w:start w:w="90" w:type="dxa"/>
              <w:bottom w:w="80" w:type="dxa"/>
              <w:end w:w="90" w:type="dxa"/>
            </w:tcMar>
            <w:shd w:fill="FFFFFF"/>
          </w:tcPr>
          <w:p>
            <w:r/>
            <w:r>
              <w:rPr>
                <w:b/>
                <w:sz w:val="15"/>
              </w:rPr>
              <w:t>DEMO-03</w:t>
            </w:r>
          </w:p>
        </w:tc>
        <w:tc>
          <w:tcPr>
            <w:tcW w:type="dxa" w:w="3389"/>
            <w:vAlign w:val="center"/>
            <w:tcMar>
              <w:top w:w="80" w:type="dxa"/>
              <w:start w:w="90" w:type="dxa"/>
              <w:bottom w:w="80" w:type="dxa"/>
              <w:end w:w="90" w:type="dxa"/>
            </w:tcMar>
            <w:shd w:fill="FFFFFF"/>
          </w:tcPr>
          <w:p>
            <w:r/>
            <w:r>
              <w:rPr>
                <w:b/>
                <w:sz w:val="15"/>
              </w:rPr>
              <w:t>TARGET / PARSIAL DASAR</w:t>
            </w:r>
          </w:p>
        </w:tc>
        <w:tc>
          <w:tcPr>
            <w:tcW w:type="dxa" w:w="3389"/>
            <w:vAlign w:val="center"/>
            <w:tcMar>
              <w:top w:w="80" w:type="dxa"/>
              <w:start w:w="90" w:type="dxa"/>
              <w:bottom w:w="80" w:type="dxa"/>
              <w:end w:w="90" w:type="dxa"/>
            </w:tcMar>
            <w:shd w:fill="FFFFFF"/>
          </w:tcPr>
          <w:p>
            <w:r/>
            <w:r>
              <w:rPr>
                <w:b w:val="0"/>
                <w:sz w:val="15"/>
              </w:rPr>
              <w:t>Scalar contact ada; normalized ClientContact snapshot belum terbukti lengkap.</w:t>
            </w:r>
          </w:p>
        </w:tc>
      </w:tr>
      <w:tr>
        <w:tc>
          <w:tcPr>
            <w:tcW w:type="dxa" w:w="3389"/>
            <w:vAlign w:val="center"/>
            <w:tcMar>
              <w:top w:w="80" w:type="dxa"/>
              <w:start w:w="90" w:type="dxa"/>
              <w:bottom w:w="80" w:type="dxa"/>
              <w:end w:w="90" w:type="dxa"/>
            </w:tcMar>
            <w:shd w:fill="F7F7F8"/>
          </w:tcPr>
          <w:p>
            <w:r/>
            <w:r>
              <w:rPr>
                <w:b/>
                <w:sz w:val="15"/>
              </w:rPr>
              <w:t>DEMO-04</w:t>
            </w:r>
          </w:p>
        </w:tc>
        <w:tc>
          <w:tcPr>
            <w:tcW w:type="dxa" w:w="3389"/>
            <w:vAlign w:val="center"/>
            <w:tcMar>
              <w:top w:w="80" w:type="dxa"/>
              <w:start w:w="90" w:type="dxa"/>
              <w:bottom w:w="80" w:type="dxa"/>
              <w:end w:w="90" w:type="dxa"/>
            </w:tcMar>
            <w:shd w:fill="F7F7F8"/>
          </w:tcPr>
          <w:p>
            <w:r/>
            <w:r>
              <w:rPr>
                <w:b/>
                <w:sz w:val="15"/>
              </w:rPr>
              <w:t>PARSIAL</w:t>
            </w:r>
          </w:p>
        </w:tc>
        <w:tc>
          <w:tcPr>
            <w:tcW w:type="dxa" w:w="3389"/>
            <w:vAlign w:val="center"/>
            <w:tcMar>
              <w:top w:w="80" w:type="dxa"/>
              <w:start w:w="90" w:type="dxa"/>
              <w:bottom w:w="80" w:type="dxa"/>
              <w:end w:w="90" w:type="dxa"/>
            </w:tcMar>
            <w:shd w:fill="F7F7F8"/>
          </w:tcPr>
          <w:p>
            <w:r/>
            <w:r>
              <w:rPr>
                <w:b w:val="0"/>
                <w:sz w:val="15"/>
              </w:rPr>
              <w:t>BusinessUnit infrastructure ada; Lead primary/supporting BU dan routing target belum lengkap.</w:t>
            </w:r>
          </w:p>
        </w:tc>
      </w:tr>
      <w:tr>
        <w:tc>
          <w:tcPr>
            <w:tcW w:type="dxa" w:w="3389"/>
            <w:vAlign w:val="center"/>
            <w:tcMar>
              <w:top w:w="80" w:type="dxa"/>
              <w:start w:w="90" w:type="dxa"/>
              <w:bottom w:w="80" w:type="dxa"/>
              <w:end w:w="90" w:type="dxa"/>
            </w:tcMar>
            <w:shd w:fill="FFFFFF"/>
          </w:tcPr>
          <w:p>
            <w:r/>
            <w:r>
              <w:rPr>
                <w:b/>
                <w:sz w:val="15"/>
              </w:rPr>
              <w:t>DEMO-05</w:t>
            </w:r>
          </w:p>
        </w:tc>
        <w:tc>
          <w:tcPr>
            <w:tcW w:type="dxa" w:w="3389"/>
            <w:vAlign w:val="center"/>
            <w:tcMar>
              <w:top w:w="80" w:type="dxa"/>
              <w:start w:w="90" w:type="dxa"/>
              <w:bottom w:w="80" w:type="dxa"/>
              <w:end w:w="90" w:type="dxa"/>
            </w:tcMar>
            <w:shd w:fill="FFFFFF"/>
          </w:tcPr>
          <w:p>
            <w:r/>
            <w:r>
              <w:rPr>
                <w:b/>
                <w:sz w:val="15"/>
              </w:rPr>
              <w:t>TARGET</w:t>
            </w:r>
          </w:p>
        </w:tc>
        <w:tc>
          <w:tcPr>
            <w:tcW w:type="dxa" w:w="3389"/>
            <w:vAlign w:val="center"/>
            <w:tcMar>
              <w:top w:w="80" w:type="dxa"/>
              <w:start w:w="90" w:type="dxa"/>
              <w:bottom w:w="80" w:type="dxa"/>
              <w:end w:w="90" w:type="dxa"/>
            </w:tcMar>
            <w:shd w:fill="FFFFFF"/>
          </w:tcPr>
          <w:p>
            <w:r/>
            <w:r>
              <w:rPr>
                <w:b w:val="0"/>
                <w:sz w:val="15"/>
              </w:rPr>
              <w:t>LeadType dan parentProject lineage belum ada.</w:t>
            </w:r>
          </w:p>
        </w:tc>
      </w:tr>
      <w:tr>
        <w:tc>
          <w:tcPr>
            <w:tcW w:type="dxa" w:w="3389"/>
            <w:vAlign w:val="center"/>
            <w:tcMar>
              <w:top w:w="80" w:type="dxa"/>
              <w:start w:w="90" w:type="dxa"/>
              <w:bottom w:w="80" w:type="dxa"/>
              <w:end w:w="90" w:type="dxa"/>
            </w:tcMar>
            <w:shd w:fill="F7F7F8"/>
          </w:tcPr>
          <w:p>
            <w:r/>
            <w:r>
              <w:rPr>
                <w:b/>
                <w:sz w:val="15"/>
              </w:rPr>
              <w:t>DEMO-06</w:t>
            </w:r>
          </w:p>
        </w:tc>
        <w:tc>
          <w:tcPr>
            <w:tcW w:type="dxa" w:w="3389"/>
            <w:vAlign w:val="center"/>
            <w:tcMar>
              <w:top w:w="80" w:type="dxa"/>
              <w:start w:w="90" w:type="dxa"/>
              <w:bottom w:w="80" w:type="dxa"/>
              <w:end w:w="90" w:type="dxa"/>
            </w:tcMar>
            <w:shd w:fill="F7F7F8"/>
          </w:tcPr>
          <w:p>
            <w:r/>
            <w:r>
              <w:rPr>
                <w:b/>
                <w:sz w:val="15"/>
              </w:rPr>
              <w:t>TARGET</w:t>
            </w:r>
          </w:p>
        </w:tc>
        <w:tc>
          <w:tcPr>
            <w:tcW w:type="dxa" w:w="3389"/>
            <w:vAlign w:val="center"/>
            <w:tcMar>
              <w:top w:w="80" w:type="dxa"/>
              <w:start w:w="90" w:type="dxa"/>
              <w:bottom w:w="80" w:type="dxa"/>
              <w:end w:w="90" w:type="dxa"/>
            </w:tcMar>
            <w:shd w:fill="F7F7F8"/>
          </w:tcPr>
          <w:p>
            <w:r/>
            <w:r>
              <w:rPr>
                <w:b w:val="0"/>
                <w:sz w:val="15"/>
              </w:rPr>
              <w:t>Atomic Lead numbering/preview belum ada.</w:t>
            </w:r>
          </w:p>
        </w:tc>
      </w:tr>
      <w:tr>
        <w:tc>
          <w:tcPr>
            <w:tcW w:type="dxa" w:w="3389"/>
            <w:vAlign w:val="center"/>
            <w:tcMar>
              <w:top w:w="80" w:type="dxa"/>
              <w:start w:w="90" w:type="dxa"/>
              <w:bottom w:w="80" w:type="dxa"/>
              <w:end w:w="90" w:type="dxa"/>
            </w:tcMar>
            <w:shd w:fill="FFFFFF"/>
          </w:tcPr>
          <w:p>
            <w:r/>
            <w:r>
              <w:rPr>
                <w:b/>
                <w:sz w:val="15"/>
              </w:rPr>
              <w:t>DEMO-07</w:t>
            </w:r>
          </w:p>
        </w:tc>
        <w:tc>
          <w:tcPr>
            <w:tcW w:type="dxa" w:w="3389"/>
            <w:vAlign w:val="center"/>
            <w:tcMar>
              <w:top w:w="80" w:type="dxa"/>
              <w:start w:w="90" w:type="dxa"/>
              <w:bottom w:w="80" w:type="dxa"/>
              <w:end w:w="90" w:type="dxa"/>
            </w:tcMar>
            <w:shd w:fill="FFFFFF"/>
          </w:tcPr>
          <w:p>
            <w:r/>
            <w:r>
              <w:rPr>
                <w:b/>
                <w:sz w:val="15"/>
              </w:rPr>
              <w:t>PARSIAL</w:t>
            </w:r>
          </w:p>
        </w:tc>
        <w:tc>
          <w:tcPr>
            <w:tcW w:type="dxa" w:w="3389"/>
            <w:vAlign w:val="center"/>
            <w:tcMar>
              <w:top w:w="80" w:type="dxa"/>
              <w:start w:w="90" w:type="dxa"/>
              <w:bottom w:w="80" w:type="dxa"/>
              <w:end w:w="90" w:type="dxa"/>
            </w:tcMar>
            <w:shd w:fill="FFFFFF"/>
          </w:tcPr>
          <w:p>
            <w:r/>
            <w:r>
              <w:rPr>
                <w:b w:val="0"/>
                <w:sz w:val="15"/>
              </w:rPr>
              <w:t>Basic one-way Pipedrive import ada; product mapping/quarantine belum ada.</w:t>
            </w:r>
          </w:p>
        </w:tc>
      </w:tr>
      <w:tr>
        <w:tc>
          <w:tcPr>
            <w:tcW w:type="dxa" w:w="3389"/>
            <w:vAlign w:val="center"/>
            <w:tcMar>
              <w:top w:w="80" w:type="dxa"/>
              <w:start w:w="90" w:type="dxa"/>
              <w:bottom w:w="80" w:type="dxa"/>
              <w:end w:w="90" w:type="dxa"/>
            </w:tcMar>
            <w:shd w:fill="F7F7F8"/>
          </w:tcPr>
          <w:p>
            <w:r/>
            <w:r>
              <w:rPr>
                <w:b/>
                <w:sz w:val="15"/>
              </w:rPr>
              <w:t>DEMO-08</w:t>
            </w:r>
          </w:p>
        </w:tc>
        <w:tc>
          <w:tcPr>
            <w:tcW w:type="dxa" w:w="3389"/>
            <w:vAlign w:val="center"/>
            <w:tcMar>
              <w:top w:w="80" w:type="dxa"/>
              <w:start w:w="90" w:type="dxa"/>
              <w:bottom w:w="80" w:type="dxa"/>
              <w:end w:w="90" w:type="dxa"/>
            </w:tcMar>
            <w:shd w:fill="F7F7F8"/>
          </w:tcPr>
          <w:p>
            <w:r/>
            <w:r>
              <w:rPr>
                <w:b/>
                <w:sz w:val="15"/>
              </w:rPr>
              <w:t>PARSIAL + KONFLIK</w:t>
            </w:r>
          </w:p>
        </w:tc>
        <w:tc>
          <w:tcPr>
            <w:tcW w:type="dxa" w:w="3389"/>
            <w:vAlign w:val="center"/>
            <w:tcMar>
              <w:top w:w="80" w:type="dxa"/>
              <w:start w:w="90" w:type="dxa"/>
              <w:bottom w:w="80" w:type="dxa"/>
              <w:end w:w="90" w:type="dxa"/>
            </w:tcMar>
            <w:shd w:fill="F7F7F8"/>
          </w:tcPr>
          <w:p>
            <w:r/>
            <w:r>
              <w:rPr>
                <w:b w:val="0"/>
                <w:sz w:val="15"/>
              </w:rPr>
              <w:t>Stage enum dan probability field ada; policy default tidak konsisten dan override belum audited.</w:t>
            </w:r>
          </w:p>
        </w:tc>
      </w:tr>
      <w:tr>
        <w:tc>
          <w:tcPr>
            <w:tcW w:type="dxa" w:w="3389"/>
            <w:vAlign w:val="center"/>
            <w:tcMar>
              <w:top w:w="80" w:type="dxa"/>
              <w:start w:w="90" w:type="dxa"/>
              <w:bottom w:w="80" w:type="dxa"/>
              <w:end w:w="90" w:type="dxa"/>
            </w:tcMar>
            <w:shd w:fill="FFFFFF"/>
          </w:tcPr>
          <w:p>
            <w:r/>
            <w:r>
              <w:rPr>
                <w:b/>
                <w:sz w:val="15"/>
              </w:rPr>
              <w:t>DEMO-09</w:t>
            </w:r>
          </w:p>
        </w:tc>
        <w:tc>
          <w:tcPr>
            <w:tcW w:type="dxa" w:w="3389"/>
            <w:vAlign w:val="center"/>
            <w:tcMar>
              <w:top w:w="80" w:type="dxa"/>
              <w:start w:w="90" w:type="dxa"/>
              <w:bottom w:w="80" w:type="dxa"/>
              <w:end w:w="90" w:type="dxa"/>
            </w:tcMar>
            <w:shd w:fill="FFFFFF"/>
          </w:tcPr>
          <w:p>
            <w:r/>
            <w:r>
              <w:rPr>
                <w:b/>
                <w:sz w:val="15"/>
              </w:rPr>
              <w:t>TARGET</w:t>
            </w:r>
          </w:p>
        </w:tc>
        <w:tc>
          <w:tcPr>
            <w:tcW w:type="dxa" w:w="3389"/>
            <w:vAlign w:val="center"/>
            <w:tcMar>
              <w:top w:w="80" w:type="dxa"/>
              <w:start w:w="90" w:type="dxa"/>
              <w:bottom w:w="80" w:type="dxa"/>
              <w:end w:w="90" w:type="dxa"/>
            </w:tcMar>
            <w:shd w:fill="FFFFFF"/>
          </w:tcPr>
          <w:p>
            <w:r/>
            <w:r>
              <w:rPr>
                <w:b w:val="0"/>
                <w:sz w:val="15"/>
              </w:rPr>
              <w:t>ProjectKind PRESALES tersedia, tetapi spawning/CAC workflow belum terbukti.</w:t>
            </w:r>
          </w:p>
        </w:tc>
      </w:tr>
      <w:tr>
        <w:tc>
          <w:tcPr>
            <w:tcW w:type="dxa" w:w="3389"/>
            <w:vAlign w:val="center"/>
            <w:tcMar>
              <w:top w:w="80" w:type="dxa"/>
              <w:start w:w="90" w:type="dxa"/>
              <w:bottom w:w="80" w:type="dxa"/>
              <w:end w:w="90" w:type="dxa"/>
            </w:tcMar>
            <w:shd w:fill="F7F7F8"/>
          </w:tcPr>
          <w:p>
            <w:r/>
            <w:r>
              <w:rPr>
                <w:b/>
                <w:sz w:val="15"/>
              </w:rPr>
              <w:t>DEMO-10</w:t>
            </w:r>
          </w:p>
        </w:tc>
        <w:tc>
          <w:tcPr>
            <w:tcW w:type="dxa" w:w="3389"/>
            <w:vAlign w:val="center"/>
            <w:tcMar>
              <w:top w:w="80" w:type="dxa"/>
              <w:start w:w="90" w:type="dxa"/>
              <w:bottom w:w="80" w:type="dxa"/>
              <w:end w:w="90" w:type="dxa"/>
            </w:tcMar>
            <w:shd w:fill="F7F7F8"/>
          </w:tcPr>
          <w:p>
            <w:r/>
            <w:r>
              <w:rPr>
                <w:b/>
                <w:sz w:val="15"/>
              </w:rPr>
              <w:t>TARGET</w:t>
            </w:r>
          </w:p>
        </w:tc>
        <w:tc>
          <w:tcPr>
            <w:tcW w:type="dxa" w:w="3389"/>
            <w:vAlign w:val="center"/>
            <w:tcMar>
              <w:top w:w="80" w:type="dxa"/>
              <w:start w:w="90" w:type="dxa"/>
              <w:bottom w:w="80" w:type="dxa"/>
              <w:end w:w="90" w:type="dxa"/>
            </w:tcMar>
            <w:shd w:fill="F7F7F8"/>
          </w:tcPr>
          <w:p>
            <w:r/>
            <w:r>
              <w:rPr>
                <w:b w:val="0"/>
                <w:sz w:val="15"/>
              </w:rPr>
              <w:t>CommercialBudgetRevision dan approval gate belum ada.</w:t>
            </w:r>
          </w:p>
        </w:tc>
      </w:tr>
      <w:tr>
        <w:tc>
          <w:tcPr>
            <w:tcW w:type="dxa" w:w="3389"/>
            <w:vAlign w:val="center"/>
            <w:tcMar>
              <w:top w:w="80" w:type="dxa"/>
              <w:start w:w="90" w:type="dxa"/>
              <w:bottom w:w="80" w:type="dxa"/>
              <w:end w:w="90" w:type="dxa"/>
            </w:tcMar>
            <w:shd w:fill="FFFFFF"/>
          </w:tcPr>
          <w:p>
            <w:r/>
            <w:r>
              <w:rPr>
                <w:b/>
                <w:sz w:val="15"/>
              </w:rPr>
              <w:t>DEMO-11</w:t>
            </w:r>
          </w:p>
        </w:tc>
        <w:tc>
          <w:tcPr>
            <w:tcW w:type="dxa" w:w="3389"/>
            <w:vAlign w:val="center"/>
            <w:tcMar>
              <w:top w:w="80" w:type="dxa"/>
              <w:start w:w="90" w:type="dxa"/>
              <w:bottom w:w="80" w:type="dxa"/>
              <w:end w:w="90" w:type="dxa"/>
            </w:tcMar>
            <w:shd w:fill="FFFFFF"/>
          </w:tcPr>
          <w:p>
            <w:r/>
            <w:r>
              <w:rPr>
                <w:b/>
                <w:sz w:val="15"/>
              </w:rPr>
              <w:t>PARSIAL BERISIKO</w:t>
            </w:r>
          </w:p>
        </w:tc>
        <w:tc>
          <w:tcPr>
            <w:tcW w:type="dxa" w:w="3389"/>
            <w:vAlign w:val="center"/>
            <w:tcMar>
              <w:top w:w="80" w:type="dxa"/>
              <w:start w:w="90" w:type="dxa"/>
              <w:bottom w:w="80" w:type="dxa"/>
              <w:end w:w="90" w:type="dxa"/>
            </w:tcMar>
            <w:shd w:fill="FFFFFF"/>
          </w:tcPr>
          <w:p>
            <w:r/>
            <w:r>
              <w:rPr>
                <w:b w:val="0"/>
                <w:sz w:val="15"/>
              </w:rPr>
              <w:t>Core baseline dan initial activation baseline ada; belum atomic, Decimal, commercial-linked, atau partial-indexed.</w:t>
            </w:r>
          </w:p>
        </w:tc>
      </w:tr>
      <w:tr>
        <w:tc>
          <w:tcPr>
            <w:tcW w:type="dxa" w:w="3389"/>
            <w:vAlign w:val="center"/>
            <w:tcMar>
              <w:top w:w="80" w:type="dxa"/>
              <w:start w:w="90" w:type="dxa"/>
              <w:bottom w:w="80" w:type="dxa"/>
              <w:end w:w="90" w:type="dxa"/>
            </w:tcMar>
            <w:shd w:fill="ECFDF3"/>
          </w:tcPr>
          <w:p>
            <w:r/>
            <w:r>
              <w:rPr>
                <w:b/>
                <w:sz w:val="15"/>
              </w:rPr>
              <w:t>DEMO-12 P1</w:t>
            </w:r>
          </w:p>
        </w:tc>
        <w:tc>
          <w:tcPr>
            <w:tcW w:type="dxa" w:w="3389"/>
            <w:vAlign w:val="center"/>
            <w:tcMar>
              <w:top w:w="80" w:type="dxa"/>
              <w:start w:w="90" w:type="dxa"/>
              <w:bottom w:w="80" w:type="dxa"/>
              <w:end w:w="90" w:type="dxa"/>
            </w:tcMar>
            <w:shd w:fill="ECFDF3"/>
          </w:tcPr>
          <w:p>
            <w:r/>
            <w:r>
              <w:rPr>
                <w:b/>
                <w:sz w:val="15"/>
              </w:rPr>
              <w:t>IMPLEMENTED + TESTED</w:t>
            </w:r>
          </w:p>
        </w:tc>
        <w:tc>
          <w:tcPr>
            <w:tcW w:type="dxa" w:w="3389"/>
            <w:vAlign w:val="center"/>
            <w:tcMar>
              <w:top w:w="80" w:type="dxa"/>
              <w:start w:w="90" w:type="dxa"/>
              <w:bottom w:w="80" w:type="dxa"/>
              <w:end w:w="90" w:type="dxa"/>
            </w:tcMar>
            <w:shd w:fill="ECFDF3"/>
          </w:tcPr>
          <w:p>
            <w:r/>
            <w:r>
              <w:rPr>
                <w:b w:val="0"/>
                <w:sz w:val="15"/>
              </w:rPr>
              <w:t>Project.clientId lock sesuai; koreksi route menjadi PATCH.</w:t>
            </w:r>
          </w:p>
        </w:tc>
      </w:tr>
      <w:tr>
        <w:tc>
          <w:tcPr>
            <w:tcW w:type="dxa" w:w="3389"/>
            <w:vAlign w:val="center"/>
            <w:tcMar>
              <w:top w:w="80" w:type="dxa"/>
              <w:start w:w="90" w:type="dxa"/>
              <w:bottom w:w="80" w:type="dxa"/>
              <w:end w:w="90" w:type="dxa"/>
            </w:tcMar>
            <w:shd w:fill="FFFFFF"/>
          </w:tcPr>
          <w:p>
            <w:r/>
            <w:r>
              <w:rPr>
                <w:b/>
                <w:sz w:val="15"/>
              </w:rPr>
              <w:t>DEMO-12 P2</w:t>
            </w:r>
          </w:p>
        </w:tc>
        <w:tc>
          <w:tcPr>
            <w:tcW w:type="dxa" w:w="3389"/>
            <w:vAlign w:val="center"/>
            <w:tcMar>
              <w:top w:w="80" w:type="dxa"/>
              <w:start w:w="90" w:type="dxa"/>
              <w:bottom w:w="80" w:type="dxa"/>
              <w:end w:w="90" w:type="dxa"/>
            </w:tcMar>
            <w:shd w:fill="FFFFFF"/>
          </w:tcPr>
          <w:p>
            <w:r/>
            <w:r>
              <w:rPr>
                <w:b/>
                <w:sz w:val="15"/>
              </w:rPr>
              <w:t>TARGET</w:t>
            </w:r>
          </w:p>
        </w:tc>
        <w:tc>
          <w:tcPr>
            <w:tcW w:type="dxa" w:w="3389"/>
            <w:vAlign w:val="center"/>
            <w:tcMar>
              <w:top w:w="80" w:type="dxa"/>
              <w:start w:w="90" w:type="dxa"/>
              <w:bottom w:w="80" w:type="dxa"/>
              <w:end w:w="90" w:type="dxa"/>
            </w:tcMar>
            <w:shd w:fill="FFFFFF"/>
          </w:tcPr>
          <w:p>
            <w:r/>
            <w:r>
              <w:rPr>
                <w:b w:val="0"/>
                <w:sz w:val="15"/>
              </w:rPr>
              <w:t>ClientAttributionCorrection dual approval belum ada.</w:t>
            </w:r>
          </w:p>
        </w:tc>
      </w:tr>
      <w:tr>
        <w:tc>
          <w:tcPr>
            <w:tcW w:type="dxa" w:w="3389"/>
            <w:vAlign w:val="center"/>
            <w:tcMar>
              <w:top w:w="80" w:type="dxa"/>
              <w:start w:w="90" w:type="dxa"/>
              <w:bottom w:w="80" w:type="dxa"/>
              <w:end w:w="90" w:type="dxa"/>
            </w:tcMar>
            <w:shd w:fill="FEE2E2"/>
          </w:tcPr>
          <w:p>
            <w:r/>
            <w:r>
              <w:rPr>
                <w:b/>
                <w:sz w:val="15"/>
              </w:rPr>
              <w:t>DEMO-13</w:t>
            </w:r>
          </w:p>
        </w:tc>
        <w:tc>
          <w:tcPr>
            <w:tcW w:type="dxa" w:w="3389"/>
            <w:vAlign w:val="center"/>
            <w:tcMar>
              <w:top w:w="80" w:type="dxa"/>
              <w:start w:w="90" w:type="dxa"/>
              <w:bottom w:w="80" w:type="dxa"/>
              <w:end w:w="90" w:type="dxa"/>
            </w:tcMar>
            <w:shd w:fill="FEE2E2"/>
          </w:tcPr>
          <w:p>
            <w:r/>
            <w:r>
              <w:rPr>
                <w:b/>
                <w:sz w:val="15"/>
              </w:rPr>
              <w:t>NOT IMPLEMENTED / CONTRADICTORY</w:t>
            </w:r>
          </w:p>
        </w:tc>
        <w:tc>
          <w:tcPr>
            <w:tcW w:type="dxa" w:w="3389"/>
            <w:vAlign w:val="center"/>
            <w:tcMar>
              <w:top w:w="80" w:type="dxa"/>
              <w:start w:w="90" w:type="dxa"/>
              <w:bottom w:w="80" w:type="dxa"/>
              <w:end w:w="90" w:type="dxa"/>
            </w:tcMar>
            <w:shd w:fill="FEE2E2"/>
          </w:tcPr>
          <w:p>
            <w:r/>
            <w:r>
              <w:rPr>
                <w:b w:val="0"/>
                <w:sz w:val="15"/>
              </w:rPr>
              <w:t>Legacy route masih mengakui PAID sebagai revenue basis.</w:t>
            </w:r>
          </w:p>
        </w:tc>
      </w:tr>
      <w:tr>
        <w:tc>
          <w:tcPr>
            <w:tcW w:type="dxa" w:w="3389"/>
            <w:vAlign w:val="center"/>
            <w:tcMar>
              <w:top w:w="80" w:type="dxa"/>
              <w:start w:w="90" w:type="dxa"/>
              <w:bottom w:w="80" w:type="dxa"/>
              <w:end w:w="90" w:type="dxa"/>
            </w:tcMar>
            <w:shd w:fill="FFFFFF"/>
          </w:tcPr>
          <w:p>
            <w:r/>
            <w:r>
              <w:rPr>
                <w:b/>
                <w:sz w:val="15"/>
              </w:rPr>
              <w:t>DEMO-14</w:t>
            </w:r>
          </w:p>
        </w:tc>
        <w:tc>
          <w:tcPr>
            <w:tcW w:type="dxa" w:w="3389"/>
            <w:vAlign w:val="center"/>
            <w:tcMar>
              <w:top w:w="80" w:type="dxa"/>
              <w:start w:w="90" w:type="dxa"/>
              <w:bottom w:w="80" w:type="dxa"/>
              <w:end w:w="90" w:type="dxa"/>
            </w:tcMar>
            <w:shd w:fill="FFFFFF"/>
          </w:tcPr>
          <w:p>
            <w:r/>
            <w:r>
              <w:rPr>
                <w:b/>
                <w:sz w:val="15"/>
              </w:rPr>
              <w:t>PARSIAL</w:t>
            </w:r>
          </w:p>
        </w:tc>
        <w:tc>
          <w:tcPr>
            <w:tcW w:type="dxa" w:w="3389"/>
            <w:vAlign w:val="center"/>
            <w:tcMar>
              <w:top w:w="80" w:type="dxa"/>
              <w:start w:w="90" w:type="dxa"/>
              <w:bottom w:w="80" w:type="dxa"/>
              <w:end w:w="90" w:type="dxa"/>
            </w:tcMar>
            <w:shd w:fill="FFFFFF"/>
          </w:tcPr>
          <w:p>
            <w:r/>
            <w:r>
              <w:rPr>
                <w:b w:val="0"/>
                <w:sz w:val="15"/>
              </w:rPr>
              <w:t>Existing gate dan sebagian effective-state ada; shared evaluator/422/checklist/atomicity belum ada.</w:t>
            </w:r>
          </w:p>
        </w:tc>
      </w:tr>
    </w:tbl>
    <w:p>
      <w:pPr>
        <w:pStyle w:val="Heading1"/>
      </w:pPr>
      <w:r>
        <w:t>5. Item yang Sudah Benar dan Dapat Dipertahankan</w:t>
      </w:r>
    </w:p>
    <w:p>
      <w:pPr>
        <w:pStyle w:val="ListBullet"/>
        <w:spacing w:after="80"/>
      </w:pPr>
      <w:r>
        <w:t>Pemisahan decision/design status dari implementation dan test status.</w:t>
      </w:r>
    </w:p>
    <w:p>
      <w:pPr>
        <w:pStyle w:val="ListBullet"/>
        <w:spacing w:after="80"/>
      </w:pPr>
      <w:r>
        <w:t>Project.clientId dikunci sementara Client.name tetap editable.</w:t>
      </w:r>
    </w:p>
    <w:p>
      <w:pPr>
        <w:pStyle w:val="ListBullet"/>
        <w:spacing w:after="80"/>
      </w:pPr>
      <w:r>
        <w:t>DEMO-12 Phase 1 dan Phase 2 dipisahkan dengan jelas.</w:t>
      </w:r>
    </w:p>
    <w:p>
      <w:pPr>
        <w:pStyle w:val="ListBullet"/>
        <w:spacing w:after="80"/>
      </w:pPr>
      <w:r>
        <w:t>DEMO-13 memisahkan billing dan revenue recognition timeline.</w:t>
      </w:r>
    </w:p>
    <w:p>
      <w:pPr>
        <w:pStyle w:val="ListBullet"/>
        <w:spacing w:after="80"/>
      </w:pPr>
      <w:r>
        <w:t>DEMO-13 memakai FINANCE dan PROJECT_MANAGER, immutable entries, reversal/replacement, atomic idempotent posting, inferred-history backfill, dan reviewed Xero journal CSV sebagai target.</w:t>
      </w:r>
    </w:p>
    <w:p>
      <w:pPr>
        <w:pStyle w:val="ListBullet"/>
        <w:spacing w:after="80"/>
      </w:pPr>
      <w:r>
        <w:t>DEMO-14 memperluas existing gate, memakai effective state, tidak membuat ProjectContractLine baru, menggunakan pmId, serta menargetkan HTTP 422 yang backward-compatible.</w:t>
      </w:r>
    </w:p>
    <w:p>
      <w:pPr>
        <w:pStyle w:val="ListBullet"/>
        <w:spacing w:after="80"/>
      </w:pPr>
      <w:r>
        <w:t>DEMO-11 menggunakan existing ProjectBaseline sebagai basis target, bukan membuat baseline engine yang terpisah.</w:t>
      </w:r>
    </w:p>
    <w:p>
      <w:pPr>
        <w:pStyle w:val="Heading1"/>
      </w:pPr>
      <w:r>
        <w:t>6. Kriteria Penerimaan Dokumen Revisi</w:t>
      </w:r>
    </w:p>
    <w:p>
      <w:pPr>
        <w:pStyle w:val="ListNumber"/>
      </w:pPr>
      <w:r>
        <w:t>Semua referensi implementasi diverifikasi terhadap satu commit baseline yang dinyatakan eksplisit.</w:t>
      </w:r>
    </w:p>
    <w:p>
      <w:pPr>
        <w:pStyle w:val="ListNumber"/>
      </w:pPr>
      <w:r>
        <w:t>DEMO-08 hanya memiliki satu stage/probability table yang konsisten di FSD, master, code target, dan tests.</w:t>
      </w:r>
    </w:p>
    <w:p>
      <w:pPr>
        <w:pStyle w:val="ListNumber"/>
      </w:pPr>
      <w:r>
        <w:t>DEMO-10/12/13/14 hanya memakai role dan field aktual: FINANCE, PROJECT_MANAGER, MANAGEMENT, SITE_ADMIN, dan pmId.</w:t>
      </w:r>
    </w:p>
    <w:p>
      <w:pPr>
        <w:pStyle w:val="ListNumber"/>
      </w:pPr>
      <w:r>
        <w:t>DEMO-11 membedakan core existing dari target Decimal, partial unique index, commercial link, dan atomic transaction.</w:t>
      </w:r>
    </w:p>
    <w:p>
      <w:pPr>
        <w:pStyle w:val="ListNumber"/>
      </w:pPr>
      <w:r>
        <w:t>DEMO-13 menyatakan current PAID-based recognition sebagai legacy contradiction yang harus dihentikan.</w:t>
      </w:r>
    </w:p>
    <w:p>
      <w:pPr>
        <w:pStyle w:val="ListNumber"/>
      </w:pPr>
      <w:r>
        <w:t>DEMO-14 menyatakan existing partial behavior secara akurat dan memberi label target pada readiness endpoint, shared evaluator, 422 checklist, T&amp;M rates, commercial checks, primary BU, dan atomicity.</w:t>
      </w:r>
    </w:p>
    <w:p>
      <w:pPr>
        <w:pStyle w:val="ListNumber"/>
      </w:pPr>
      <w:r>
        <w:t>Seluruh contoh TypeScript, SQL, JSON, dan Prisma valid secara sintaksis.</w:t>
      </w:r>
    </w:p>
    <w:p>
      <w:pPr>
        <w:pStyle w:val="ListNumber"/>
      </w:pPr>
      <w:r>
        <w:t>Technical review tidak memuat materi stakeholder approval/ratification/sign-off.</w:t>
      </w:r>
    </w:p>
    <w:p>
      <w:pPr>
        <w:pStyle w:val="ListNumber"/>
      </w:pPr>
      <w:r>
        <w:t>Traceability matrix menyatakan DEMO-12 P1 implemented/tested dan tidak meng-overclaim DEMO lainnya.</w:t>
      </w:r>
    </w:p>
    <w:p>
      <w:pPr>
        <w:pStyle w:val="Heading1"/>
      </w:pPr>
      <w:r>
        <w:t>7. Kesimpulan</w:t>
      </w:r>
    </w:p>
    <w:p>
      <w:r>
        <w:t>Dokumen v1.01 dapat digunakan sebagai bahan target-design setelah koreksi, tetapi belum layak dikunci sebagai baseline teknis final dalam bentuk sekarang. Revisi paling mendesak adalah menghentikan overclaim pada DEMO-11/14, menandai konflik produksi DEMO-13, menyelesaikan canonical probability DEMO-08, memperbaiki API/role identifiers, dan membersihkan contoh kode yang tidak valid.</w:t>
      </w:r>
    </w:p>
    <w:p>
      <w:r>
        <w:rPr>
          <w:b/>
        </w:rPr>
        <w:t xml:space="preserve">Final technical disposition: </w:t>
      </w:r>
      <w:r>
        <w:t>REVISION REQUIRED — resubmit for technical verification after mandatory corrections are applied.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SecureProfit Hub — 14 FSD Technical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91B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2E3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2E3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