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color w:val="0F766E"/>
          <w:sz w:val="56"/>
          <w:szCs w:val="56"/>
        </w:rPr>
        <w:t xml:space="preserve">SecureProfit Hub</w:t>
      </w:r>
    </w:p>
    <w:p>
      <w:pPr>
        <w:spacing w:after="200"/>
        <w:jc w:val="center"/>
      </w:pPr>
      <w:r>
        <w:rPr>
          <w:rFonts w:ascii="Calibri" w:cs="Calibri" w:eastAsia="Calibri" w:hAnsi="Calibri"/>
          <w:b/>
          <w:bCs/>
          <w:sz w:val="40"/>
          <w:szCs w:val="40"/>
        </w:rPr>
        <w:t xml:space="preserve">Integrations Technical Guide</w:t>
      </w:r>
    </w:p>
    <w:p>
      <w:pPr>
        <w:jc w:val="center"/>
      </w:pPr>
      <w:r>
        <w:rPr>
          <w:rFonts w:ascii="Calibri" w:cs="Calibri" w:eastAsia="Calibri" w:hAnsi="Calibri"/>
          <w:i/>
          <w:iCs/>
          <w:color w:val="64748B"/>
          <w:sz w:val="24"/>
          <w:szCs w:val="24"/>
        </w:rPr>
        <w:t xml:space="preserve">Xero Accounting  •  Pipedrive CRM  •  AI Executive Copilot</w:t>
      </w:r>
    </w:p>
    <w:p>
      <w:pPr>
        <w:spacing w:before="200"/>
        <w:jc w:val="center"/>
      </w:pPr>
      <w:r>
        <w:rPr>
          <w:rFonts w:ascii="Calibri" w:cs="Calibri" w:eastAsia="Calibri" w:hAnsi="Calibri"/>
          <w:color w:val="64748B"/>
          <w:sz w:val="22"/>
          <w:szCs w:val="22"/>
        </w:rPr>
        <w:t xml:space="preserve">How each integration is built, which files implement it, and how to set it up</w:t>
      </w:r>
    </w:p>
    <w:p>
      <w:pPr>
        <w:spacing w:before="300"/>
        <w:jc w:val="center"/>
      </w:pPr>
      <w:r>
        <w:rPr>
          <w:rFonts w:ascii="Calibri" w:cs="Calibri" w:eastAsia="Calibri" w:hAnsi="Calibri"/>
          <w:sz w:val="22"/>
          <w:szCs w:val="22"/>
        </w:rPr>
        <w:t xml:space="preserve">Version 1.0 — 23 July 2026</w:t>
      </w:r>
    </w:p>
    <w:p>
      <w:r>
        <w:br w:type="page"/>
      </w:r>
    </w:p>
    <w:p>
      <w:pPr>
        <w:pStyle w:val="Heading1"/>
        <w:spacing w:after="160" w:before="360"/>
      </w:pPr>
      <w:r>
        <w:rPr>
          <w:rFonts w:ascii="Calibri" w:cs="Calibri" w:eastAsia="Calibri" w:hAnsi="Calibri"/>
          <w:b/>
          <w:bCs/>
          <w:color w:val="0F766E"/>
          <w:sz w:val="36"/>
          <w:szCs w:val="36"/>
        </w:rPr>
        <w:t xml:space="preserve">1. Introduction</w:t>
      </w:r>
    </w:p>
    <w:p>
      <w:pPr>
        <w:spacing w:after="100"/>
      </w:pPr>
      <w:r>
        <w:rPr>
          <w:rFonts w:ascii="Calibri" w:cs="Calibri" w:eastAsia="Calibri" w:hAnsi="Calibri"/>
          <w:sz w:val="22"/>
          <w:szCs w:val="22"/>
        </w:rPr>
        <w:t xml:space="preserve">This guide documents the three external integrations of SecureProfit Hub at implementation level: what each one does, exactly which source files implement it, the environment variables it needs, its API endpoints, database models, runtime flows, error handling, and the setup steps required to make it work in a new environment.</w:t>
      </w:r>
    </w:p>
    <w:p>
      <w:pPr>
        <w:spacing w:after="100"/>
      </w:pPr>
      <w:r>
        <w:rPr>
          <w:rFonts w:ascii="Calibri" w:cs="Calibri" w:eastAsia="Calibri" w:hAnsi="Calibri"/>
          <w:b/>
          <w:bCs/>
          <w:sz w:val="22"/>
          <w:szCs w:val="22"/>
        </w:rPr>
        <w:t xml:space="preserve">Audience: </w:t>
      </w:r>
      <w:r>
        <w:rPr>
          <w:rFonts w:ascii="Calibri" w:cs="Calibri" w:eastAsia="Calibri" w:hAnsi="Calibri"/>
          <w:sz w:val="22"/>
          <w:szCs w:val="22"/>
        </w:rPr>
        <w:t xml:space="preserve">developers and technical administrators. Reader is assumed to know the monorepo layout: </w:t>
      </w:r>
      <w:r>
        <w:rPr>
          <w:rFonts w:ascii="Consolas" w:cs="Consolas" w:eastAsia="Consolas" w:hAnsi="Consolas"/>
          <w:sz w:val="20"/>
          <w:szCs w:val="20"/>
          <w:shd w:fill="F8FAFC" w:color="auto" w:val="clear"/>
        </w:rPr>
        <w:t xml:space="preserve">artifacts/api-server</w:t>
      </w:r>
      <w:r>
        <w:rPr>
          <w:rFonts w:ascii="Calibri" w:cs="Calibri" w:eastAsia="Calibri" w:hAnsi="Calibri"/>
          <w:sz w:val="22"/>
          <w:szCs w:val="22"/>
        </w:rPr>
        <w:t xml:space="preserve"> (Express backend), </w:t>
      </w:r>
      <w:r>
        <w:rPr>
          <w:rFonts w:ascii="Consolas" w:cs="Consolas" w:eastAsia="Consolas" w:hAnsi="Consolas"/>
          <w:sz w:val="20"/>
          <w:szCs w:val="20"/>
          <w:shd w:fill="F8FAFC" w:color="auto" w:val="clear"/>
        </w:rPr>
        <w:t xml:space="preserve">artifacts/web</w:t>
      </w:r>
      <w:r>
        <w:rPr>
          <w:rFonts w:ascii="Calibri" w:cs="Calibri" w:eastAsia="Calibri" w:hAnsi="Calibri"/>
          <w:sz w:val="22"/>
          <w:szCs w:val="22"/>
        </w:rPr>
        <w:t xml:space="preserve"> (React frontend), </w:t>
      </w:r>
      <w:r>
        <w:rPr>
          <w:rFonts w:ascii="Consolas" w:cs="Consolas" w:eastAsia="Consolas" w:hAnsi="Consolas"/>
          <w:sz w:val="20"/>
          <w:szCs w:val="20"/>
          <w:shd w:fill="F8FAFC" w:color="auto" w:val="clear"/>
        </w:rPr>
        <w:t xml:space="preserve">lib/db</w:t>
      </w:r>
      <w:r>
        <w:rPr>
          <w:rFonts w:ascii="Calibri" w:cs="Calibri" w:eastAsia="Calibri" w:hAnsi="Calibri"/>
          <w:sz w:val="22"/>
          <w:szCs w:val="22"/>
        </w:rPr>
        <w:t xml:space="preserve"> (Prisma schema &amp; client), </w:t>
      </w:r>
      <w:r>
        <w:rPr>
          <w:rFonts w:ascii="Consolas" w:cs="Consolas" w:eastAsia="Consolas" w:hAnsi="Consolas"/>
          <w:sz w:val="20"/>
          <w:szCs w:val="20"/>
          <w:shd w:fill="F8FAFC" w:color="auto" w:val="clear"/>
        </w:rPr>
        <w:t xml:space="preserve">lib/api-spec</w:t>
      </w:r>
      <w:r>
        <w:rPr>
          <w:rFonts w:ascii="Calibri" w:cs="Calibri" w:eastAsia="Calibri" w:hAnsi="Calibri"/>
          <w:sz w:val="22"/>
          <w:szCs w:val="22"/>
        </w:rPr>
        <w:t xml:space="preserve"> (OpenAPI contract that generates the React Query hooks and zod schemas).</w:t>
      </w:r>
    </w:p>
    <w:p>
      <w:pPr>
        <w:pStyle w:val="Heading3"/>
        <w:spacing w:after="80" w:before="200"/>
      </w:pPr>
      <w:r>
        <w:rPr>
          <w:rFonts w:ascii="Calibri" w:cs="Calibri" w:eastAsia="Calibri" w:hAnsi="Calibri"/>
          <w:b/>
          <w:bCs/>
          <w:sz w:val="24"/>
          <w:szCs w:val="24"/>
        </w:rPr>
        <w:t xml:space="preserve">Integration summary</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gridCol w:w="100"/>
      </w:tblGrid>
      <w:tr>
        <w:trPr>
          <w:tblHeader/>
        </w:trPr>
        <w:tc>
          <w:tcPr>
            <w:tcW w:type="pct" w:w="20%"/>
            <w:shd w:fill="0F766E" w:color="auto" w:val="clear"/>
            <w:tcMar>
              <w:top w:type="dxa" w:w="60"/>
              <w:left w:type="dxa" w:w="80"/>
              <w:bottom w:type="dxa" w:w="60"/>
              <w:right w:type="dxa" w:w="80"/>
            </w:tcMar>
          </w:tcPr>
          <w:p>
            <w:r>
              <w:rPr>
                <w:rFonts w:ascii="Calibri" w:cs="Calibri" w:eastAsia="Calibri" w:hAnsi="Calibri"/>
                <w:b/>
                <w:bCs/>
                <w:color w:val="FFFFFF"/>
                <w:sz w:val="20"/>
                <w:szCs w:val="20"/>
              </w:rPr>
              <w:t xml:space="preserve">Integration</w:t>
            </w:r>
          </w:p>
        </w:tc>
        <w:tc>
          <w:tcPr>
            <w:tcW w:type="pct" w:w="27%"/>
            <w:shd w:fill="0F766E" w:color="auto" w:val="clear"/>
            <w:tcMar>
              <w:top w:type="dxa" w:w="60"/>
              <w:left w:type="dxa" w:w="80"/>
              <w:bottom w:type="dxa" w:w="60"/>
              <w:right w:type="dxa" w:w="80"/>
            </w:tcMar>
          </w:tcPr>
          <w:p>
            <w:r>
              <w:rPr>
                <w:rFonts w:ascii="Calibri" w:cs="Calibri" w:eastAsia="Calibri" w:hAnsi="Calibri"/>
                <w:b/>
                <w:bCs/>
                <w:color w:val="FFFFFF"/>
                <w:sz w:val="20"/>
                <w:szCs w:val="20"/>
              </w:rPr>
              <w:t xml:space="preserve">Direction</w:t>
            </w:r>
          </w:p>
        </w:tc>
        <w:tc>
          <w:tcPr>
            <w:tcW w:type="pct" w:w="33%"/>
            <w:shd w:fill="0F766E" w:color="auto" w:val="clear"/>
            <w:tcMar>
              <w:top w:type="dxa" w:w="60"/>
              <w:left w:type="dxa" w:w="80"/>
              <w:bottom w:type="dxa" w:w="60"/>
              <w:right w:type="dxa" w:w="80"/>
            </w:tcMar>
          </w:tcPr>
          <w:p>
            <w:r>
              <w:rPr>
                <w:rFonts w:ascii="Calibri" w:cs="Calibri" w:eastAsia="Calibri" w:hAnsi="Calibri"/>
                <w:b/>
                <w:bCs/>
                <w:color w:val="FFFFFF"/>
                <w:sz w:val="20"/>
                <w:szCs w:val="20"/>
              </w:rPr>
              <w:t xml:space="preserve">Purpose</w:t>
            </w:r>
          </w:p>
        </w:tc>
        <w:tc>
          <w:tcPr>
            <w:tcW w:type="pct" w:w="20%"/>
            <w:shd w:fill="0F766E" w:color="auto" w:val="clear"/>
            <w:tcMar>
              <w:top w:type="dxa" w:w="60"/>
              <w:left w:type="dxa" w:w="80"/>
              <w:bottom w:type="dxa" w:w="60"/>
              <w:right w:type="dxa" w:w="80"/>
            </w:tcMar>
          </w:tcPr>
          <w:p>
            <w:r>
              <w:rPr>
                <w:rFonts w:ascii="Calibri" w:cs="Calibri" w:eastAsia="Calibri" w:hAnsi="Calibri"/>
                <w:b/>
                <w:bCs/>
                <w:color w:val="FFFFFF"/>
                <w:sz w:val="20"/>
                <w:szCs w:val="20"/>
              </w:rPr>
              <w:t xml:space="preserve">Auth model</w:t>
            </w:r>
          </w:p>
        </w:tc>
      </w:tr>
      <w:tr>
        <w:tc>
          <w:tcPr>
            <w:tcW w:type="pct" w:w="20%"/>
            <w:shd w:fill="FFFFFF" w:color="auto" w:val="clear"/>
            <w:tcMar>
              <w:top w:type="dxa" w:w="60"/>
              <w:left w:type="dxa" w:w="80"/>
              <w:bottom w:type="dxa" w:w="60"/>
              <w:right w:type="dxa" w:w="80"/>
            </w:tcMar>
          </w:tcPr>
          <w:p>
            <w:r>
              <w:rPr>
                <w:rFonts w:ascii="Calibri" w:cs="Calibri" w:eastAsia="Calibri" w:hAnsi="Calibri"/>
                <w:sz w:val="20"/>
                <w:szCs w:val="20"/>
              </w:rPr>
              <w:t xml:space="preserve">Xero Accounting</w:t>
            </w:r>
          </w:p>
        </w:tc>
        <w:tc>
          <w:tcPr>
            <w:tcW w:type="pct" w:w="27%"/>
            <w:shd w:fill="FFFFFF" w:color="auto" w:val="clear"/>
            <w:tcMar>
              <w:top w:type="dxa" w:w="60"/>
              <w:left w:type="dxa" w:w="80"/>
              <w:bottom w:type="dxa" w:w="60"/>
              <w:right w:type="dxa" w:w="80"/>
            </w:tcMar>
          </w:tcPr>
          <w:p>
            <w:r>
              <w:rPr>
                <w:rFonts w:ascii="Calibri" w:cs="Calibri" w:eastAsia="Calibri" w:hAnsi="Calibri"/>
                <w:sz w:val="20"/>
                <w:szCs w:val="20"/>
              </w:rPr>
              <w:t xml:space="preserve">Two-way (push invoices/contacts, pull payment status)</w:t>
            </w:r>
          </w:p>
        </w:tc>
        <w:tc>
          <w:tcPr>
            <w:tcW w:type="pct" w:w="33%"/>
            <w:shd w:fill="FFFFFF" w:color="auto" w:val="clear"/>
            <w:tcMar>
              <w:top w:type="dxa" w:w="60"/>
              <w:left w:type="dxa" w:w="80"/>
              <w:bottom w:type="dxa" w:w="60"/>
              <w:right w:type="dxa" w:w="80"/>
            </w:tcMar>
          </w:tcPr>
          <w:p>
            <w:r>
              <w:rPr>
                <w:rFonts w:ascii="Calibri" w:cs="Calibri" w:eastAsia="Calibri" w:hAnsi="Calibri"/>
                <w:sz w:val="20"/>
                <w:szCs w:val="20"/>
              </w:rPr>
              <w:t xml:space="preserve">Issue AR invoices from billing milestones; mark them PAID from Xero</w:t>
            </w:r>
          </w:p>
        </w:tc>
        <w:tc>
          <w:tcPr>
            <w:tcW w:type="pct" w:w="20%"/>
            <w:shd w:fill="FFFFFF" w:color="auto" w:val="clear"/>
            <w:tcMar>
              <w:top w:type="dxa" w:w="60"/>
              <w:left w:type="dxa" w:w="80"/>
              <w:bottom w:type="dxa" w:w="60"/>
              <w:right w:type="dxa" w:w="80"/>
            </w:tcMar>
          </w:tcPr>
          <w:p>
            <w:r>
              <w:rPr>
                <w:rFonts w:ascii="Calibri" w:cs="Calibri" w:eastAsia="Calibri" w:hAnsi="Calibri"/>
                <w:sz w:val="20"/>
                <w:szCs w:val="20"/>
              </w:rPr>
              <w:t xml:space="preserve">OAuth2 authorization-code with rotating refresh tokens</w:t>
            </w:r>
          </w:p>
        </w:tc>
      </w:tr>
      <w:tr>
        <w:tc>
          <w:tcPr>
            <w:tcW w:type="pct" w:w="20%"/>
            <w:shd w:fill="F1F5F9" w:color="auto" w:val="clear"/>
            <w:tcMar>
              <w:top w:type="dxa" w:w="60"/>
              <w:left w:type="dxa" w:w="80"/>
              <w:bottom w:type="dxa" w:w="60"/>
              <w:right w:type="dxa" w:w="80"/>
            </w:tcMar>
          </w:tcPr>
          <w:p>
            <w:r>
              <w:rPr>
                <w:rFonts w:ascii="Calibri" w:cs="Calibri" w:eastAsia="Calibri" w:hAnsi="Calibri"/>
                <w:sz w:val="20"/>
                <w:szCs w:val="20"/>
              </w:rPr>
              <w:t xml:space="preserve">Pipedrive CRM</w:t>
            </w:r>
          </w:p>
        </w:tc>
        <w:tc>
          <w:tcPr>
            <w:tcW w:type="pct" w:w="27%"/>
            <w:shd w:fill="F1F5F9" w:color="auto" w:val="clear"/>
            <w:tcMar>
              <w:top w:type="dxa" w:w="60"/>
              <w:left w:type="dxa" w:w="80"/>
              <w:bottom w:type="dxa" w:w="60"/>
              <w:right w:type="dxa" w:w="80"/>
            </w:tcMar>
          </w:tcPr>
          <w:p>
            <w:r>
              <w:rPr>
                <w:rFonts w:ascii="Calibri" w:cs="Calibri" w:eastAsia="Calibri" w:hAnsi="Calibri"/>
                <w:sz w:val="20"/>
                <w:szCs w:val="20"/>
              </w:rPr>
              <w:t xml:space="preserve">One-way (Pipedrive → app) + inbound webhook</w:t>
            </w:r>
          </w:p>
        </w:tc>
        <w:tc>
          <w:tcPr>
            <w:tcW w:type="pct" w:w="33%"/>
            <w:shd w:fill="F1F5F9" w:color="auto" w:val="clear"/>
            <w:tcMar>
              <w:top w:type="dxa" w:w="60"/>
              <w:left w:type="dxa" w:w="80"/>
              <w:bottom w:type="dxa" w:w="60"/>
              <w:right w:type="dxa" w:w="80"/>
            </w:tcMar>
          </w:tcPr>
          <w:p>
            <w:r>
              <w:rPr>
                <w:rFonts w:ascii="Calibri" w:cs="Calibri" w:eastAsia="Calibri" w:hAnsi="Calibri"/>
                <w:sz w:val="20"/>
                <w:szCs w:val="20"/>
              </w:rPr>
              <w:t xml:space="preserve">Import open sales deals as Leads in the Sales Pipeline</w:t>
            </w:r>
          </w:p>
        </w:tc>
        <w:tc>
          <w:tcPr>
            <w:tcW w:type="pct" w:w="20%"/>
            <w:shd w:fill="F1F5F9" w:color="auto" w:val="clear"/>
            <w:tcMar>
              <w:top w:type="dxa" w:w="60"/>
              <w:left w:type="dxa" w:w="80"/>
              <w:bottom w:type="dxa" w:w="60"/>
              <w:right w:type="dxa" w:w="80"/>
            </w:tcMar>
          </w:tcPr>
          <w:p>
            <w:r>
              <w:rPr>
                <w:rFonts w:ascii="Calibri" w:cs="Calibri" w:eastAsia="Calibri" w:hAnsi="Calibri"/>
                <w:sz w:val="20"/>
                <w:szCs w:val="20"/>
              </w:rPr>
              <w:t xml:space="preserve">Personal API token</w:t>
            </w:r>
          </w:p>
        </w:tc>
      </w:tr>
      <w:tr>
        <w:tc>
          <w:tcPr>
            <w:tcW w:type="pct" w:w="20%"/>
            <w:shd w:fill="FFFFFF" w:color="auto" w:val="clear"/>
            <w:tcMar>
              <w:top w:type="dxa" w:w="60"/>
              <w:left w:type="dxa" w:w="80"/>
              <w:bottom w:type="dxa" w:w="60"/>
              <w:right w:type="dxa" w:w="80"/>
            </w:tcMar>
          </w:tcPr>
          <w:p>
            <w:r>
              <w:rPr>
                <w:rFonts w:ascii="Calibri" w:cs="Calibri" w:eastAsia="Calibri" w:hAnsi="Calibri"/>
                <w:sz w:val="20"/>
                <w:szCs w:val="20"/>
              </w:rPr>
              <w:t xml:space="preserve">AI Executive Copilot</w:t>
            </w:r>
          </w:p>
        </w:tc>
        <w:tc>
          <w:tcPr>
            <w:tcW w:type="pct" w:w="27%"/>
            <w:shd w:fill="FFFFFF" w:color="auto" w:val="clear"/>
            <w:tcMar>
              <w:top w:type="dxa" w:w="60"/>
              <w:left w:type="dxa" w:w="80"/>
              <w:bottom w:type="dxa" w:w="60"/>
              <w:right w:type="dxa" w:w="80"/>
            </w:tcMar>
          </w:tcPr>
          <w:p>
            <w:r>
              <w:rPr>
                <w:rFonts w:ascii="Calibri" w:cs="Calibri" w:eastAsia="Calibri" w:hAnsi="Calibri"/>
                <w:sz w:val="20"/>
                <w:szCs w:val="20"/>
              </w:rPr>
              <w:t xml:space="preserve">Outbound only (facts → LLM)</w:t>
            </w:r>
          </w:p>
        </w:tc>
        <w:tc>
          <w:tcPr>
            <w:tcW w:type="pct" w:w="33%"/>
            <w:shd w:fill="FFFFFF" w:color="auto" w:val="clear"/>
            <w:tcMar>
              <w:top w:type="dxa" w:w="60"/>
              <w:left w:type="dxa" w:w="80"/>
              <w:bottom w:type="dxa" w:w="60"/>
              <w:right w:type="dxa" w:w="80"/>
            </w:tcMar>
          </w:tcPr>
          <w:p>
            <w:r>
              <w:rPr>
                <w:rFonts w:ascii="Calibri" w:cs="Calibri" w:eastAsia="Calibri" w:hAnsi="Calibri"/>
                <w:sz w:val="20"/>
                <w:szCs w:val="20"/>
              </w:rPr>
              <w:t xml:space="preserve">AI-narrated executive briefing for Management</w:t>
            </w:r>
          </w:p>
        </w:tc>
        <w:tc>
          <w:tcPr>
            <w:tcW w:type="pct" w:w="20%"/>
            <w:shd w:fill="FFFFFF" w:color="auto" w:val="clear"/>
            <w:tcMar>
              <w:top w:type="dxa" w:w="60"/>
              <w:left w:type="dxa" w:w="80"/>
              <w:bottom w:type="dxa" w:w="60"/>
              <w:right w:type="dxa" w:w="80"/>
            </w:tcMar>
          </w:tcPr>
          <w:p>
            <w:r>
              <w:rPr>
                <w:rFonts w:ascii="Calibri" w:cs="Calibri" w:eastAsia="Calibri" w:hAnsi="Calibri"/>
                <w:sz w:val="20"/>
                <w:szCs w:val="20"/>
              </w:rPr>
              <w:t xml:space="preserve">Replit AI gateway (OpenAI-compatible)</w:t>
            </w:r>
          </w:p>
        </w:tc>
      </w:tr>
    </w:tbl>
    <w:p>
      <w:r>
        <w:t xml:space="preserve"/>
      </w:r>
    </w:p>
    <w:p>
      <w:pPr>
        <w:spacing w:after="100"/>
      </w:pPr>
      <w:r>
        <w:rPr>
          <w:rFonts w:ascii="Calibri" w:cs="Calibri" w:eastAsia="Calibri" w:hAnsi="Calibri"/>
          <w:b/>
          <w:bCs/>
          <w:sz w:val="22"/>
          <w:szCs w:val="22"/>
        </w:rPr>
        <w:t xml:space="preserve">General rule: </w:t>
      </w:r>
      <w:r>
        <w:rPr>
          <w:rFonts w:ascii="Calibri" w:cs="Calibri" w:eastAsia="Calibri" w:hAnsi="Calibri"/>
          <w:sz w:val="22"/>
          <w:szCs w:val="22"/>
        </w:rPr>
        <w:t xml:space="preserve">every integration keeps its core logic in </w:t>
      </w:r>
      <w:r>
        <w:rPr>
          <w:rFonts w:ascii="Consolas" w:cs="Consolas" w:eastAsia="Consolas" w:hAnsi="Consolas"/>
          <w:sz w:val="20"/>
          <w:szCs w:val="20"/>
          <w:shd w:fill="F8FAFC" w:color="auto" w:val="clear"/>
        </w:rPr>
        <w:t xml:space="preserve">artifacts/api-server/src/lib/</w:t>
      </w:r>
      <w:r>
        <w:rPr>
          <w:rFonts w:ascii="Calibri" w:cs="Calibri" w:eastAsia="Calibri" w:hAnsi="Calibri"/>
          <w:sz w:val="22"/>
          <w:szCs w:val="22"/>
        </w:rPr>
        <w:t xml:space="preserve"> and its HTTP endpoints in </w:t>
      </w:r>
      <w:r>
        <w:rPr>
          <w:rFonts w:ascii="Consolas" w:cs="Consolas" w:eastAsia="Consolas" w:hAnsi="Consolas"/>
          <w:sz w:val="20"/>
          <w:szCs w:val="20"/>
          <w:shd w:fill="F8FAFC" w:color="auto" w:val="clear"/>
        </w:rPr>
        <w:t xml:space="preserve">artifacts/api-server/src/routes/</w:t>
      </w:r>
      <w:r>
        <w:rPr>
          <w:rFonts w:ascii="Calibri" w:cs="Calibri" w:eastAsia="Calibri" w:hAnsi="Calibri"/>
          <w:sz w:val="22"/>
          <w:szCs w:val="22"/>
        </w:rPr>
        <w:t xml:space="preserve">. Routers are mounted in </w:t>
      </w:r>
      <w:r>
        <w:rPr>
          <w:rFonts w:ascii="Consolas" w:cs="Consolas" w:eastAsia="Consolas" w:hAnsi="Consolas"/>
          <w:sz w:val="20"/>
          <w:szCs w:val="20"/>
          <w:shd w:fill="F8FAFC" w:color="auto" w:val="clear"/>
        </w:rPr>
        <w:t xml:space="preserve">artifacts/api-server/src/routes/index.ts</w:t>
      </w:r>
      <w:r>
        <w:rPr>
          <w:rFonts w:ascii="Calibri" w:cs="Calibri" w:eastAsia="Calibri" w:hAnsi="Calibri"/>
          <w:sz w:val="22"/>
          <w:szCs w:val="22"/>
        </w:rPr>
        <w:t xml:space="preserve">. Secrets are read from environment variables only — never hardcoded and never logged.</w:t>
      </w:r>
    </w:p>
    <w:p>
      <w:r>
        <w:br w:type="page"/>
      </w:r>
    </w:p>
    <w:p>
      <w:pPr>
        <w:pStyle w:val="Heading1"/>
        <w:spacing w:after="160" w:before="360"/>
      </w:pPr>
      <w:r>
        <w:rPr>
          <w:rFonts w:ascii="Calibri" w:cs="Calibri" w:eastAsia="Calibri" w:hAnsi="Calibri"/>
          <w:b/>
          <w:bCs/>
          <w:color w:val="0F766E"/>
          <w:sz w:val="36"/>
          <w:szCs w:val="36"/>
        </w:rPr>
        <w:t xml:space="preserve">2. Xero Accounting Integration</w:t>
      </w:r>
    </w:p>
    <w:p>
      <w:pPr>
        <w:pStyle w:val="Heading2"/>
        <w:spacing w:after="120" w:before="280"/>
      </w:pPr>
      <w:r>
        <w:rPr>
          <w:rFonts w:ascii="Calibri" w:cs="Calibri" w:eastAsia="Calibri" w:hAnsi="Calibri"/>
          <w:b/>
          <w:bCs/>
          <w:color w:val="0F766E"/>
          <w:sz w:val="28"/>
          <w:szCs w:val="28"/>
        </w:rPr>
        <w:t xml:space="preserve">2.1 What it does</w:t>
      </w:r>
    </w:p>
    <w:p>
      <w:pPr>
        <w:pStyle w:val="ListParagraph"/>
        <w:numPr>
          <w:ilvl w:val="0"/>
          <w:numId w:val="1"/>
        </w:numPr>
        <w:spacing w:after="60"/>
      </w:pPr>
      <w:r>
        <w:rPr>
          <w:rFonts w:ascii="Calibri" w:cs="Calibri" w:eastAsia="Calibri" w:hAnsi="Calibri"/>
          <w:sz w:val="22"/>
          <w:szCs w:val="22"/>
        </w:rPr>
        <w:t xml:space="preserve">Pushes clients to Xero as Contacts and billing milestones as ACCREC (accounts receivable) invoices.</w:t>
      </w:r>
    </w:p>
    <w:p>
      <w:pPr>
        <w:pStyle w:val="ListParagraph"/>
        <w:numPr>
          <w:ilvl w:val="0"/>
          <w:numId w:val="1"/>
        </w:numPr>
        <w:spacing w:after="60"/>
      </w:pPr>
      <w:r>
        <w:rPr>
          <w:rFonts w:ascii="Calibri" w:cs="Calibri" w:eastAsia="Calibri" w:hAnsi="Calibri"/>
          <w:sz w:val="22"/>
          <w:szCs w:val="22"/>
        </w:rPr>
        <w:t xml:space="preserve">Reserves the sequential local invoice number (INV/YYYY/MM/NNNN) in the database BEFORE calling Xero, so numbering stays gap-safe even when the Xero call fails.</w:t>
      </w:r>
    </w:p>
    <w:p>
      <w:pPr>
        <w:pStyle w:val="ListParagraph"/>
        <w:numPr>
          <w:ilvl w:val="0"/>
          <w:numId w:val="1"/>
        </w:numPr>
        <w:spacing w:after="60"/>
      </w:pPr>
      <w:r>
        <w:rPr>
          <w:rFonts w:ascii="Calibri" w:cs="Calibri" w:eastAsia="Calibri" w:hAnsi="Calibri"/>
          <w:sz w:val="22"/>
          <w:szCs w:val="22"/>
        </w:rPr>
        <w:t xml:space="preserve">Pulls payment status back: when Xero reports an invoice with Status = PAID, the milestone flips to PAID automatically.</w:t>
      </w:r>
    </w:p>
    <w:p>
      <w:pPr>
        <w:pStyle w:val="Heading2"/>
        <w:spacing w:after="120" w:before="280"/>
      </w:pPr>
      <w:r>
        <w:rPr>
          <w:rFonts w:ascii="Calibri" w:cs="Calibri" w:eastAsia="Calibri" w:hAnsi="Calibri"/>
          <w:b/>
          <w:bCs/>
          <w:color w:val="0F766E"/>
          <w:sz w:val="28"/>
          <w:szCs w:val="28"/>
        </w:rPr>
        <w:t xml:space="preserve">2.2 File map</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42%"/>
            <w:shd w:fill="0F766E" w:color="auto" w:val="clear"/>
            <w:tcMar>
              <w:top w:type="dxa" w:w="60"/>
              <w:left w:type="dxa" w:w="80"/>
              <w:bottom w:type="dxa" w:w="60"/>
              <w:right w:type="dxa" w:w="80"/>
            </w:tcMar>
          </w:tcPr>
          <w:p>
            <w:r>
              <w:rPr>
                <w:rFonts w:ascii="Calibri" w:cs="Calibri" w:eastAsia="Calibri" w:hAnsi="Calibri"/>
                <w:b/>
                <w:bCs/>
                <w:color w:val="FFFFFF"/>
                <w:sz w:val="20"/>
                <w:szCs w:val="20"/>
              </w:rPr>
              <w:t xml:space="preserve">File</w:t>
            </w:r>
          </w:p>
        </w:tc>
        <w:tc>
          <w:tcPr>
            <w:tcW w:type="pct" w:w="58%"/>
            <w:shd w:fill="0F766E" w:color="auto" w:val="clear"/>
            <w:tcMar>
              <w:top w:type="dxa" w:w="60"/>
              <w:left w:type="dxa" w:w="80"/>
              <w:bottom w:type="dxa" w:w="60"/>
              <w:right w:type="dxa" w:w="80"/>
            </w:tcMar>
          </w:tcPr>
          <w:p>
            <w:r>
              <w:rPr>
                <w:rFonts w:ascii="Calibri" w:cs="Calibri" w:eastAsia="Calibri" w:hAnsi="Calibri"/>
                <w:b/>
                <w:bCs/>
                <w:color w:val="FFFFFF"/>
                <w:sz w:val="20"/>
                <w:szCs w:val="20"/>
              </w:rPr>
              <w:t xml:space="preserve">Responsibility</w:t>
            </w:r>
          </w:p>
        </w:tc>
      </w:tr>
      <w:tr>
        <w:tc>
          <w:tcPr>
            <w:tcW w:type="pct" w:w="42%"/>
            <w:shd w:fill="FFFFFF" w:color="auto" w:val="clear"/>
            <w:tcMar>
              <w:top w:type="dxa" w:w="60"/>
              <w:left w:type="dxa" w:w="80"/>
              <w:bottom w:type="dxa" w:w="60"/>
              <w:right w:type="dxa" w:w="80"/>
            </w:tcMar>
          </w:tcPr>
          <w:p>
            <w:r>
              <w:rPr>
                <w:rFonts w:ascii="Consolas" w:cs="Consolas" w:eastAsia="Consolas" w:hAnsi="Consolas"/>
                <w:sz w:val="18"/>
                <w:szCs w:val="18"/>
              </w:rPr>
              <w:t xml:space="preserve">artifacts/api-server/src/lib/xero.ts</w:t>
            </w:r>
          </w:p>
        </w:tc>
        <w:tc>
          <w:tcPr>
            <w:tcW w:type="pct" w:w="58%"/>
            <w:shd w:fill="FFFFFF" w:color="auto" w:val="clear"/>
            <w:tcMar>
              <w:top w:type="dxa" w:w="60"/>
              <w:left w:type="dxa" w:w="80"/>
              <w:bottom w:type="dxa" w:w="60"/>
              <w:right w:type="dxa" w:w="80"/>
            </w:tcMar>
          </w:tcPr>
          <w:p>
            <w:r>
              <w:rPr>
                <w:rFonts w:ascii="Calibri" w:cs="Calibri" w:eastAsia="Calibri" w:hAnsi="Calibri"/>
                <w:sz w:val="20"/>
                <w:szCs w:val="20"/>
              </w:rPr>
              <w:t xml:space="preserve">Core logic: OAuth token exchange/refresh, signed state, Xero API wrapper, contact &amp; invoice creation, payment sync, account/tax discovery</w:t>
            </w:r>
          </w:p>
        </w:tc>
      </w:tr>
      <w:tr>
        <w:tc>
          <w:tcPr>
            <w:tcW w:type="pct" w:w="42%"/>
            <w:shd w:fill="F1F5F9" w:color="auto" w:val="clear"/>
            <w:tcMar>
              <w:top w:type="dxa" w:w="60"/>
              <w:left w:type="dxa" w:w="80"/>
              <w:bottom w:type="dxa" w:w="60"/>
              <w:right w:type="dxa" w:w="80"/>
            </w:tcMar>
          </w:tcPr>
          <w:p>
            <w:r>
              <w:rPr>
                <w:rFonts w:ascii="Consolas" w:cs="Consolas" w:eastAsia="Consolas" w:hAnsi="Consolas"/>
                <w:sz w:val="18"/>
                <w:szCs w:val="18"/>
              </w:rPr>
              <w:t xml:space="preserve">artifacts/api-server/src/routes/xero.ts</w:t>
            </w:r>
          </w:p>
        </w:tc>
        <w:tc>
          <w:tcPr>
            <w:tcW w:type="pct" w:w="58%"/>
            <w:shd w:fill="F1F5F9" w:color="auto" w:val="clear"/>
            <w:tcMar>
              <w:top w:type="dxa" w:w="60"/>
              <w:left w:type="dxa" w:w="80"/>
              <w:bottom w:type="dxa" w:w="60"/>
              <w:right w:type="dxa" w:w="80"/>
            </w:tcMar>
          </w:tcPr>
          <w:p>
            <w:r>
              <w:rPr>
                <w:rFonts w:ascii="Calibri" w:cs="Calibri" w:eastAsia="Calibri" w:hAnsi="Calibri"/>
                <w:sz w:val="20"/>
                <w:szCs w:val="20"/>
              </w:rPr>
              <w:t xml:space="preserve">HTTP endpoints: status, connect-url, callback, disconnect, client sync, invoice push, manual payment sync</w:t>
            </w:r>
          </w:p>
        </w:tc>
      </w:tr>
      <w:tr>
        <w:tc>
          <w:tcPr>
            <w:tcW w:type="pct" w:w="42%"/>
            <w:shd w:fill="FFFFFF" w:color="auto" w:val="clear"/>
            <w:tcMar>
              <w:top w:type="dxa" w:w="60"/>
              <w:left w:type="dxa" w:w="80"/>
              <w:bottom w:type="dxa" w:w="60"/>
              <w:right w:type="dxa" w:w="80"/>
            </w:tcMar>
          </w:tcPr>
          <w:p>
            <w:r>
              <w:rPr>
                <w:rFonts w:ascii="Consolas" w:cs="Consolas" w:eastAsia="Consolas" w:hAnsi="Consolas"/>
                <w:sz w:val="18"/>
                <w:szCs w:val="18"/>
              </w:rPr>
              <w:t xml:space="preserve">artifacts/api-server/src/index.ts</w:t>
            </w:r>
          </w:p>
        </w:tc>
        <w:tc>
          <w:tcPr>
            <w:tcW w:type="pct" w:w="58%"/>
            <w:shd w:fill="FFFFFF" w:color="auto" w:val="clear"/>
            <w:tcMar>
              <w:top w:type="dxa" w:w="60"/>
              <w:left w:type="dxa" w:w="80"/>
              <w:bottom w:type="dxa" w:w="60"/>
              <w:right w:type="dxa" w:w="80"/>
            </w:tcMar>
          </w:tcPr>
          <w:p>
            <w:r>
              <w:rPr>
                <w:rFonts w:ascii="Calibri" w:cs="Calibri" w:eastAsia="Calibri" w:hAnsi="Calibri"/>
                <w:sz w:val="20"/>
                <w:szCs w:val="20"/>
              </w:rPr>
              <w:t xml:space="preserve">Background poller: runs payment sync every 30 minutes when auto-sync is enabled</w:t>
            </w:r>
          </w:p>
        </w:tc>
      </w:tr>
      <w:tr>
        <w:tc>
          <w:tcPr>
            <w:tcW w:type="pct" w:w="42%"/>
            <w:shd w:fill="F1F5F9" w:color="auto" w:val="clear"/>
            <w:tcMar>
              <w:top w:type="dxa" w:w="60"/>
              <w:left w:type="dxa" w:w="80"/>
              <w:bottom w:type="dxa" w:w="60"/>
              <w:right w:type="dxa" w:w="80"/>
            </w:tcMar>
          </w:tcPr>
          <w:p>
            <w:r>
              <w:rPr>
                <w:rFonts w:ascii="Consolas" w:cs="Consolas" w:eastAsia="Consolas" w:hAnsi="Consolas"/>
                <w:sz w:val="18"/>
                <w:szCs w:val="18"/>
              </w:rPr>
              <w:t xml:space="preserve">lib/db/prisma/schema.prisma</w:t>
            </w:r>
          </w:p>
        </w:tc>
        <w:tc>
          <w:tcPr>
            <w:tcW w:type="pct" w:w="58%"/>
            <w:shd w:fill="F1F5F9" w:color="auto" w:val="clear"/>
            <w:tcMar>
              <w:top w:type="dxa" w:w="60"/>
              <w:left w:type="dxa" w:w="80"/>
              <w:bottom w:type="dxa" w:w="60"/>
              <w:right w:type="dxa" w:w="80"/>
            </w:tcMar>
          </w:tcPr>
          <w:p>
            <w:r>
              <w:rPr>
                <w:rFonts w:ascii="Calibri" w:cs="Calibri" w:eastAsia="Calibri" w:hAnsi="Calibri"/>
                <w:sz w:val="20"/>
                <w:szCs w:val="20"/>
              </w:rPr>
              <w:t xml:space="preserve">Models: XeroConnection (singleton token row), Client.xeroContactId, BillingMilestone.xeroInvoiceId + xeroAmount* fields, AppSetting.xeroAutoSyncEnabled</w:t>
            </w:r>
          </w:p>
        </w:tc>
      </w:tr>
      <w:tr>
        <w:tc>
          <w:tcPr>
            <w:tcW w:type="pct" w:w="42%"/>
            <w:shd w:fill="FFFFFF" w:color="auto" w:val="clear"/>
            <w:tcMar>
              <w:top w:type="dxa" w:w="60"/>
              <w:left w:type="dxa" w:w="80"/>
              <w:bottom w:type="dxa" w:w="60"/>
              <w:right w:type="dxa" w:w="80"/>
            </w:tcMar>
          </w:tcPr>
          <w:p>
            <w:r>
              <w:rPr>
                <w:rFonts w:ascii="Consolas" w:cs="Consolas" w:eastAsia="Consolas" w:hAnsi="Consolas"/>
                <w:sz w:val="18"/>
                <w:szCs w:val="18"/>
              </w:rPr>
              <w:t xml:space="preserve">artifacts/web/src/pages/settings/index.tsx</w:t>
            </w:r>
          </w:p>
        </w:tc>
        <w:tc>
          <w:tcPr>
            <w:tcW w:type="pct" w:w="58%"/>
            <w:shd w:fill="FFFFFF" w:color="auto" w:val="clear"/>
            <w:tcMar>
              <w:top w:type="dxa" w:w="60"/>
              <w:left w:type="dxa" w:w="80"/>
              <w:bottom w:type="dxa" w:w="60"/>
              <w:right w:type="dxa" w:w="80"/>
            </w:tcMar>
          </w:tcPr>
          <w:p>
            <w:r>
              <w:rPr>
                <w:rFonts w:ascii="Calibri" w:cs="Calibri" w:eastAsia="Calibri" w:hAnsi="Calibri"/>
                <w:sz w:val="20"/>
                <w:szCs w:val="20"/>
              </w:rPr>
              <w:t xml:space="preserve">XeroIntegrationCard — Connect / Disconnect buttons and connection status</w:t>
            </w:r>
          </w:p>
        </w:tc>
      </w:tr>
      <w:tr>
        <w:tc>
          <w:tcPr>
            <w:tcW w:type="pct" w:w="42%"/>
            <w:shd w:fill="F1F5F9" w:color="auto" w:val="clear"/>
            <w:tcMar>
              <w:top w:type="dxa" w:w="60"/>
              <w:left w:type="dxa" w:w="80"/>
              <w:bottom w:type="dxa" w:w="60"/>
              <w:right w:type="dxa" w:w="80"/>
            </w:tcMar>
          </w:tcPr>
          <w:p>
            <w:r>
              <w:rPr>
                <w:rFonts w:ascii="Consolas" w:cs="Consolas" w:eastAsia="Consolas" w:hAnsi="Consolas"/>
                <w:sz w:val="18"/>
                <w:szCs w:val="18"/>
              </w:rPr>
              <w:t xml:space="preserve">artifacts/web/src/pages/projects/BillingTab.tsx</w:t>
            </w:r>
          </w:p>
        </w:tc>
        <w:tc>
          <w:tcPr>
            <w:tcW w:type="pct" w:w="58%"/>
            <w:shd w:fill="F1F5F9" w:color="auto" w:val="clear"/>
            <w:tcMar>
              <w:top w:type="dxa" w:w="60"/>
              <w:left w:type="dxa" w:w="80"/>
              <w:bottom w:type="dxa" w:w="60"/>
              <w:right w:type="dxa" w:w="80"/>
            </w:tcMar>
          </w:tcPr>
          <w:p>
            <w:r>
              <w:rPr>
                <w:rFonts w:ascii="Calibri" w:cs="Calibri" w:eastAsia="Calibri" w:hAnsi="Calibri"/>
                <w:sz w:val="20"/>
                <w:szCs w:val="20"/>
              </w:rPr>
              <w:t xml:space="preserve">"Send to Xero" per milestone and "Sync from Xero" manual pull</w:t>
            </w:r>
          </w:p>
        </w:tc>
      </w:tr>
      <w:tr>
        <w:tc>
          <w:tcPr>
            <w:tcW w:type="pct" w:w="42%"/>
            <w:shd w:fill="FFFFFF" w:color="auto" w:val="clear"/>
            <w:tcMar>
              <w:top w:type="dxa" w:w="60"/>
              <w:left w:type="dxa" w:w="80"/>
              <w:bottom w:type="dxa" w:w="60"/>
              <w:right w:type="dxa" w:w="80"/>
            </w:tcMar>
          </w:tcPr>
          <w:p>
            <w:r>
              <w:rPr>
                <w:rFonts w:ascii="Consolas" w:cs="Consolas" w:eastAsia="Consolas" w:hAnsi="Consolas"/>
                <w:sz w:val="18"/>
                <w:szCs w:val="18"/>
              </w:rPr>
              <w:t xml:space="preserve">artifacts/web/src/pages/clients/index.tsx</w:t>
            </w:r>
          </w:p>
        </w:tc>
        <w:tc>
          <w:tcPr>
            <w:tcW w:type="pct" w:w="58%"/>
            <w:shd w:fill="FFFFFF" w:color="auto" w:val="clear"/>
            <w:tcMar>
              <w:top w:type="dxa" w:w="60"/>
              <w:left w:type="dxa" w:w="80"/>
              <w:bottom w:type="dxa" w:w="60"/>
              <w:right w:type="dxa" w:w="80"/>
            </w:tcMar>
          </w:tcPr>
          <w:p>
            <w:r>
              <w:rPr>
                <w:rFonts w:ascii="Calibri" w:cs="Calibri" w:eastAsia="Calibri" w:hAnsi="Calibri"/>
                <w:sz w:val="20"/>
                <w:szCs w:val="20"/>
              </w:rPr>
              <w:t xml:space="preserve">"Sync to Xero" action per client row</w:t>
            </w:r>
          </w:p>
        </w:tc>
      </w:tr>
      <w:tr>
        <w:tc>
          <w:tcPr>
            <w:tcW w:type="pct" w:w="42%"/>
            <w:shd w:fill="F1F5F9" w:color="auto" w:val="clear"/>
            <w:tcMar>
              <w:top w:type="dxa" w:w="60"/>
              <w:left w:type="dxa" w:w="80"/>
              <w:bottom w:type="dxa" w:w="60"/>
              <w:right w:type="dxa" w:w="80"/>
            </w:tcMar>
          </w:tcPr>
          <w:p>
            <w:r>
              <w:rPr>
                <w:rFonts w:ascii="Consolas" w:cs="Consolas" w:eastAsia="Consolas" w:hAnsi="Consolas"/>
                <w:sz w:val="18"/>
                <w:szCs w:val="18"/>
              </w:rPr>
              <w:t xml:space="preserve">lib/api-spec (OpenAPI) → lib/api-zod, lib/api-client-react</w:t>
            </w:r>
          </w:p>
        </w:tc>
        <w:tc>
          <w:tcPr>
            <w:tcW w:type="pct" w:w="58%"/>
            <w:shd w:fill="F1F5F9" w:color="auto" w:val="clear"/>
            <w:tcMar>
              <w:top w:type="dxa" w:w="60"/>
              <w:left w:type="dxa" w:w="80"/>
              <w:bottom w:type="dxa" w:w="60"/>
              <w:right w:type="dxa" w:w="80"/>
            </w:tcMar>
          </w:tcPr>
          <w:p>
            <w:r>
              <w:rPr>
                <w:rFonts w:ascii="Calibri" w:cs="Calibri" w:eastAsia="Calibri" w:hAnsi="Calibri"/>
                <w:sz w:val="20"/>
                <w:szCs w:val="20"/>
              </w:rPr>
              <w:t xml:space="preserve">Generated request/response schemas and React Query hooks (e.g. xeroStatus)</w:t>
            </w:r>
          </w:p>
        </w:tc>
      </w:tr>
    </w:tbl>
    <w:p>
      <w:pPr>
        <w:pStyle w:val="Heading2"/>
        <w:spacing w:after="120" w:before="280"/>
      </w:pPr>
      <w:r>
        <w:rPr>
          <w:rFonts w:ascii="Calibri" w:cs="Calibri" w:eastAsia="Calibri" w:hAnsi="Calibri"/>
          <w:b/>
          <w:bCs/>
          <w:color w:val="0F766E"/>
          <w:sz w:val="28"/>
          <w:szCs w:val="28"/>
        </w:rPr>
        <w:t xml:space="preserve">2.3 Setup: registering the app in Xero</w:t>
      </w:r>
    </w:p>
    <w:p>
      <w:pPr>
        <w:pStyle w:val="ListParagraph"/>
        <w:numPr>
          <w:ilvl w:val="0"/>
          <w:numId w:val="2"/>
        </w:numPr>
        <w:spacing w:after="60"/>
      </w:pPr>
      <w:r>
        <w:rPr>
          <w:rFonts w:ascii="Calibri" w:cs="Calibri" w:eastAsia="Calibri" w:hAnsi="Calibri"/>
          <w:sz w:val="22"/>
          <w:szCs w:val="22"/>
        </w:rPr>
        <w:t xml:space="preserve">Go to </w:t>
      </w:r>
      <w:r>
        <w:rPr>
          <w:rFonts w:ascii="Consolas" w:cs="Consolas" w:eastAsia="Consolas" w:hAnsi="Consolas"/>
          <w:sz w:val="20"/>
          <w:szCs w:val="20"/>
          <w:shd w:fill="F8FAFC" w:color="auto" w:val="clear"/>
        </w:rPr>
        <w:t xml:space="preserve">developer.xero.com</w:t>
      </w:r>
      <w:r>
        <w:rPr>
          <w:rFonts w:ascii="Calibri" w:cs="Calibri" w:eastAsia="Calibri" w:hAnsi="Calibri"/>
          <w:sz w:val="22"/>
          <w:szCs w:val="22"/>
        </w:rPr>
        <w:t xml:space="preserve"> → My Apps → New app. Choose "Web app".</w:t>
      </w:r>
    </w:p>
    <w:p>
      <w:pPr>
        <w:pStyle w:val="ListParagraph"/>
        <w:numPr>
          <w:ilvl w:val="0"/>
          <w:numId w:val="2"/>
        </w:numPr>
        <w:spacing w:after="60"/>
      </w:pPr>
      <w:r>
        <w:rPr>
          <w:rFonts w:ascii="Calibri" w:cs="Calibri" w:eastAsia="Calibri" w:hAnsi="Calibri"/>
          <w:sz w:val="22"/>
          <w:szCs w:val="22"/>
        </w:rPr>
        <w:t xml:space="preserve">Set the OAuth 2.0 redirect URI to </w:t>
      </w:r>
      <w:r>
        <w:rPr>
          <w:rFonts w:ascii="Consolas" w:cs="Consolas" w:eastAsia="Consolas" w:hAnsi="Consolas"/>
          <w:sz w:val="20"/>
          <w:szCs w:val="20"/>
          <w:shd w:fill="F8FAFC" w:color="auto" w:val="clear"/>
        </w:rPr>
        <w:t xml:space="preserve">https://&lt;your-domain&gt;/api/xero/callback</w:t>
      </w:r>
      <w:r>
        <w:rPr>
          <w:rFonts w:ascii="Calibri" w:cs="Calibri" w:eastAsia="Calibri" w:hAnsi="Calibri"/>
          <w:sz w:val="22"/>
          <w:szCs w:val="22"/>
        </w:rPr>
        <w:t xml:space="preserve">. The server derives this automatically from the request host; override with </w:t>
      </w:r>
      <w:r>
        <w:rPr>
          <w:rFonts w:ascii="Consolas" w:cs="Consolas" w:eastAsia="Consolas" w:hAnsi="Consolas"/>
          <w:sz w:val="20"/>
          <w:szCs w:val="20"/>
          <w:shd w:fill="F8FAFC" w:color="auto" w:val="clear"/>
        </w:rPr>
        <w:t xml:space="preserve">XERO_REDIRECT_URI</w:t>
      </w:r>
      <w:r>
        <w:rPr>
          <w:rFonts w:ascii="Calibri" w:cs="Calibri" w:eastAsia="Calibri" w:hAnsi="Calibri"/>
          <w:sz w:val="22"/>
          <w:szCs w:val="22"/>
        </w:rPr>
        <w:t xml:space="preserve"> only if the public URL differs.</w:t>
      </w:r>
    </w:p>
    <w:p>
      <w:pPr>
        <w:pStyle w:val="ListParagraph"/>
        <w:numPr>
          <w:ilvl w:val="0"/>
          <w:numId w:val="2"/>
        </w:numPr>
        <w:spacing w:after="60"/>
      </w:pPr>
      <w:r>
        <w:rPr>
          <w:rFonts w:ascii="Calibri" w:cs="Calibri" w:eastAsia="Calibri" w:hAnsi="Calibri"/>
          <w:sz w:val="22"/>
          <w:szCs w:val="22"/>
        </w:rPr>
        <w:t xml:space="preserve">Copy the Client ID and Client Secret into the environment secrets </w:t>
      </w:r>
      <w:r>
        <w:rPr>
          <w:rFonts w:ascii="Consolas" w:cs="Consolas" w:eastAsia="Consolas" w:hAnsi="Consolas"/>
          <w:sz w:val="20"/>
          <w:szCs w:val="20"/>
          <w:shd w:fill="F8FAFC" w:color="auto" w:val="clear"/>
        </w:rPr>
        <w:t xml:space="preserve">XERO_CLIENT_ID</w:t>
      </w:r>
      <w:r>
        <w:rPr>
          <w:rFonts w:ascii="Calibri" w:cs="Calibri" w:eastAsia="Calibri" w:hAnsi="Calibri"/>
          <w:sz w:val="22"/>
          <w:szCs w:val="22"/>
        </w:rPr>
        <w:t xml:space="preserve"> and </w:t>
      </w:r>
      <w:r>
        <w:rPr>
          <w:rFonts w:ascii="Consolas" w:cs="Consolas" w:eastAsia="Consolas" w:hAnsi="Consolas"/>
          <w:sz w:val="20"/>
          <w:szCs w:val="20"/>
          <w:shd w:fill="F8FAFC" w:color="auto" w:val="clear"/>
        </w:rPr>
        <w:t xml:space="preserve">XERO_CLIENT_SECRET</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sz w:val="22"/>
          <w:szCs w:val="22"/>
        </w:rPr>
        <w:t xml:space="preserve">Restart the API server, open Settings as Management/Super Admin, and press "Connect to Xero". Approve the requested scopes; you land back in the app with the tenant name shown.</w:t>
      </w:r>
    </w:p>
    <w:p>
      <w:pPr>
        <w:spacing w:after="100"/>
      </w:pPr>
      <w:r>
        <w:rPr>
          <w:rFonts w:ascii="Calibri" w:cs="Calibri" w:eastAsia="Calibri" w:hAnsi="Calibri"/>
          <w:b/>
          <w:bCs/>
          <w:sz w:val="22"/>
          <w:szCs w:val="22"/>
        </w:rPr>
        <w:t xml:space="preserve">Requested scopes: </w:t>
      </w:r>
      <w:r>
        <w:rPr>
          <w:rFonts w:ascii="Consolas" w:cs="Consolas" w:eastAsia="Consolas" w:hAnsi="Consolas"/>
          <w:sz w:val="20"/>
          <w:szCs w:val="20"/>
          <w:shd w:fill="F8FAFC" w:color="auto" w:val="clear"/>
        </w:rPr>
        <w:t xml:space="preserve">accounting.invoices, accounting.contacts, accounting.settings.read, offline_access</w:t>
      </w:r>
      <w:r>
        <w:rPr>
          <w:rFonts w:ascii="Calibri" w:cs="Calibri" w:eastAsia="Calibri" w:hAnsi="Calibri"/>
          <w:sz w:val="22"/>
          <w:szCs w:val="22"/>
        </w:rPr>
        <w:t xml:space="preserve"> (offline_access is what yields the refresh token).</w:t>
      </w:r>
    </w:p>
    <w:p>
      <w:pPr>
        <w:pStyle w:val="Heading2"/>
        <w:spacing w:after="120" w:before="280"/>
      </w:pPr>
      <w:r>
        <w:rPr>
          <w:rFonts w:ascii="Calibri" w:cs="Calibri" w:eastAsia="Calibri" w:hAnsi="Calibri"/>
          <w:b/>
          <w:bCs/>
          <w:color w:val="0F766E"/>
          <w:sz w:val="28"/>
          <w:szCs w:val="28"/>
        </w:rPr>
        <w:t xml:space="preserve">2.4 Environment variables</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rPr>
          <w:tblHeader/>
        </w:trPr>
        <w:tc>
          <w:tcPr>
            <w:tcW w:type="pct" w:w="30%"/>
            <w:shd w:fill="0F766E" w:color="auto" w:val="clear"/>
            <w:tcMar>
              <w:top w:type="dxa" w:w="60"/>
              <w:left w:type="dxa" w:w="80"/>
              <w:bottom w:type="dxa" w:w="60"/>
              <w:right w:type="dxa" w:w="80"/>
            </w:tcMar>
          </w:tcPr>
          <w:p>
            <w:r>
              <w:rPr>
                <w:rFonts w:ascii="Calibri" w:cs="Calibri" w:eastAsia="Calibri" w:hAnsi="Calibri"/>
                <w:b/>
                <w:bCs/>
                <w:color w:val="FFFFFF"/>
                <w:sz w:val="20"/>
                <w:szCs w:val="20"/>
              </w:rPr>
              <w:t xml:space="preserve">Variable</w:t>
            </w:r>
          </w:p>
        </w:tc>
        <w:tc>
          <w:tcPr>
            <w:tcW w:type="pct" w:w="12%"/>
            <w:shd w:fill="0F766E" w:color="auto" w:val="clear"/>
            <w:tcMar>
              <w:top w:type="dxa" w:w="60"/>
              <w:left w:type="dxa" w:w="80"/>
              <w:bottom w:type="dxa" w:w="60"/>
              <w:right w:type="dxa" w:w="80"/>
            </w:tcMar>
          </w:tcPr>
          <w:p>
            <w:r>
              <w:rPr>
                <w:rFonts w:ascii="Calibri" w:cs="Calibri" w:eastAsia="Calibri" w:hAnsi="Calibri"/>
                <w:b/>
                <w:bCs/>
                <w:color w:val="FFFFFF"/>
                <w:sz w:val="20"/>
                <w:szCs w:val="20"/>
              </w:rPr>
              <w:t xml:space="preserve">Required</w:t>
            </w:r>
          </w:p>
        </w:tc>
        <w:tc>
          <w:tcPr>
            <w:tcW w:type="pct" w:w="58%"/>
            <w:shd w:fill="0F766E" w:color="auto" w:val="clear"/>
            <w:tcMar>
              <w:top w:type="dxa" w:w="60"/>
              <w:left w:type="dxa" w:w="80"/>
              <w:bottom w:type="dxa" w:w="60"/>
              <w:right w:type="dxa" w:w="80"/>
            </w:tcMar>
          </w:tcPr>
          <w:p>
            <w:r>
              <w:rPr>
                <w:rFonts w:ascii="Calibri" w:cs="Calibri" w:eastAsia="Calibri" w:hAnsi="Calibri"/>
                <w:b/>
                <w:bCs/>
                <w:color w:val="FFFFFF"/>
                <w:sz w:val="20"/>
                <w:szCs w:val="20"/>
              </w:rPr>
              <w:t xml:space="preserve">Purpose</w:t>
            </w:r>
          </w:p>
        </w:tc>
      </w:tr>
      <w:tr>
        <w:tc>
          <w:tcPr>
            <w:tcW w:type="pct" w:w="30%"/>
            <w:shd w:fill="FFFFFF" w:color="auto" w:val="clear"/>
            <w:tcMar>
              <w:top w:type="dxa" w:w="60"/>
              <w:left w:type="dxa" w:w="80"/>
              <w:bottom w:type="dxa" w:w="60"/>
              <w:right w:type="dxa" w:w="80"/>
            </w:tcMar>
          </w:tcPr>
          <w:p>
            <w:r>
              <w:rPr>
                <w:rFonts w:ascii="Consolas" w:cs="Consolas" w:eastAsia="Consolas" w:hAnsi="Consolas"/>
                <w:sz w:val="18"/>
                <w:szCs w:val="18"/>
              </w:rPr>
              <w:t xml:space="preserve">XERO_CLIENT_ID</w:t>
            </w:r>
          </w:p>
        </w:tc>
        <w:tc>
          <w:tcPr>
            <w:tcW w:type="pct" w:w="12%"/>
            <w:shd w:fill="FFFFFF" w:color="auto" w:val="clear"/>
            <w:tcMar>
              <w:top w:type="dxa" w:w="60"/>
              <w:left w:type="dxa" w:w="80"/>
              <w:bottom w:type="dxa" w:w="60"/>
              <w:right w:type="dxa" w:w="80"/>
            </w:tcMar>
          </w:tcPr>
          <w:p>
            <w:r>
              <w:rPr>
                <w:rFonts w:ascii="Calibri" w:cs="Calibri" w:eastAsia="Calibri" w:hAnsi="Calibri"/>
                <w:sz w:val="20"/>
                <w:szCs w:val="20"/>
              </w:rPr>
              <w:t xml:space="preserve">Yes</w:t>
            </w:r>
          </w:p>
        </w:tc>
        <w:tc>
          <w:tcPr>
            <w:tcW w:type="pct" w:w="58%"/>
            <w:shd w:fill="FFFFFF" w:color="auto" w:val="clear"/>
            <w:tcMar>
              <w:top w:type="dxa" w:w="60"/>
              <w:left w:type="dxa" w:w="80"/>
              <w:bottom w:type="dxa" w:w="60"/>
              <w:right w:type="dxa" w:w="80"/>
            </w:tcMar>
          </w:tcPr>
          <w:p>
            <w:r>
              <w:rPr>
                <w:rFonts w:ascii="Calibri" w:cs="Calibri" w:eastAsia="Calibri" w:hAnsi="Calibri"/>
                <w:sz w:val="20"/>
                <w:szCs w:val="20"/>
              </w:rPr>
              <w:t xml:space="preserve">OAuth2 client id from the Xero developer portal</w:t>
            </w:r>
          </w:p>
        </w:tc>
      </w:tr>
      <w:tr>
        <w:tc>
          <w:tcPr>
            <w:tcW w:type="pct" w:w="30%"/>
            <w:shd w:fill="F1F5F9" w:color="auto" w:val="clear"/>
            <w:tcMar>
              <w:top w:type="dxa" w:w="60"/>
              <w:left w:type="dxa" w:w="80"/>
              <w:bottom w:type="dxa" w:w="60"/>
              <w:right w:type="dxa" w:w="80"/>
            </w:tcMar>
          </w:tcPr>
          <w:p>
            <w:r>
              <w:rPr>
                <w:rFonts w:ascii="Consolas" w:cs="Consolas" w:eastAsia="Consolas" w:hAnsi="Consolas"/>
                <w:sz w:val="18"/>
                <w:szCs w:val="18"/>
              </w:rPr>
              <w:t xml:space="preserve">XERO_CLIENT_SECRET</w:t>
            </w:r>
          </w:p>
        </w:tc>
        <w:tc>
          <w:tcPr>
            <w:tcW w:type="pct" w:w="12%"/>
            <w:shd w:fill="F1F5F9" w:color="auto" w:val="clear"/>
            <w:tcMar>
              <w:top w:type="dxa" w:w="60"/>
              <w:left w:type="dxa" w:w="80"/>
              <w:bottom w:type="dxa" w:w="60"/>
              <w:right w:type="dxa" w:w="80"/>
            </w:tcMar>
          </w:tcPr>
          <w:p>
            <w:r>
              <w:rPr>
                <w:rFonts w:ascii="Calibri" w:cs="Calibri" w:eastAsia="Calibri" w:hAnsi="Calibri"/>
                <w:sz w:val="20"/>
                <w:szCs w:val="20"/>
              </w:rPr>
              <w:t xml:space="preserve">Yes</w:t>
            </w:r>
          </w:p>
        </w:tc>
        <w:tc>
          <w:tcPr>
            <w:tcW w:type="pct" w:w="58%"/>
            <w:shd w:fill="F1F5F9" w:color="auto" w:val="clear"/>
            <w:tcMar>
              <w:top w:type="dxa" w:w="60"/>
              <w:left w:type="dxa" w:w="80"/>
              <w:bottom w:type="dxa" w:w="60"/>
              <w:right w:type="dxa" w:w="80"/>
            </w:tcMar>
          </w:tcPr>
          <w:p>
            <w:r>
              <w:rPr>
                <w:rFonts w:ascii="Calibri" w:cs="Calibri" w:eastAsia="Calibri" w:hAnsi="Calibri"/>
                <w:sz w:val="20"/>
                <w:szCs w:val="20"/>
              </w:rPr>
              <w:t xml:space="preserve">OAuth2 client secret</w:t>
            </w:r>
          </w:p>
        </w:tc>
      </w:tr>
      <w:tr>
        <w:tc>
          <w:tcPr>
            <w:tcW w:type="pct" w:w="30%"/>
            <w:shd w:fill="FFFFFF" w:color="auto" w:val="clear"/>
            <w:tcMar>
              <w:top w:type="dxa" w:w="60"/>
              <w:left w:type="dxa" w:w="80"/>
              <w:bottom w:type="dxa" w:w="60"/>
              <w:right w:type="dxa" w:w="80"/>
            </w:tcMar>
          </w:tcPr>
          <w:p>
            <w:r>
              <w:rPr>
                <w:rFonts w:ascii="Consolas" w:cs="Consolas" w:eastAsia="Consolas" w:hAnsi="Consolas"/>
                <w:sz w:val="18"/>
                <w:szCs w:val="18"/>
              </w:rPr>
              <w:t xml:space="preserve">SESSION_SECRET</w:t>
            </w:r>
          </w:p>
        </w:tc>
        <w:tc>
          <w:tcPr>
            <w:tcW w:type="pct" w:w="12%"/>
            <w:shd w:fill="FFFFFF" w:color="auto" w:val="clear"/>
            <w:tcMar>
              <w:top w:type="dxa" w:w="60"/>
              <w:left w:type="dxa" w:w="80"/>
              <w:bottom w:type="dxa" w:w="60"/>
              <w:right w:type="dxa" w:w="80"/>
            </w:tcMar>
          </w:tcPr>
          <w:p>
            <w:r>
              <w:rPr>
                <w:rFonts w:ascii="Calibri" w:cs="Calibri" w:eastAsia="Calibri" w:hAnsi="Calibri"/>
                <w:sz w:val="20"/>
                <w:szCs w:val="20"/>
              </w:rPr>
              <w:t xml:space="preserve">Yes</w:t>
            </w:r>
          </w:p>
        </w:tc>
        <w:tc>
          <w:tcPr>
            <w:tcW w:type="pct" w:w="58%"/>
            <w:shd w:fill="FFFFFF" w:color="auto" w:val="clear"/>
            <w:tcMar>
              <w:top w:type="dxa" w:w="60"/>
              <w:left w:type="dxa" w:w="80"/>
              <w:bottom w:type="dxa" w:w="60"/>
              <w:right w:type="dxa" w:w="80"/>
            </w:tcMar>
          </w:tcPr>
          <w:p>
            <w:r>
              <w:rPr>
                <w:rFonts w:ascii="Calibri" w:cs="Calibri" w:eastAsia="Calibri" w:hAnsi="Calibri"/>
                <w:sz w:val="20"/>
                <w:szCs w:val="20"/>
              </w:rPr>
              <w:t xml:space="preserve">HMAC-SHA256 key that signs the OAuth state parameter (fails closed if absent)</w:t>
            </w:r>
          </w:p>
        </w:tc>
      </w:tr>
      <w:tr>
        <w:tc>
          <w:tcPr>
            <w:tcW w:type="pct" w:w="30%"/>
            <w:shd w:fill="F1F5F9" w:color="auto" w:val="clear"/>
            <w:tcMar>
              <w:top w:type="dxa" w:w="60"/>
              <w:left w:type="dxa" w:w="80"/>
              <w:bottom w:type="dxa" w:w="60"/>
              <w:right w:type="dxa" w:w="80"/>
            </w:tcMar>
          </w:tcPr>
          <w:p>
            <w:r>
              <w:rPr>
                <w:rFonts w:ascii="Consolas" w:cs="Consolas" w:eastAsia="Consolas" w:hAnsi="Consolas"/>
                <w:sz w:val="18"/>
                <w:szCs w:val="18"/>
              </w:rPr>
              <w:t xml:space="preserve">XERO_REDIRECT_URI</w:t>
            </w:r>
          </w:p>
        </w:tc>
        <w:tc>
          <w:tcPr>
            <w:tcW w:type="pct" w:w="12%"/>
            <w:shd w:fill="F1F5F9" w:color="auto" w:val="clear"/>
            <w:tcMar>
              <w:top w:type="dxa" w:w="60"/>
              <w:left w:type="dxa" w:w="80"/>
              <w:bottom w:type="dxa" w:w="60"/>
              <w:right w:type="dxa" w:w="80"/>
            </w:tcMar>
          </w:tcPr>
          <w:p>
            <w:r>
              <w:rPr>
                <w:rFonts w:ascii="Calibri" w:cs="Calibri" w:eastAsia="Calibri" w:hAnsi="Calibri"/>
                <w:sz w:val="20"/>
                <w:szCs w:val="20"/>
              </w:rPr>
              <w:t xml:space="preserve">No</w:t>
            </w:r>
          </w:p>
        </w:tc>
        <w:tc>
          <w:tcPr>
            <w:tcW w:type="pct" w:w="58%"/>
            <w:shd w:fill="F1F5F9" w:color="auto" w:val="clear"/>
            <w:tcMar>
              <w:top w:type="dxa" w:w="60"/>
              <w:left w:type="dxa" w:w="80"/>
              <w:bottom w:type="dxa" w:w="60"/>
              <w:right w:type="dxa" w:w="80"/>
            </w:tcMar>
          </w:tcPr>
          <w:p>
            <w:r>
              <w:rPr>
                <w:rFonts w:ascii="Calibri" w:cs="Calibri" w:eastAsia="Calibri" w:hAnsi="Calibri"/>
                <w:sz w:val="20"/>
                <w:szCs w:val="20"/>
              </w:rPr>
              <w:t xml:space="preserve">Explicit callback URL; default is derived from the request host + /api/xero/callback</w:t>
            </w:r>
          </w:p>
        </w:tc>
      </w:tr>
      <w:tr>
        <w:tc>
          <w:tcPr>
            <w:tcW w:type="pct" w:w="30%"/>
            <w:shd w:fill="FFFFFF" w:color="auto" w:val="clear"/>
            <w:tcMar>
              <w:top w:type="dxa" w:w="60"/>
              <w:left w:type="dxa" w:w="80"/>
              <w:bottom w:type="dxa" w:w="60"/>
              <w:right w:type="dxa" w:w="80"/>
            </w:tcMar>
          </w:tcPr>
          <w:p>
            <w:r>
              <w:rPr>
                <w:rFonts w:ascii="Consolas" w:cs="Consolas" w:eastAsia="Consolas" w:hAnsi="Consolas"/>
                <w:sz w:val="18"/>
                <w:szCs w:val="18"/>
              </w:rPr>
              <w:t xml:space="preserve">XERO_SALES_ACCOUNT_CODE</w:t>
            </w:r>
          </w:p>
        </w:tc>
        <w:tc>
          <w:tcPr>
            <w:tcW w:type="pct" w:w="12%"/>
            <w:shd w:fill="FFFFFF" w:color="auto" w:val="clear"/>
            <w:tcMar>
              <w:top w:type="dxa" w:w="60"/>
              <w:left w:type="dxa" w:w="80"/>
              <w:bottom w:type="dxa" w:w="60"/>
              <w:right w:type="dxa" w:w="80"/>
            </w:tcMar>
          </w:tcPr>
          <w:p>
            <w:r>
              <w:rPr>
                <w:rFonts w:ascii="Calibri" w:cs="Calibri" w:eastAsia="Calibri" w:hAnsi="Calibri"/>
                <w:sz w:val="20"/>
                <w:szCs w:val="20"/>
              </w:rPr>
              <w:t xml:space="preserve">No</w:t>
            </w:r>
          </w:p>
        </w:tc>
        <w:tc>
          <w:tcPr>
            <w:tcW w:type="pct" w:w="58%"/>
            <w:shd w:fill="FFFFFF" w:color="auto" w:val="clear"/>
            <w:tcMar>
              <w:top w:type="dxa" w:w="60"/>
              <w:left w:type="dxa" w:w="80"/>
              <w:bottom w:type="dxa" w:w="60"/>
              <w:right w:type="dxa" w:w="80"/>
            </w:tcMar>
          </w:tcPr>
          <w:p>
            <w:r>
              <w:rPr>
                <w:rFonts w:ascii="Calibri" w:cs="Calibri" w:eastAsia="Calibri" w:hAnsi="Calibri"/>
                <w:sz w:val="20"/>
                <w:szCs w:val="20"/>
              </w:rPr>
              <w:t xml:space="preserve">Revenue account override; otherwise the code prefers Xero account code 200</w:t>
            </w:r>
          </w:p>
        </w:tc>
      </w:tr>
      <w:tr>
        <w:tc>
          <w:tcPr>
            <w:tcW w:type="pct" w:w="30%"/>
            <w:shd w:fill="F1F5F9" w:color="auto" w:val="clear"/>
            <w:tcMar>
              <w:top w:type="dxa" w:w="60"/>
              <w:left w:type="dxa" w:w="80"/>
              <w:bottom w:type="dxa" w:w="60"/>
              <w:right w:type="dxa" w:w="80"/>
            </w:tcMar>
          </w:tcPr>
          <w:p>
            <w:r>
              <w:rPr>
                <w:rFonts w:ascii="Consolas" w:cs="Consolas" w:eastAsia="Consolas" w:hAnsi="Consolas"/>
                <w:sz w:val="18"/>
                <w:szCs w:val="18"/>
              </w:rPr>
              <w:t xml:space="preserve">XERO_SALES_TAX_TYPE</w:t>
            </w:r>
          </w:p>
        </w:tc>
        <w:tc>
          <w:tcPr>
            <w:tcW w:type="pct" w:w="12%"/>
            <w:shd w:fill="F1F5F9" w:color="auto" w:val="clear"/>
            <w:tcMar>
              <w:top w:type="dxa" w:w="60"/>
              <w:left w:type="dxa" w:w="80"/>
              <w:bottom w:type="dxa" w:w="60"/>
              <w:right w:type="dxa" w:w="80"/>
            </w:tcMar>
          </w:tcPr>
          <w:p>
            <w:r>
              <w:rPr>
                <w:rFonts w:ascii="Calibri" w:cs="Calibri" w:eastAsia="Calibri" w:hAnsi="Calibri"/>
                <w:sz w:val="20"/>
                <w:szCs w:val="20"/>
              </w:rPr>
              <w:t xml:space="preserve">No</w:t>
            </w:r>
          </w:p>
        </w:tc>
        <w:tc>
          <w:tcPr>
            <w:tcW w:type="pct" w:w="58%"/>
            <w:shd w:fill="F1F5F9" w:color="auto" w:val="clear"/>
            <w:tcMar>
              <w:top w:type="dxa" w:w="60"/>
              <w:left w:type="dxa" w:w="80"/>
              <w:bottom w:type="dxa" w:w="60"/>
              <w:right w:type="dxa" w:w="80"/>
            </w:tcMar>
          </w:tcPr>
          <w:p>
            <w:r>
              <w:rPr>
                <w:rFonts w:ascii="Calibri" w:cs="Calibri" w:eastAsia="Calibri" w:hAnsi="Calibri"/>
                <w:sz w:val="20"/>
                <w:szCs w:val="20"/>
              </w:rPr>
              <w:t xml:space="preserve">Tax type override; otherwise discovered by matching the project's VAT percentage</w:t>
            </w:r>
          </w:p>
        </w:tc>
      </w:tr>
    </w:tbl>
    <w:p>
      <w:pPr>
        <w:pStyle w:val="Heading2"/>
        <w:spacing w:after="120" w:before="280"/>
      </w:pPr>
      <w:r>
        <w:rPr>
          <w:rFonts w:ascii="Calibri" w:cs="Calibri" w:eastAsia="Calibri" w:hAnsi="Calibri"/>
          <w:b/>
          <w:bCs/>
          <w:color w:val="0F766E"/>
          <w:sz w:val="28"/>
          <w:szCs w:val="28"/>
        </w:rPr>
        <w:t xml:space="preserve">2.5 OAuth2 connect flow</w:t>
      </w:r>
    </w:p>
    <w:p>
      <w:pPr>
        <w:pStyle w:val="ListParagraph"/>
        <w:numPr>
          <w:ilvl w:val="0"/>
          <w:numId w:val="3"/>
        </w:numPr>
        <w:spacing w:after="60"/>
      </w:pPr>
      <w:r>
        <w:rPr>
          <w:rFonts w:ascii="Consolas" w:cs="Consolas" w:eastAsia="Consolas" w:hAnsi="Consolas"/>
          <w:sz w:val="20"/>
          <w:szCs w:val="20"/>
          <w:shd w:fill="F8FAFC" w:color="auto" w:val="clear"/>
        </w:rPr>
        <w:t xml:space="preserve">POST /api/xero/connect-url</w:t>
      </w:r>
      <w:r>
        <w:rPr>
          <w:rFonts w:ascii="Calibri" w:cs="Calibri" w:eastAsia="Calibri" w:hAnsi="Calibri"/>
          <w:sz w:val="22"/>
          <w:szCs w:val="22"/>
        </w:rPr>
        <w:t xml:space="preserve"> (Management/Super Admin) — the server signs a time-limited state value containing the user id (HMAC-SHA256 with SESSION_SECRET) and returns the Xero authorize URL.</w:t>
      </w:r>
    </w:p>
    <w:p>
      <w:pPr>
        <w:pStyle w:val="ListParagraph"/>
        <w:numPr>
          <w:ilvl w:val="0"/>
          <w:numId w:val="3"/>
        </w:numPr>
        <w:spacing w:after="60"/>
      </w:pPr>
      <w:r>
        <w:rPr>
          <w:rFonts w:ascii="Calibri" w:cs="Calibri" w:eastAsia="Calibri" w:hAnsi="Calibri"/>
          <w:sz w:val="22"/>
          <w:szCs w:val="22"/>
        </w:rPr>
        <w:t xml:space="preserve">The browser visits the authorize URL and the user approves the scopes in Xero.</w:t>
      </w:r>
    </w:p>
    <w:p>
      <w:pPr>
        <w:pStyle w:val="ListParagraph"/>
        <w:numPr>
          <w:ilvl w:val="0"/>
          <w:numId w:val="3"/>
        </w:numPr>
        <w:spacing w:after="60"/>
      </w:pPr>
      <w:r>
        <w:rPr>
          <w:rFonts w:ascii="Consolas" w:cs="Consolas" w:eastAsia="Consolas" w:hAnsi="Consolas"/>
          <w:sz w:val="20"/>
          <w:szCs w:val="20"/>
          <w:shd w:fill="F8FAFC" w:color="auto" w:val="clear"/>
        </w:rPr>
        <w:t xml:space="preserve">GET /api/xero/callback</w:t>
      </w:r>
      <w:r>
        <w:rPr>
          <w:rFonts w:ascii="Calibri" w:cs="Calibri" w:eastAsia="Calibri" w:hAnsi="Calibri"/>
          <w:sz w:val="22"/>
          <w:szCs w:val="22"/>
        </w:rPr>
        <w:t xml:space="preserve"> — verifies the state signature, exchanges the code for tokens, resolves the tenant, and upserts everything into the </w:t>
      </w:r>
      <w:r>
        <w:rPr>
          <w:rFonts w:ascii="Consolas" w:cs="Consolas" w:eastAsia="Consolas" w:hAnsi="Consolas"/>
          <w:sz w:val="20"/>
          <w:szCs w:val="20"/>
          <w:shd w:fill="F8FAFC" w:color="auto" w:val="clear"/>
        </w:rPr>
        <w:t xml:space="preserve">XeroConnection</w:t>
      </w:r>
      <w:r>
        <w:rPr>
          <w:rFonts w:ascii="Calibri" w:cs="Calibri" w:eastAsia="Calibri" w:hAnsi="Calibri"/>
          <w:sz w:val="22"/>
          <w:szCs w:val="22"/>
        </w:rPr>
        <w:t xml:space="preserve"> table (a singleton row with id "default": accessToken, refreshToken, expiresAt, tenantId, tenantName).</w:t>
      </w:r>
    </w:p>
    <w:p>
      <w:pPr>
        <w:pStyle w:val="ListParagraph"/>
        <w:numPr>
          <w:ilvl w:val="0"/>
          <w:numId w:val="3"/>
        </w:numPr>
        <w:spacing w:after="60"/>
      </w:pPr>
      <w:r>
        <w:rPr>
          <w:rFonts w:ascii="Calibri" w:cs="Calibri" w:eastAsia="Calibri" w:hAnsi="Calibri"/>
          <w:sz w:val="22"/>
          <w:szCs w:val="22"/>
        </w:rPr>
        <w:t xml:space="preserve">If reconnecting to a DIFFERENT tenant, one atomic transaction clears every Client.xeroContactId and BillingMilestone.xeroInvoiceId so no stale cross-tenant references survive.</w:t>
      </w:r>
    </w:p>
    <w:p>
      <w:pPr>
        <w:spacing w:after="100"/>
      </w:pPr>
      <w:r>
        <w:rPr>
          <w:rFonts w:ascii="Calibri" w:cs="Calibri" w:eastAsia="Calibri" w:hAnsi="Calibri"/>
          <w:b/>
          <w:bCs/>
          <w:sz w:val="22"/>
          <w:szCs w:val="22"/>
        </w:rPr>
        <w:t xml:space="preserve">Token refresh: </w:t>
      </w:r>
      <w:r>
        <w:rPr>
          <w:rFonts w:ascii="Consolas" w:cs="Consolas" w:eastAsia="Consolas" w:hAnsi="Consolas"/>
          <w:sz w:val="20"/>
          <w:szCs w:val="20"/>
          <w:shd w:fill="F8FAFC" w:color="auto" w:val="clear"/>
        </w:rPr>
        <w:t xml:space="preserve">getValidAccessToken()</w:t>
      </w:r>
      <w:r>
        <w:rPr>
          <w:rFonts w:ascii="Calibri" w:cs="Calibri" w:eastAsia="Calibri" w:hAnsi="Calibri"/>
          <w:sz w:val="22"/>
          <w:szCs w:val="22"/>
        </w:rPr>
        <w:t xml:space="preserve"> refreshes when the token is within 60 seconds of expiry. Because Xero rotates the refresh token on every use, refreshes are serialized across server instances with a Postgres advisory lock (</w:t>
      </w:r>
      <w:r>
        <w:rPr>
          <w:rFonts w:ascii="Consolas" w:cs="Consolas" w:eastAsia="Consolas" w:hAnsi="Consolas"/>
          <w:sz w:val="20"/>
          <w:szCs w:val="20"/>
          <w:shd w:fill="F8FAFC" w:color="auto" w:val="clear"/>
        </w:rPr>
        <w:t xml:space="preserve">pg_advisory_xact_lock(0x58524f, 1)</w:t>
      </w:r>
      <w:r>
        <w:rPr>
          <w:rFonts w:ascii="Calibri" w:cs="Calibri" w:eastAsia="Calibri" w:hAnsi="Calibri"/>
          <w:sz w:val="22"/>
          <w:szCs w:val="22"/>
        </w:rPr>
        <w:t xml:space="preserve">) — two concurrent refreshes would otherwise invalidate each other's tokens.</w:t>
      </w:r>
    </w:p>
    <w:p>
      <w:pPr>
        <w:pStyle w:val="Heading2"/>
        <w:spacing w:after="120" w:before="280"/>
      </w:pPr>
      <w:r>
        <w:rPr>
          <w:rFonts w:ascii="Calibri" w:cs="Calibri" w:eastAsia="Calibri" w:hAnsi="Calibri"/>
          <w:b/>
          <w:bCs/>
          <w:color w:val="0F766E"/>
          <w:sz w:val="28"/>
          <w:szCs w:val="28"/>
        </w:rPr>
        <w:t xml:space="preserve">2.6 Invoice push flow</w:t>
      </w:r>
    </w:p>
    <w:p>
      <w:pPr>
        <w:pStyle w:val="ListParagraph"/>
        <w:numPr>
          <w:ilvl w:val="0"/>
          <w:numId w:val="4"/>
        </w:numPr>
        <w:spacing w:after="60"/>
      </w:pPr>
      <w:r>
        <w:rPr>
          <w:rFonts w:ascii="Calibri" w:cs="Calibri" w:eastAsia="Calibri" w:hAnsi="Calibri"/>
          <w:sz w:val="22"/>
          <w:szCs w:val="22"/>
        </w:rPr>
        <w:t xml:space="preserve">User presses "Send to Xero" on a billing milestone (Billing tab). The frontend calls </w:t>
      </w:r>
      <w:r>
        <w:rPr>
          <w:rFonts w:ascii="Consolas" w:cs="Consolas" w:eastAsia="Consolas" w:hAnsi="Consolas"/>
          <w:sz w:val="20"/>
          <w:szCs w:val="20"/>
          <w:shd w:fill="F8FAFC" w:color="auto" w:val="clear"/>
        </w:rPr>
        <w:t xml:space="preserve">POST /api/billing-milestones/:milestoneId/xero-invoice</w:t>
      </w:r>
      <w:r>
        <w:rPr>
          <w:rFonts w:ascii="Calibri" w:cs="Calibri" w:eastAsia="Calibri" w:hAnsi="Calibri"/>
          <w:sz w:val="22"/>
          <w:szCs w:val="22"/>
        </w:rPr>
        <w:t xml:space="preserve">.</w:t>
      </w:r>
    </w:p>
    <w:p>
      <w:pPr>
        <w:pStyle w:val="ListParagraph"/>
        <w:numPr>
          <w:ilvl w:val="0"/>
          <w:numId w:val="4"/>
        </w:numPr>
        <w:spacing w:after="60"/>
      </w:pPr>
      <w:r>
        <w:rPr>
          <w:rFonts w:ascii="Calibri" w:cs="Calibri" w:eastAsia="Calibri" w:hAnsi="Calibri"/>
          <w:sz w:val="22"/>
          <w:szCs w:val="22"/>
        </w:rPr>
        <w:t xml:space="preserve">The route takes a per-milestone advisory lock (</w:t>
      </w:r>
      <w:r>
        <w:rPr>
          <w:rFonts w:ascii="Consolas" w:cs="Consolas" w:eastAsia="Consolas" w:hAnsi="Consolas"/>
          <w:sz w:val="20"/>
          <w:szCs w:val="20"/>
          <w:shd w:fill="F8FAFC" w:color="auto" w:val="clear"/>
        </w:rPr>
        <w:t xml:space="preserve">pg_try_advisory_lock</w:t>
      </w:r>
      <w:r>
        <w:rPr>
          <w:rFonts w:ascii="Calibri" w:cs="Calibri" w:eastAsia="Calibri" w:hAnsi="Calibri"/>
          <w:sz w:val="22"/>
          <w:szCs w:val="22"/>
        </w:rPr>
        <w:t xml:space="preserve"> on the milestone id) so double-clicks or two tabs cannot push the same milestone twice.</w:t>
      </w:r>
    </w:p>
    <w:p>
      <w:pPr>
        <w:pStyle w:val="ListParagraph"/>
        <w:numPr>
          <w:ilvl w:val="0"/>
          <w:numId w:val="4"/>
        </w:numPr>
        <w:spacing w:after="60"/>
      </w:pPr>
      <w:r>
        <w:rPr>
          <w:rFonts w:ascii="Consolas" w:cs="Consolas" w:eastAsia="Consolas" w:hAnsi="Consolas"/>
          <w:sz w:val="20"/>
          <w:szCs w:val="20"/>
          <w:shd w:fill="F8FAFC" w:color="auto" w:val="clear"/>
        </w:rPr>
        <w:t xml:space="preserve">reserveInvoiceNumber()</w:t>
      </w:r>
      <w:r>
        <w:rPr>
          <w:rFonts w:ascii="Calibri" w:cs="Calibri" w:eastAsia="Calibri" w:hAnsi="Calibri"/>
          <w:sz w:val="22"/>
          <w:szCs w:val="22"/>
        </w:rPr>
        <w:t xml:space="preserve"> allocates the next INV/YYYY/MM/NNNN and writes it onto the milestone first. The column is DB-unique; on a P2002 unique-violation it retries with the next number. The number is therefore reserved before Xero is ever called.</w:t>
      </w:r>
    </w:p>
    <w:p>
      <w:pPr>
        <w:pStyle w:val="ListParagraph"/>
        <w:numPr>
          <w:ilvl w:val="0"/>
          <w:numId w:val="4"/>
        </w:numPr>
        <w:spacing w:after="60"/>
      </w:pPr>
      <w:r>
        <w:rPr>
          <w:rFonts w:ascii="Calibri" w:cs="Calibri" w:eastAsia="Calibri" w:hAnsi="Calibri"/>
          <w:sz w:val="22"/>
          <w:szCs w:val="22"/>
        </w:rPr>
        <w:t xml:space="preserve">The client is ensured as a Xero Contact (created on demand, id cached in </w:t>
      </w:r>
      <w:r>
        <w:rPr>
          <w:rFonts w:ascii="Consolas" w:cs="Consolas" w:eastAsia="Consolas" w:hAnsi="Consolas"/>
          <w:sz w:val="20"/>
          <w:szCs w:val="20"/>
          <w:shd w:fill="F8FAFC" w:color="auto" w:val="clear"/>
        </w:rPr>
        <w:t xml:space="preserve">Client.xeroContactId</w:t>
      </w:r>
      <w:r>
        <w:rPr>
          <w:rFonts w:ascii="Calibri" w:cs="Calibri" w:eastAsia="Calibri" w:hAnsi="Calibri"/>
          <w:sz w:val="22"/>
          <w:szCs w:val="22"/>
        </w:rPr>
        <w:t xml:space="preserve">).</w:t>
      </w:r>
    </w:p>
    <w:p>
      <w:pPr>
        <w:pStyle w:val="ListParagraph"/>
        <w:numPr>
          <w:ilvl w:val="0"/>
          <w:numId w:val="4"/>
        </w:numPr>
        <w:spacing w:after="60"/>
      </w:pPr>
      <w:r>
        <w:rPr>
          <w:rFonts w:ascii="Consolas" w:cs="Consolas" w:eastAsia="Consolas" w:hAnsi="Consolas"/>
          <w:sz w:val="20"/>
          <w:szCs w:val="20"/>
          <w:shd w:fill="F8FAFC" w:color="auto" w:val="clear"/>
        </w:rPr>
        <w:t xml:space="preserve">createInvoice()</w:t>
      </w:r>
      <w:r>
        <w:rPr>
          <w:rFonts w:ascii="Calibri" w:cs="Calibri" w:eastAsia="Calibri" w:hAnsi="Calibri"/>
          <w:sz w:val="22"/>
          <w:szCs w:val="22"/>
        </w:rPr>
        <w:t xml:space="preserve"> sends an ACCREC invoice with tax-inclusive line amounts (the gross milestone value). The revenue account comes from </w:t>
      </w:r>
      <w:r>
        <w:rPr>
          <w:rFonts w:ascii="Consolas" w:cs="Consolas" w:eastAsia="Consolas" w:hAnsi="Consolas"/>
          <w:sz w:val="20"/>
          <w:szCs w:val="20"/>
          <w:shd w:fill="F8FAFC" w:color="auto" w:val="clear"/>
        </w:rPr>
        <w:t xml:space="preserve">pickSalesAccountCode()</w:t>
      </w:r>
      <w:r>
        <w:rPr>
          <w:rFonts w:ascii="Calibri" w:cs="Calibri" w:eastAsia="Calibri" w:hAnsi="Calibri"/>
          <w:sz w:val="22"/>
          <w:szCs w:val="22"/>
        </w:rPr>
        <w:t xml:space="preserve"> and the tax type from </w:t>
      </w:r>
      <w:r>
        <w:rPr>
          <w:rFonts w:ascii="Consolas" w:cs="Consolas" w:eastAsia="Consolas" w:hAnsi="Consolas"/>
          <w:sz w:val="20"/>
          <w:szCs w:val="20"/>
          <w:shd w:fill="F8FAFC" w:color="auto" w:val="clear"/>
        </w:rPr>
        <w:t xml:space="preserve">pickSalesTaxType()</w:t>
      </w:r>
      <w:r>
        <w:rPr>
          <w:rFonts w:ascii="Calibri" w:cs="Calibri" w:eastAsia="Calibri" w:hAnsi="Calibri"/>
          <w:sz w:val="22"/>
          <w:szCs w:val="22"/>
        </w:rPr>
        <w:t xml:space="preserve"> (matched against the project's VAT percentage). Every call carries the </w:t>
      </w:r>
      <w:r>
        <w:rPr>
          <w:rFonts w:ascii="Consolas" w:cs="Consolas" w:eastAsia="Consolas" w:hAnsi="Consolas"/>
          <w:sz w:val="20"/>
          <w:szCs w:val="20"/>
          <w:shd w:fill="F8FAFC" w:color="auto" w:val="clear"/>
        </w:rPr>
        <w:t xml:space="preserve">Xero-tenant-id</w:t>
      </w:r>
      <w:r>
        <w:rPr>
          <w:rFonts w:ascii="Calibri" w:cs="Calibri" w:eastAsia="Calibri" w:hAnsi="Calibri"/>
          <w:sz w:val="22"/>
          <w:szCs w:val="22"/>
        </w:rPr>
        <w:t xml:space="preserve"> header.</w:t>
      </w:r>
    </w:p>
    <w:p>
      <w:pPr>
        <w:pStyle w:val="ListParagraph"/>
        <w:numPr>
          <w:ilvl w:val="0"/>
          <w:numId w:val="4"/>
        </w:numPr>
        <w:spacing w:after="60"/>
      </w:pPr>
      <w:r>
        <w:rPr>
          <w:rFonts w:ascii="Calibri" w:cs="Calibri" w:eastAsia="Calibri" w:hAnsi="Calibri"/>
          <w:sz w:val="22"/>
          <w:szCs w:val="22"/>
        </w:rPr>
        <w:t xml:space="preserve">On success the milestone stores xeroInvoiceId and becomes INVOICED. On failure the reserved invoice number stays on the milestone, so the retry reuses it — no numbering gaps.</w:t>
      </w:r>
    </w:p>
    <w:p>
      <w:pPr>
        <w:pStyle w:val="Heading2"/>
        <w:spacing w:after="120" w:before="280"/>
      </w:pPr>
      <w:r>
        <w:rPr>
          <w:rFonts w:ascii="Calibri" w:cs="Calibri" w:eastAsia="Calibri" w:hAnsi="Calibri"/>
          <w:b/>
          <w:bCs/>
          <w:color w:val="0F766E"/>
          <w:sz w:val="28"/>
          <w:szCs w:val="28"/>
        </w:rPr>
        <w:t xml:space="preserve">2.7 Payment sync</w:t>
      </w:r>
    </w:p>
    <w:p>
      <w:pPr>
        <w:pStyle w:val="ListParagraph"/>
        <w:numPr>
          <w:ilvl w:val="0"/>
          <w:numId w:val="1"/>
        </w:numPr>
        <w:spacing w:after="60"/>
      </w:pPr>
      <w:r>
        <w:rPr>
          <w:rFonts w:ascii="Consolas" w:cs="Consolas" w:eastAsia="Consolas" w:hAnsi="Consolas"/>
          <w:sz w:val="20"/>
          <w:szCs w:val="20"/>
          <w:shd w:fill="F8FAFC" w:color="auto" w:val="clear"/>
        </w:rPr>
        <w:t xml:space="preserve">runPaymentSync()</w:t>
      </w:r>
      <w:r>
        <w:rPr>
          <w:rFonts w:ascii="Calibri" w:cs="Calibri" w:eastAsia="Calibri" w:hAnsi="Calibri"/>
          <w:sz w:val="22"/>
          <w:szCs w:val="22"/>
        </w:rPr>
        <w:t xml:space="preserve"> fetches the pushed invoices from Xero in chunks and updates xeroAmountDue / xeroAmountPaid / xeroAmountCredited on each milestone.</w:t>
      </w:r>
    </w:p>
    <w:p>
      <w:pPr>
        <w:pStyle w:val="ListParagraph"/>
        <w:numPr>
          <w:ilvl w:val="0"/>
          <w:numId w:val="1"/>
        </w:numPr>
        <w:spacing w:after="60"/>
      </w:pPr>
      <w:r>
        <w:rPr>
          <w:rFonts w:ascii="Calibri" w:cs="Calibri" w:eastAsia="Calibri" w:hAnsi="Calibri"/>
          <w:sz w:val="22"/>
          <w:szCs w:val="22"/>
        </w:rPr>
        <w:t xml:space="preserve">A milestone flips to PAID (and </w:t>
      </w:r>
      <w:r>
        <w:rPr>
          <w:rFonts w:ascii="Consolas" w:cs="Consolas" w:eastAsia="Consolas" w:hAnsi="Consolas"/>
          <w:sz w:val="20"/>
          <w:szCs w:val="20"/>
          <w:shd w:fill="F8FAFC" w:color="auto" w:val="clear"/>
        </w:rPr>
        <w:t xml:space="preserve">paidAt</w:t>
      </w:r>
      <w:r>
        <w:rPr>
          <w:rFonts w:ascii="Calibri" w:cs="Calibri" w:eastAsia="Calibri" w:hAnsi="Calibri"/>
          <w:sz w:val="22"/>
          <w:szCs w:val="22"/>
        </w:rPr>
        <w:t xml:space="preserve"> is stamped) only when Xero reports </w:t>
      </w:r>
      <w:r>
        <w:rPr>
          <w:rFonts w:ascii="Consolas" w:cs="Consolas" w:eastAsia="Consolas" w:hAnsi="Consolas"/>
          <w:sz w:val="20"/>
          <w:szCs w:val="20"/>
          <w:shd w:fill="F8FAFC" w:color="auto" w:val="clear"/>
        </w:rPr>
        <w:t xml:space="preserve">Status === "PAID"</w:t>
      </w:r>
      <w:r>
        <w:rPr>
          <w:rFonts w:ascii="Calibri" w:cs="Calibri" w:eastAsia="Calibri" w:hAnsi="Calibri"/>
          <w:sz w:val="22"/>
          <w:szCs w:val="22"/>
        </w:rPr>
        <w:t xml:space="preserve"> — deliberately NOT on AmountDue = 0, because AmountDue can also be 0 for VOIDED, DELETED, or fully credited invoices.</w:t>
      </w:r>
    </w:p>
    <w:p>
      <w:pPr>
        <w:pStyle w:val="ListParagraph"/>
        <w:numPr>
          <w:ilvl w:val="0"/>
          <w:numId w:val="1"/>
        </w:numPr>
        <w:spacing w:after="60"/>
      </w:pPr>
      <w:r>
        <w:rPr>
          <w:rFonts w:ascii="Calibri" w:cs="Calibri" w:eastAsia="Calibri" w:hAnsi="Calibri"/>
          <w:sz w:val="22"/>
          <w:szCs w:val="22"/>
        </w:rPr>
        <w:t xml:space="preserve">Automatic: a 30-minute interval in </w:t>
      </w:r>
      <w:r>
        <w:rPr>
          <w:rFonts w:ascii="Consolas" w:cs="Consolas" w:eastAsia="Consolas" w:hAnsi="Consolas"/>
          <w:sz w:val="20"/>
          <w:szCs w:val="20"/>
          <w:shd w:fill="F8FAFC" w:color="auto" w:val="clear"/>
        </w:rPr>
        <w:t xml:space="preserve">artifacts/api-server/src/index.ts</w:t>
      </w:r>
      <w:r>
        <w:rPr>
          <w:rFonts w:ascii="Calibri" w:cs="Calibri" w:eastAsia="Calibri" w:hAnsi="Calibri"/>
          <w:sz w:val="22"/>
          <w:szCs w:val="22"/>
        </w:rPr>
        <w:t xml:space="preserve"> runs the sync while </w:t>
      </w:r>
      <w:r>
        <w:rPr>
          <w:rFonts w:ascii="Consolas" w:cs="Consolas" w:eastAsia="Consolas" w:hAnsi="Consolas"/>
          <w:sz w:val="20"/>
          <w:szCs w:val="20"/>
          <w:shd w:fill="F8FAFC" w:color="auto" w:val="clear"/>
        </w:rPr>
        <w:t xml:space="preserve">AppSetting.xeroAutoSyncEnabled</w:t>
      </w:r>
      <w:r>
        <w:rPr>
          <w:rFonts w:ascii="Calibri" w:cs="Calibri" w:eastAsia="Calibri" w:hAnsi="Calibri"/>
          <w:sz w:val="22"/>
          <w:szCs w:val="22"/>
        </w:rPr>
        <w:t xml:space="preserve"> is true. Manual: </w:t>
      </w:r>
      <w:r>
        <w:rPr>
          <w:rFonts w:ascii="Consolas" w:cs="Consolas" w:eastAsia="Consolas" w:hAnsi="Consolas"/>
          <w:sz w:val="20"/>
          <w:szCs w:val="20"/>
          <w:shd w:fill="F8FAFC" w:color="auto" w:val="clear"/>
        </w:rPr>
        <w:t xml:space="preserve">POST /api/xero/sync-payments</w:t>
      </w:r>
      <w:r>
        <w:rPr>
          <w:rFonts w:ascii="Calibri" w:cs="Calibri" w:eastAsia="Calibri" w:hAnsi="Calibri"/>
          <w:sz w:val="22"/>
          <w:szCs w:val="22"/>
        </w:rPr>
        <w:t xml:space="preserve"> or the "Sync from Xero" button in the Billing tab.</w:t>
      </w:r>
    </w:p>
    <w:p>
      <w:pPr>
        <w:pStyle w:val="Heading2"/>
        <w:spacing w:after="120" w:before="280"/>
      </w:pPr>
      <w:r>
        <w:rPr>
          <w:rFonts w:ascii="Calibri" w:cs="Calibri" w:eastAsia="Calibri" w:hAnsi="Calibri"/>
          <w:b/>
          <w:bCs/>
          <w:color w:val="0F766E"/>
          <w:sz w:val="28"/>
          <w:szCs w:val="28"/>
        </w:rPr>
        <w:t xml:space="preserve">2.8 Endpoints</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rPr>
          <w:tblHeader/>
        </w:trPr>
        <w:tc>
          <w:tcPr>
            <w:tcW w:type="pct" w:w="42%"/>
            <w:shd w:fill="0F766E" w:color="auto" w:val="clear"/>
            <w:tcMar>
              <w:top w:type="dxa" w:w="60"/>
              <w:left w:type="dxa" w:w="80"/>
              <w:bottom w:type="dxa" w:w="60"/>
              <w:right w:type="dxa" w:w="80"/>
            </w:tcMar>
          </w:tcPr>
          <w:p>
            <w:r>
              <w:rPr>
                <w:rFonts w:ascii="Calibri" w:cs="Calibri" w:eastAsia="Calibri" w:hAnsi="Calibri"/>
                <w:b/>
                <w:bCs/>
                <w:color w:val="FFFFFF"/>
                <w:sz w:val="20"/>
                <w:szCs w:val="20"/>
              </w:rPr>
              <w:t xml:space="preserve">Method &amp; path</w:t>
            </w:r>
          </w:p>
        </w:tc>
        <w:tc>
          <w:tcPr>
            <w:tcW w:type="pct" w:w="22%"/>
            <w:shd w:fill="0F766E" w:color="auto" w:val="clear"/>
            <w:tcMar>
              <w:top w:type="dxa" w:w="60"/>
              <w:left w:type="dxa" w:w="80"/>
              <w:bottom w:type="dxa" w:w="60"/>
              <w:right w:type="dxa" w:w="80"/>
            </w:tcMar>
          </w:tcPr>
          <w:p>
            <w:r>
              <w:rPr>
                <w:rFonts w:ascii="Calibri" w:cs="Calibri" w:eastAsia="Calibri" w:hAnsi="Calibri"/>
                <w:b/>
                <w:bCs/>
                <w:color w:val="FFFFFF"/>
                <w:sz w:val="20"/>
                <w:szCs w:val="20"/>
              </w:rPr>
              <w:t xml:space="preserve">Access</w:t>
            </w:r>
          </w:p>
        </w:tc>
        <w:tc>
          <w:tcPr>
            <w:tcW w:type="pct" w:w="36%"/>
            <w:shd w:fill="0F766E" w:color="auto" w:val="clear"/>
            <w:tcMar>
              <w:top w:type="dxa" w:w="60"/>
              <w:left w:type="dxa" w:w="80"/>
              <w:bottom w:type="dxa" w:w="60"/>
              <w:right w:type="dxa" w:w="80"/>
            </w:tcMar>
          </w:tcPr>
          <w:p>
            <w:r>
              <w:rPr>
                <w:rFonts w:ascii="Calibri" w:cs="Calibri" w:eastAsia="Calibri" w:hAnsi="Calibri"/>
                <w:b/>
                <w:bCs/>
                <w:color w:val="FFFFFF"/>
                <w:sz w:val="20"/>
                <w:szCs w:val="20"/>
              </w:rPr>
              <w:t xml:space="preserve">Purpose</w:t>
            </w:r>
          </w:p>
        </w:tc>
      </w:tr>
      <w:tr>
        <w:tc>
          <w:tcPr>
            <w:tcW w:type="pct" w:w="42%"/>
            <w:shd w:fill="FFFFFF" w:color="auto" w:val="clear"/>
            <w:tcMar>
              <w:top w:type="dxa" w:w="60"/>
              <w:left w:type="dxa" w:w="80"/>
              <w:bottom w:type="dxa" w:w="60"/>
              <w:right w:type="dxa" w:w="80"/>
            </w:tcMar>
          </w:tcPr>
          <w:p>
            <w:r>
              <w:rPr>
                <w:rFonts w:ascii="Consolas" w:cs="Consolas" w:eastAsia="Consolas" w:hAnsi="Consolas"/>
                <w:sz w:val="18"/>
                <w:szCs w:val="18"/>
              </w:rPr>
              <w:t xml:space="preserve">GET /api/xero/status</w:t>
            </w:r>
          </w:p>
        </w:tc>
        <w:tc>
          <w:tcPr>
            <w:tcW w:type="pct" w:w="22%"/>
            <w:shd w:fill="FFFFFF" w:color="auto" w:val="clear"/>
            <w:tcMar>
              <w:top w:type="dxa" w:w="60"/>
              <w:left w:type="dxa" w:w="80"/>
              <w:bottom w:type="dxa" w:w="60"/>
              <w:right w:type="dxa" w:w="80"/>
            </w:tcMar>
          </w:tcPr>
          <w:p>
            <w:r>
              <w:rPr>
                <w:rFonts w:ascii="Calibri" w:cs="Calibri" w:eastAsia="Calibri" w:hAnsi="Calibri"/>
                <w:sz w:val="20"/>
                <w:szCs w:val="20"/>
              </w:rPr>
              <w:t xml:space="preserve">MGMT / Finance / Super Admin</w:t>
            </w:r>
          </w:p>
        </w:tc>
        <w:tc>
          <w:tcPr>
            <w:tcW w:type="pct" w:w="36%"/>
            <w:shd w:fill="FFFFFF" w:color="auto" w:val="clear"/>
            <w:tcMar>
              <w:top w:type="dxa" w:w="60"/>
              <w:left w:type="dxa" w:w="80"/>
              <w:bottom w:type="dxa" w:w="60"/>
              <w:right w:type="dxa" w:w="80"/>
            </w:tcMar>
          </w:tcPr>
          <w:p>
            <w:r>
              <w:rPr>
                <w:rFonts w:ascii="Calibri" w:cs="Calibri" w:eastAsia="Calibri" w:hAnsi="Calibri"/>
                <w:sz w:val="20"/>
                <w:szCs w:val="20"/>
              </w:rPr>
              <w:t xml:space="preserve">Connection status (tenant name, connected flag)</w:t>
            </w:r>
          </w:p>
        </w:tc>
      </w:tr>
      <w:tr>
        <w:tc>
          <w:tcPr>
            <w:tcW w:type="pct" w:w="42%"/>
            <w:shd w:fill="F1F5F9" w:color="auto" w:val="clear"/>
            <w:tcMar>
              <w:top w:type="dxa" w:w="60"/>
              <w:left w:type="dxa" w:w="80"/>
              <w:bottom w:type="dxa" w:w="60"/>
              <w:right w:type="dxa" w:w="80"/>
            </w:tcMar>
          </w:tcPr>
          <w:p>
            <w:r>
              <w:rPr>
                <w:rFonts w:ascii="Consolas" w:cs="Consolas" w:eastAsia="Consolas" w:hAnsi="Consolas"/>
                <w:sz w:val="18"/>
                <w:szCs w:val="18"/>
              </w:rPr>
              <w:t xml:space="preserve">POST /api/xero/connect-url</w:t>
            </w:r>
          </w:p>
        </w:tc>
        <w:tc>
          <w:tcPr>
            <w:tcW w:type="pct" w:w="22%"/>
            <w:shd w:fill="F1F5F9" w:color="auto" w:val="clear"/>
            <w:tcMar>
              <w:top w:type="dxa" w:w="60"/>
              <w:left w:type="dxa" w:w="80"/>
              <w:bottom w:type="dxa" w:w="60"/>
              <w:right w:type="dxa" w:w="80"/>
            </w:tcMar>
          </w:tcPr>
          <w:p>
            <w:r>
              <w:rPr>
                <w:rFonts w:ascii="Calibri" w:cs="Calibri" w:eastAsia="Calibri" w:hAnsi="Calibri"/>
                <w:sz w:val="20"/>
                <w:szCs w:val="20"/>
              </w:rPr>
              <w:t xml:space="preserve">MGMT / Finance / Super Admin</w:t>
            </w:r>
          </w:p>
        </w:tc>
        <w:tc>
          <w:tcPr>
            <w:tcW w:type="pct" w:w="36%"/>
            <w:shd w:fill="F1F5F9" w:color="auto" w:val="clear"/>
            <w:tcMar>
              <w:top w:type="dxa" w:w="60"/>
              <w:left w:type="dxa" w:w="80"/>
              <w:bottom w:type="dxa" w:w="60"/>
              <w:right w:type="dxa" w:w="80"/>
            </w:tcMar>
          </w:tcPr>
          <w:p>
            <w:r>
              <w:rPr>
                <w:rFonts w:ascii="Calibri" w:cs="Calibri" w:eastAsia="Calibri" w:hAnsi="Calibri"/>
                <w:sz w:val="20"/>
                <w:szCs w:val="20"/>
              </w:rPr>
              <w:t xml:space="preserve">Returns the Xero authorize URL with signed state</w:t>
            </w:r>
          </w:p>
        </w:tc>
      </w:tr>
      <w:tr>
        <w:tc>
          <w:tcPr>
            <w:tcW w:type="pct" w:w="42%"/>
            <w:shd w:fill="FFFFFF" w:color="auto" w:val="clear"/>
            <w:tcMar>
              <w:top w:type="dxa" w:w="60"/>
              <w:left w:type="dxa" w:w="80"/>
              <w:bottom w:type="dxa" w:w="60"/>
              <w:right w:type="dxa" w:w="80"/>
            </w:tcMar>
          </w:tcPr>
          <w:p>
            <w:r>
              <w:rPr>
                <w:rFonts w:ascii="Consolas" w:cs="Consolas" w:eastAsia="Consolas" w:hAnsi="Consolas"/>
                <w:sz w:val="18"/>
                <w:szCs w:val="18"/>
              </w:rPr>
              <w:t xml:space="preserve">GET /api/xero/callback</w:t>
            </w:r>
          </w:p>
        </w:tc>
        <w:tc>
          <w:tcPr>
            <w:tcW w:type="pct" w:w="22%"/>
            <w:shd w:fill="FFFFFF" w:color="auto" w:val="clear"/>
            <w:tcMar>
              <w:top w:type="dxa" w:w="60"/>
              <w:left w:type="dxa" w:w="80"/>
              <w:bottom w:type="dxa" w:w="60"/>
              <w:right w:type="dxa" w:w="80"/>
            </w:tcMar>
          </w:tcPr>
          <w:p>
            <w:r>
              <w:rPr>
                <w:rFonts w:ascii="Calibri" w:cs="Calibri" w:eastAsia="Calibri" w:hAnsi="Calibri"/>
                <w:sz w:val="20"/>
                <w:szCs w:val="20"/>
              </w:rPr>
              <w:t xml:space="preserve">Public (state-verified)</w:t>
            </w:r>
          </w:p>
        </w:tc>
        <w:tc>
          <w:tcPr>
            <w:tcW w:type="pct" w:w="36%"/>
            <w:shd w:fill="FFFFFF" w:color="auto" w:val="clear"/>
            <w:tcMar>
              <w:top w:type="dxa" w:w="60"/>
              <w:left w:type="dxa" w:w="80"/>
              <w:bottom w:type="dxa" w:w="60"/>
              <w:right w:type="dxa" w:w="80"/>
            </w:tcMar>
          </w:tcPr>
          <w:p>
            <w:r>
              <w:rPr>
                <w:rFonts w:ascii="Calibri" w:cs="Calibri" w:eastAsia="Calibri" w:hAnsi="Calibri"/>
                <w:sz w:val="20"/>
                <w:szCs w:val="20"/>
              </w:rPr>
              <w:t xml:space="preserve">OAuth redirect target; exchanges code, stores tokens</w:t>
            </w:r>
          </w:p>
        </w:tc>
      </w:tr>
      <w:tr>
        <w:tc>
          <w:tcPr>
            <w:tcW w:type="pct" w:w="42%"/>
            <w:shd w:fill="F1F5F9" w:color="auto" w:val="clear"/>
            <w:tcMar>
              <w:top w:type="dxa" w:w="60"/>
              <w:left w:type="dxa" w:w="80"/>
              <w:bottom w:type="dxa" w:w="60"/>
              <w:right w:type="dxa" w:w="80"/>
            </w:tcMar>
          </w:tcPr>
          <w:p>
            <w:r>
              <w:rPr>
                <w:rFonts w:ascii="Consolas" w:cs="Consolas" w:eastAsia="Consolas" w:hAnsi="Consolas"/>
                <w:sz w:val="18"/>
                <w:szCs w:val="18"/>
              </w:rPr>
              <w:t xml:space="preserve">POST /api/xero/disconnect</w:t>
            </w:r>
          </w:p>
        </w:tc>
        <w:tc>
          <w:tcPr>
            <w:tcW w:type="pct" w:w="22%"/>
            <w:shd w:fill="F1F5F9" w:color="auto" w:val="clear"/>
            <w:tcMar>
              <w:top w:type="dxa" w:w="60"/>
              <w:left w:type="dxa" w:w="80"/>
              <w:bottom w:type="dxa" w:w="60"/>
              <w:right w:type="dxa" w:w="80"/>
            </w:tcMar>
          </w:tcPr>
          <w:p>
            <w:r>
              <w:rPr>
                <w:rFonts w:ascii="Calibri" w:cs="Calibri" w:eastAsia="Calibri" w:hAnsi="Calibri"/>
                <w:sz w:val="20"/>
                <w:szCs w:val="20"/>
              </w:rPr>
              <w:t xml:space="preserve">MGMT / Finance / Super Admin</w:t>
            </w:r>
          </w:p>
        </w:tc>
        <w:tc>
          <w:tcPr>
            <w:tcW w:type="pct" w:w="36%"/>
            <w:shd w:fill="F1F5F9" w:color="auto" w:val="clear"/>
            <w:tcMar>
              <w:top w:type="dxa" w:w="60"/>
              <w:left w:type="dxa" w:w="80"/>
              <w:bottom w:type="dxa" w:w="60"/>
              <w:right w:type="dxa" w:w="80"/>
            </w:tcMar>
          </w:tcPr>
          <w:p>
            <w:r>
              <w:rPr>
                <w:rFonts w:ascii="Calibri" w:cs="Calibri" w:eastAsia="Calibri" w:hAnsi="Calibri"/>
                <w:sz w:val="20"/>
                <w:szCs w:val="20"/>
              </w:rPr>
              <w:t xml:space="preserve">Deletes the stored connection</w:t>
            </w:r>
          </w:p>
        </w:tc>
      </w:tr>
      <w:tr>
        <w:tc>
          <w:tcPr>
            <w:tcW w:type="pct" w:w="42%"/>
            <w:shd w:fill="FFFFFF" w:color="auto" w:val="clear"/>
            <w:tcMar>
              <w:top w:type="dxa" w:w="60"/>
              <w:left w:type="dxa" w:w="80"/>
              <w:bottom w:type="dxa" w:w="60"/>
              <w:right w:type="dxa" w:w="80"/>
            </w:tcMar>
          </w:tcPr>
          <w:p>
            <w:r>
              <w:rPr>
                <w:rFonts w:ascii="Consolas" w:cs="Consolas" w:eastAsia="Consolas" w:hAnsi="Consolas"/>
                <w:sz w:val="18"/>
                <w:szCs w:val="18"/>
              </w:rPr>
              <w:t xml:space="preserve">POST /api/clients/:id/xero-sync</w:t>
            </w:r>
          </w:p>
        </w:tc>
        <w:tc>
          <w:tcPr>
            <w:tcW w:type="pct" w:w="22%"/>
            <w:shd w:fill="FFFFFF" w:color="auto" w:val="clear"/>
            <w:tcMar>
              <w:top w:type="dxa" w:w="60"/>
              <w:left w:type="dxa" w:w="80"/>
              <w:bottom w:type="dxa" w:w="60"/>
              <w:right w:type="dxa" w:w="80"/>
            </w:tcMar>
          </w:tcPr>
          <w:p>
            <w:r>
              <w:rPr>
                <w:rFonts w:ascii="Calibri" w:cs="Calibri" w:eastAsia="Calibri" w:hAnsi="Calibri"/>
                <w:sz w:val="20"/>
                <w:szCs w:val="20"/>
              </w:rPr>
              <w:t xml:space="preserve">MGMT / Finance / Super Admin</w:t>
            </w:r>
          </w:p>
        </w:tc>
        <w:tc>
          <w:tcPr>
            <w:tcW w:type="pct" w:w="36%"/>
            <w:shd w:fill="FFFFFF" w:color="auto" w:val="clear"/>
            <w:tcMar>
              <w:top w:type="dxa" w:w="60"/>
              <w:left w:type="dxa" w:w="80"/>
              <w:bottom w:type="dxa" w:w="60"/>
              <w:right w:type="dxa" w:w="80"/>
            </w:tcMar>
          </w:tcPr>
          <w:p>
            <w:r>
              <w:rPr>
                <w:rFonts w:ascii="Calibri" w:cs="Calibri" w:eastAsia="Calibri" w:hAnsi="Calibri"/>
                <w:sz w:val="20"/>
                <w:szCs w:val="20"/>
              </w:rPr>
              <w:t xml:space="preserve">Creates/updates the client as a Xero Contact</w:t>
            </w:r>
          </w:p>
        </w:tc>
      </w:tr>
      <w:tr>
        <w:tc>
          <w:tcPr>
            <w:tcW w:type="pct" w:w="42%"/>
            <w:shd w:fill="F1F5F9" w:color="auto" w:val="clear"/>
            <w:tcMar>
              <w:top w:type="dxa" w:w="60"/>
              <w:left w:type="dxa" w:w="80"/>
              <w:bottom w:type="dxa" w:w="60"/>
              <w:right w:type="dxa" w:w="80"/>
            </w:tcMar>
          </w:tcPr>
          <w:p>
            <w:r>
              <w:rPr>
                <w:rFonts w:ascii="Consolas" w:cs="Consolas" w:eastAsia="Consolas" w:hAnsi="Consolas"/>
                <w:sz w:val="18"/>
                <w:szCs w:val="18"/>
              </w:rPr>
              <w:t xml:space="preserve">POST /api/billing-milestones/:milestoneId/xero-invoice</w:t>
            </w:r>
          </w:p>
        </w:tc>
        <w:tc>
          <w:tcPr>
            <w:tcW w:type="pct" w:w="22%"/>
            <w:shd w:fill="F1F5F9" w:color="auto" w:val="clear"/>
            <w:tcMar>
              <w:top w:type="dxa" w:w="60"/>
              <w:left w:type="dxa" w:w="80"/>
              <w:bottom w:type="dxa" w:w="60"/>
              <w:right w:type="dxa" w:w="80"/>
            </w:tcMar>
          </w:tcPr>
          <w:p>
            <w:r>
              <w:rPr>
                <w:rFonts w:ascii="Calibri" w:cs="Calibri" w:eastAsia="Calibri" w:hAnsi="Calibri"/>
                <w:sz w:val="20"/>
                <w:szCs w:val="20"/>
              </w:rPr>
              <w:t xml:space="preserve">MGMT / Finance / Super Admin / assigned PM</w:t>
            </w:r>
          </w:p>
        </w:tc>
        <w:tc>
          <w:tcPr>
            <w:tcW w:type="pct" w:w="36%"/>
            <w:shd w:fill="F1F5F9" w:color="auto" w:val="clear"/>
            <w:tcMar>
              <w:top w:type="dxa" w:w="60"/>
              <w:left w:type="dxa" w:w="80"/>
              <w:bottom w:type="dxa" w:w="60"/>
              <w:right w:type="dxa" w:w="80"/>
            </w:tcMar>
          </w:tcPr>
          <w:p>
            <w:r>
              <w:rPr>
                <w:rFonts w:ascii="Calibri" w:cs="Calibri" w:eastAsia="Calibri" w:hAnsi="Calibri"/>
                <w:sz w:val="20"/>
                <w:szCs w:val="20"/>
              </w:rPr>
              <w:t xml:space="preserve">Reserves the invoice number and pushes the invoice</w:t>
            </w:r>
          </w:p>
        </w:tc>
      </w:tr>
      <w:tr>
        <w:tc>
          <w:tcPr>
            <w:tcW w:type="pct" w:w="42%"/>
            <w:shd w:fill="FFFFFF" w:color="auto" w:val="clear"/>
            <w:tcMar>
              <w:top w:type="dxa" w:w="60"/>
              <w:left w:type="dxa" w:w="80"/>
              <w:bottom w:type="dxa" w:w="60"/>
              <w:right w:type="dxa" w:w="80"/>
            </w:tcMar>
          </w:tcPr>
          <w:p>
            <w:r>
              <w:rPr>
                <w:rFonts w:ascii="Consolas" w:cs="Consolas" w:eastAsia="Consolas" w:hAnsi="Consolas"/>
                <w:sz w:val="18"/>
                <w:szCs w:val="18"/>
              </w:rPr>
              <w:t xml:space="preserve">POST /api/xero/sync-payments</w:t>
            </w:r>
          </w:p>
        </w:tc>
        <w:tc>
          <w:tcPr>
            <w:tcW w:type="pct" w:w="22%"/>
            <w:shd w:fill="FFFFFF" w:color="auto" w:val="clear"/>
            <w:tcMar>
              <w:top w:type="dxa" w:w="60"/>
              <w:left w:type="dxa" w:w="80"/>
              <w:bottom w:type="dxa" w:w="60"/>
              <w:right w:type="dxa" w:w="80"/>
            </w:tcMar>
          </w:tcPr>
          <w:p>
            <w:r>
              <w:rPr>
                <w:rFonts w:ascii="Calibri" w:cs="Calibri" w:eastAsia="Calibri" w:hAnsi="Calibri"/>
                <w:sz w:val="20"/>
                <w:szCs w:val="20"/>
              </w:rPr>
              <w:t xml:space="preserve">MGMT / Finance / Super Admin</w:t>
            </w:r>
          </w:p>
        </w:tc>
        <w:tc>
          <w:tcPr>
            <w:tcW w:type="pct" w:w="36%"/>
            <w:shd w:fill="FFFFFF" w:color="auto" w:val="clear"/>
            <w:tcMar>
              <w:top w:type="dxa" w:w="60"/>
              <w:left w:type="dxa" w:w="80"/>
              <w:bottom w:type="dxa" w:w="60"/>
              <w:right w:type="dxa" w:w="80"/>
            </w:tcMar>
          </w:tcPr>
          <w:p>
            <w:r>
              <w:rPr>
                <w:rFonts w:ascii="Calibri" w:cs="Calibri" w:eastAsia="Calibri" w:hAnsi="Calibri"/>
                <w:sz w:val="20"/>
                <w:szCs w:val="20"/>
              </w:rPr>
              <w:t xml:space="preserve">Manual payment-status pull</w:t>
            </w:r>
          </w:p>
        </w:tc>
      </w:tr>
    </w:tbl>
    <w:p>
      <w:pPr>
        <w:pStyle w:val="Heading2"/>
        <w:spacing w:after="120" w:before="280"/>
      </w:pPr>
      <w:r>
        <w:rPr>
          <w:rFonts w:ascii="Calibri" w:cs="Calibri" w:eastAsia="Calibri" w:hAnsi="Calibri"/>
          <w:b/>
          <w:bCs/>
          <w:color w:val="0F766E"/>
          <w:sz w:val="28"/>
          <w:szCs w:val="28"/>
        </w:rPr>
        <w:t xml:space="preserve">2.9 Error handling &amp; edge cases</w:t>
      </w:r>
    </w:p>
    <w:p>
      <w:pPr>
        <w:pStyle w:val="ListParagraph"/>
        <w:numPr>
          <w:ilvl w:val="0"/>
          <w:numId w:val="1"/>
        </w:numPr>
        <w:spacing w:after="60"/>
      </w:pPr>
      <w:r>
        <w:rPr>
          <w:rFonts w:ascii="Calibri" w:cs="Calibri" w:eastAsia="Calibri" w:hAnsi="Calibri"/>
          <w:sz w:val="22"/>
          <w:szCs w:val="22"/>
        </w:rPr>
        <w:t xml:space="preserve">Xero validation errors (bad tax rate, archived account, …) are parsed out of the structured ValidationErrors response and surfaced as readable messages instead of a generic 502.</w:t>
      </w:r>
    </w:p>
    <w:p>
      <w:pPr>
        <w:pStyle w:val="ListParagraph"/>
        <w:numPr>
          <w:ilvl w:val="0"/>
          <w:numId w:val="1"/>
        </w:numPr>
        <w:spacing w:after="60"/>
      </w:pPr>
      <w:r>
        <w:rPr>
          <w:rFonts w:ascii="Calibri" w:cs="Calibri" w:eastAsia="Calibri" w:hAnsi="Calibri"/>
          <w:sz w:val="22"/>
          <w:szCs w:val="22"/>
        </w:rPr>
        <w:t xml:space="preserve">The OAuth token fetch is bounded with a 12-second AbortController timeout so a hung token endpoint cannot hold the refresh advisory lock indefinitely.</w:t>
      </w:r>
    </w:p>
    <w:p>
      <w:pPr>
        <w:pStyle w:val="ListParagraph"/>
        <w:numPr>
          <w:ilvl w:val="0"/>
          <w:numId w:val="1"/>
        </w:numPr>
        <w:spacing w:after="60"/>
      </w:pPr>
      <w:r>
        <w:rPr>
          <w:rFonts w:ascii="Calibri" w:cs="Calibri" w:eastAsia="Calibri" w:hAnsi="Calibri"/>
          <w:sz w:val="22"/>
          <w:szCs w:val="22"/>
        </w:rPr>
        <w:t xml:space="preserve">The OAuth state check fails closed: without a valid SESSION_SECRET signature the callback is rejected.</w:t>
      </w:r>
    </w:p>
    <w:p>
      <w:pPr>
        <w:pStyle w:val="ListParagraph"/>
        <w:numPr>
          <w:ilvl w:val="0"/>
          <w:numId w:val="1"/>
        </w:numPr>
        <w:spacing w:after="60"/>
      </w:pPr>
      <w:r>
        <w:rPr>
          <w:rFonts w:ascii="Calibri" w:cs="Calibri" w:eastAsia="Calibri" w:hAnsi="Calibri"/>
          <w:sz w:val="22"/>
          <w:szCs w:val="22"/>
        </w:rPr>
        <w:t xml:space="preserve">Reconnect to a new tenant wipes cached Xero ids atomically (see 2.5).</w:t>
      </w:r>
    </w:p>
    <w:p>
      <w:r>
        <w:br w:type="page"/>
      </w:r>
    </w:p>
    <w:p>
      <w:pPr>
        <w:pStyle w:val="Heading1"/>
        <w:spacing w:after="160" w:before="360"/>
      </w:pPr>
      <w:r>
        <w:rPr>
          <w:rFonts w:ascii="Calibri" w:cs="Calibri" w:eastAsia="Calibri" w:hAnsi="Calibri"/>
          <w:b/>
          <w:bCs/>
          <w:color w:val="0F766E"/>
          <w:sz w:val="36"/>
          <w:szCs w:val="36"/>
        </w:rPr>
        <w:t xml:space="preserve">3. Pipedrive CRM Integration</w:t>
      </w:r>
    </w:p>
    <w:p>
      <w:pPr>
        <w:pStyle w:val="Heading2"/>
        <w:spacing w:after="120" w:before="280"/>
      </w:pPr>
      <w:r>
        <w:rPr>
          <w:rFonts w:ascii="Calibri" w:cs="Calibri" w:eastAsia="Calibri" w:hAnsi="Calibri"/>
          <w:b/>
          <w:bCs/>
          <w:color w:val="0F766E"/>
          <w:sz w:val="28"/>
          <w:szCs w:val="28"/>
        </w:rPr>
        <w:t xml:space="preserve">3.1 What it does</w:t>
      </w:r>
    </w:p>
    <w:p>
      <w:pPr>
        <w:pStyle w:val="ListParagraph"/>
        <w:numPr>
          <w:ilvl w:val="0"/>
          <w:numId w:val="1"/>
        </w:numPr>
        <w:spacing w:after="60"/>
      </w:pPr>
      <w:r>
        <w:rPr>
          <w:rFonts w:ascii="Calibri" w:cs="Calibri" w:eastAsia="Calibri" w:hAnsi="Calibri"/>
          <w:sz w:val="22"/>
          <w:szCs w:val="22"/>
        </w:rPr>
        <w:t xml:space="preserve">One-way import: OPEN deals in Pipedrive become Leads in the Sales Pipeline kanban. The app never writes back to Pipedrive.</w:t>
      </w:r>
    </w:p>
    <w:p>
      <w:pPr>
        <w:pStyle w:val="ListParagraph"/>
        <w:numPr>
          <w:ilvl w:val="0"/>
          <w:numId w:val="1"/>
        </w:numPr>
        <w:spacing w:after="60"/>
      </w:pPr>
      <w:r>
        <w:rPr>
          <w:rFonts w:ascii="Calibri" w:cs="Calibri" w:eastAsia="Calibri" w:hAnsi="Calibri"/>
          <w:sz w:val="22"/>
          <w:szCs w:val="22"/>
        </w:rPr>
        <w:t xml:space="preserve">Three triggers: a manual full sync (button in Settings), an optional 15-minute auto-sync poller in </w:t>
      </w:r>
      <w:r>
        <w:rPr>
          <w:rFonts w:ascii="Consolas" w:cs="Consolas" w:eastAsia="Consolas" w:hAnsi="Consolas"/>
          <w:sz w:val="20"/>
          <w:szCs w:val="20"/>
          <w:shd w:fill="F8FAFC" w:color="auto" w:val="clear"/>
        </w:rPr>
        <w:t xml:space="preserve">artifacts/api-server/src/index.ts</w:t>
      </w:r>
      <w:r>
        <w:rPr>
          <w:rFonts w:ascii="Calibri" w:cs="Calibri" w:eastAsia="Calibri" w:hAnsi="Calibri"/>
          <w:sz w:val="22"/>
          <w:szCs w:val="22"/>
        </w:rPr>
        <w:t xml:space="preserve"> (gated by </w:t>
      </w:r>
      <w:r>
        <w:rPr>
          <w:rFonts w:ascii="Consolas" w:cs="Consolas" w:eastAsia="Consolas" w:hAnsi="Consolas"/>
          <w:sz w:val="20"/>
          <w:szCs w:val="20"/>
          <w:shd w:fill="F8FAFC" w:color="auto" w:val="clear"/>
        </w:rPr>
        <w:t xml:space="preserve">AppSetting.pipedriveAutoSyncEnabled</w:t>
      </w:r>
      <w:r>
        <w:rPr>
          <w:rFonts w:ascii="Calibri" w:cs="Calibri" w:eastAsia="Calibri" w:hAnsi="Calibri"/>
          <w:sz w:val="22"/>
          <w:szCs w:val="22"/>
        </w:rPr>
        <w:t xml:space="preserve">, default OFF, shares the same single-run claim guard), and an optional Pipedrive webhook that mirrors single-deal changes in near-real-time.</w:t>
      </w:r>
    </w:p>
    <w:p>
      <w:pPr>
        <w:pStyle w:val="ListParagraph"/>
        <w:numPr>
          <w:ilvl w:val="0"/>
          <w:numId w:val="1"/>
        </w:numPr>
        <w:spacing w:after="60"/>
      </w:pPr>
      <w:r>
        <w:rPr>
          <w:rFonts w:ascii="Calibri" w:cs="Calibri" w:eastAsia="Calibri" w:hAnsi="Calibri"/>
          <w:sz w:val="22"/>
          <w:szCs w:val="22"/>
        </w:rPr>
        <w:t xml:space="preserve">Won leads are converted into DRAFT projects via the standard lead-convert endpoint; converted leads are never overwritten by later syncs.</w:t>
      </w:r>
    </w:p>
    <w:p>
      <w:pPr>
        <w:pStyle w:val="Heading2"/>
        <w:spacing w:after="120" w:before="280"/>
      </w:pPr>
      <w:r>
        <w:rPr>
          <w:rFonts w:ascii="Calibri" w:cs="Calibri" w:eastAsia="Calibri" w:hAnsi="Calibri"/>
          <w:b/>
          <w:bCs/>
          <w:color w:val="0F766E"/>
          <w:sz w:val="28"/>
          <w:szCs w:val="28"/>
        </w:rPr>
        <w:t xml:space="preserve">3.2 File map</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42%"/>
            <w:shd w:fill="0F766E" w:color="auto" w:val="clear"/>
            <w:tcMar>
              <w:top w:type="dxa" w:w="60"/>
              <w:left w:type="dxa" w:w="80"/>
              <w:bottom w:type="dxa" w:w="60"/>
              <w:right w:type="dxa" w:w="80"/>
            </w:tcMar>
          </w:tcPr>
          <w:p>
            <w:r>
              <w:rPr>
                <w:rFonts w:ascii="Calibri" w:cs="Calibri" w:eastAsia="Calibri" w:hAnsi="Calibri"/>
                <w:b/>
                <w:bCs/>
                <w:color w:val="FFFFFF"/>
                <w:sz w:val="20"/>
                <w:szCs w:val="20"/>
              </w:rPr>
              <w:t xml:space="preserve">File</w:t>
            </w:r>
          </w:p>
        </w:tc>
        <w:tc>
          <w:tcPr>
            <w:tcW w:type="pct" w:w="58%"/>
            <w:shd w:fill="0F766E" w:color="auto" w:val="clear"/>
            <w:tcMar>
              <w:top w:type="dxa" w:w="60"/>
              <w:left w:type="dxa" w:w="80"/>
              <w:bottom w:type="dxa" w:w="60"/>
              <w:right w:type="dxa" w:w="80"/>
            </w:tcMar>
          </w:tcPr>
          <w:p>
            <w:r>
              <w:rPr>
                <w:rFonts w:ascii="Calibri" w:cs="Calibri" w:eastAsia="Calibri" w:hAnsi="Calibri"/>
                <w:b/>
                <w:bCs/>
                <w:color w:val="FFFFFF"/>
                <w:sz w:val="20"/>
                <w:szCs w:val="20"/>
              </w:rPr>
              <w:t xml:space="preserve">Responsibility</w:t>
            </w:r>
          </w:p>
        </w:tc>
      </w:tr>
      <w:tr>
        <w:tc>
          <w:tcPr>
            <w:tcW w:type="pct" w:w="42%"/>
            <w:shd w:fill="FFFFFF" w:color="auto" w:val="clear"/>
            <w:tcMar>
              <w:top w:type="dxa" w:w="60"/>
              <w:left w:type="dxa" w:w="80"/>
              <w:bottom w:type="dxa" w:w="60"/>
              <w:right w:type="dxa" w:w="80"/>
            </w:tcMar>
          </w:tcPr>
          <w:p>
            <w:r>
              <w:rPr>
                <w:rFonts w:ascii="Consolas" w:cs="Consolas" w:eastAsia="Consolas" w:hAnsi="Consolas"/>
                <w:sz w:val="18"/>
                <w:szCs w:val="18"/>
              </w:rPr>
              <w:t xml:space="preserve">artifacts/api-server/src/lib/pipedrive.ts</w:t>
            </w:r>
          </w:p>
        </w:tc>
        <w:tc>
          <w:tcPr>
            <w:tcW w:type="pct" w:w="58%"/>
            <w:shd w:fill="FFFFFF" w:color="auto" w:val="clear"/>
            <w:tcMar>
              <w:top w:type="dxa" w:w="60"/>
              <w:left w:type="dxa" w:w="80"/>
              <w:bottom w:type="dxa" w:w="60"/>
              <w:right w:type="dxa" w:w="80"/>
            </w:tcMar>
          </w:tcPr>
          <w:p>
            <w:r>
              <w:rPr>
                <w:rFonts w:ascii="Calibri" w:cs="Calibri" w:eastAsia="Calibri" w:hAnsi="Calibri"/>
                <w:sz w:val="20"/>
                <w:szCs w:val="20"/>
              </w:rPr>
              <w:t xml:space="preserve">REST client (x-api-token header), field mapping deal→Lead, currency conversion, full-sync orchestration, per-deal advisory lock, sync claim/stale logic</w:t>
            </w:r>
          </w:p>
        </w:tc>
      </w:tr>
      <w:tr>
        <w:tc>
          <w:tcPr>
            <w:tcW w:type="pct" w:w="42%"/>
            <w:shd w:fill="F1F5F9" w:color="auto" w:val="clear"/>
            <w:tcMar>
              <w:top w:type="dxa" w:w="60"/>
              <w:left w:type="dxa" w:w="80"/>
              <w:bottom w:type="dxa" w:w="60"/>
              <w:right w:type="dxa" w:w="80"/>
            </w:tcMar>
          </w:tcPr>
          <w:p>
            <w:r>
              <w:rPr>
                <w:rFonts w:ascii="Consolas" w:cs="Consolas" w:eastAsia="Consolas" w:hAnsi="Consolas"/>
                <w:sz w:val="18"/>
                <w:szCs w:val="18"/>
              </w:rPr>
              <w:t xml:space="preserve">artifacts/api-server/src/routes/pipedrive.ts</w:t>
            </w:r>
          </w:p>
        </w:tc>
        <w:tc>
          <w:tcPr>
            <w:tcW w:type="pct" w:w="58%"/>
            <w:shd w:fill="F1F5F9" w:color="auto" w:val="clear"/>
            <w:tcMar>
              <w:top w:type="dxa" w:w="60"/>
              <w:left w:type="dxa" w:w="80"/>
              <w:bottom w:type="dxa" w:w="60"/>
              <w:right w:type="dxa" w:w="80"/>
            </w:tcMar>
          </w:tcPr>
          <w:p>
            <w:r>
              <w:rPr>
                <w:rFonts w:ascii="Calibri" w:cs="Calibri" w:eastAsia="Calibri" w:hAnsi="Calibri"/>
                <w:sz w:val="20"/>
                <w:szCs w:val="20"/>
              </w:rPr>
              <w:t xml:space="preserve">Endpoints: status, sync (202 + fire-and-forget), settings, stage mappings, webhook</w:t>
            </w:r>
          </w:p>
        </w:tc>
      </w:tr>
      <w:tr>
        <w:tc>
          <w:tcPr>
            <w:tcW w:type="pct" w:w="42%"/>
            <w:shd w:fill="FFFFFF" w:color="auto" w:val="clear"/>
            <w:tcMar>
              <w:top w:type="dxa" w:w="60"/>
              <w:left w:type="dxa" w:w="80"/>
              <w:bottom w:type="dxa" w:w="60"/>
              <w:right w:type="dxa" w:w="80"/>
            </w:tcMar>
          </w:tcPr>
          <w:p>
            <w:r>
              <w:rPr>
                <w:rFonts w:ascii="Consolas" w:cs="Consolas" w:eastAsia="Consolas" w:hAnsi="Consolas"/>
                <w:sz w:val="18"/>
                <w:szCs w:val="18"/>
              </w:rPr>
              <w:t xml:space="preserve">artifacts/api-server/src/routes/leads.ts</w:t>
            </w:r>
          </w:p>
        </w:tc>
        <w:tc>
          <w:tcPr>
            <w:tcW w:type="pct" w:w="58%"/>
            <w:shd w:fill="FFFFFF" w:color="auto" w:val="clear"/>
            <w:tcMar>
              <w:top w:type="dxa" w:w="60"/>
              <w:left w:type="dxa" w:w="80"/>
              <w:bottom w:type="dxa" w:w="60"/>
              <w:right w:type="dxa" w:w="80"/>
            </w:tcMar>
          </w:tcPr>
          <w:p>
            <w:r>
              <w:rPr>
                <w:rFonts w:ascii="Calibri" w:cs="Calibri" w:eastAsia="Calibri" w:hAnsi="Calibri"/>
                <w:sz w:val="20"/>
                <w:szCs w:val="20"/>
              </w:rPr>
              <w:t xml:space="preserve">POST /api/leads/:id/convert — turns a WON lead into a DRAFT project</w:t>
            </w:r>
          </w:p>
        </w:tc>
      </w:tr>
      <w:tr>
        <w:tc>
          <w:tcPr>
            <w:tcW w:type="pct" w:w="42%"/>
            <w:shd w:fill="F1F5F9" w:color="auto" w:val="clear"/>
            <w:tcMar>
              <w:top w:type="dxa" w:w="60"/>
              <w:left w:type="dxa" w:w="80"/>
              <w:bottom w:type="dxa" w:w="60"/>
              <w:right w:type="dxa" w:w="80"/>
            </w:tcMar>
          </w:tcPr>
          <w:p>
            <w:r>
              <w:rPr>
                <w:rFonts w:ascii="Consolas" w:cs="Consolas" w:eastAsia="Consolas" w:hAnsi="Consolas"/>
                <w:sz w:val="18"/>
                <w:szCs w:val="18"/>
              </w:rPr>
              <w:t xml:space="preserve">artifacts/api-server/src/app.ts</w:t>
            </w:r>
          </w:p>
        </w:tc>
        <w:tc>
          <w:tcPr>
            <w:tcW w:type="pct" w:w="58%"/>
            <w:shd w:fill="F1F5F9" w:color="auto" w:val="clear"/>
            <w:tcMar>
              <w:top w:type="dxa" w:w="60"/>
              <w:left w:type="dxa" w:w="80"/>
              <w:bottom w:type="dxa" w:w="60"/>
              <w:right w:type="dxa" w:w="80"/>
            </w:tcMar>
          </w:tcPr>
          <w:p>
            <w:r>
              <w:rPr>
                <w:rFonts w:ascii="Calibri" w:cs="Calibri" w:eastAsia="Calibri" w:hAnsi="Calibri"/>
                <w:sz w:val="20"/>
                <w:szCs w:val="20"/>
              </w:rPr>
              <w:t xml:space="preserve">Exempts the webhook path from the production site gate so Pipedrive can reach it</w:t>
            </w:r>
          </w:p>
        </w:tc>
      </w:tr>
      <w:tr>
        <w:tc>
          <w:tcPr>
            <w:tcW w:type="pct" w:w="42%"/>
            <w:shd w:fill="FFFFFF" w:color="auto" w:val="clear"/>
            <w:tcMar>
              <w:top w:type="dxa" w:w="60"/>
              <w:left w:type="dxa" w:w="80"/>
              <w:bottom w:type="dxa" w:w="60"/>
              <w:right w:type="dxa" w:w="80"/>
            </w:tcMar>
          </w:tcPr>
          <w:p>
            <w:r>
              <w:rPr>
                <w:rFonts w:ascii="Consolas" w:cs="Consolas" w:eastAsia="Consolas" w:hAnsi="Consolas"/>
                <w:sz w:val="18"/>
                <w:szCs w:val="18"/>
              </w:rPr>
              <w:t xml:space="preserve">lib/db/prisma/schema.prisma</w:t>
            </w:r>
          </w:p>
        </w:tc>
        <w:tc>
          <w:tcPr>
            <w:tcW w:type="pct" w:w="58%"/>
            <w:shd w:fill="FFFFFF" w:color="auto" w:val="clear"/>
            <w:tcMar>
              <w:top w:type="dxa" w:w="60"/>
              <w:left w:type="dxa" w:w="80"/>
              <w:bottom w:type="dxa" w:w="60"/>
              <w:right w:type="dxa" w:w="80"/>
            </w:tcMar>
          </w:tcPr>
          <w:p>
            <w:r>
              <w:rPr>
                <w:rFonts w:ascii="Calibri" w:cs="Calibri" w:eastAsia="Calibri" w:hAnsi="Calibri"/>
                <w:sz w:val="20"/>
                <w:szCs w:val="20"/>
              </w:rPr>
              <w:t xml:space="preserve">Models: Lead (pipedriveDealId unique, pipedriveUpdatedAt), Client.pipedriveOrgId, PipedriveStageMapping, AppSetting keys (pipedriveSyncStartedAt/FinishedAt/Result, pipedriveDefaultOwnerId)</w:t>
            </w:r>
          </w:p>
        </w:tc>
      </w:tr>
      <w:tr>
        <w:tc>
          <w:tcPr>
            <w:tcW w:type="pct" w:w="42%"/>
            <w:shd w:fill="F1F5F9" w:color="auto" w:val="clear"/>
            <w:tcMar>
              <w:top w:type="dxa" w:w="60"/>
              <w:left w:type="dxa" w:w="80"/>
              <w:bottom w:type="dxa" w:w="60"/>
              <w:right w:type="dxa" w:w="80"/>
            </w:tcMar>
          </w:tcPr>
          <w:p>
            <w:r>
              <w:rPr>
                <w:rFonts w:ascii="Consolas" w:cs="Consolas" w:eastAsia="Consolas" w:hAnsi="Consolas"/>
                <w:sz w:val="18"/>
                <w:szCs w:val="18"/>
              </w:rPr>
              <w:t xml:space="preserve">artifacts/web/src/pages/settings/PipedriveIntegrationCard.tsx</w:t>
            </w:r>
          </w:p>
        </w:tc>
        <w:tc>
          <w:tcPr>
            <w:tcW w:type="pct" w:w="58%"/>
            <w:shd w:fill="F1F5F9" w:color="auto" w:val="clear"/>
            <w:tcMar>
              <w:top w:type="dxa" w:w="60"/>
              <w:left w:type="dxa" w:w="80"/>
              <w:bottom w:type="dxa" w:w="60"/>
              <w:right w:type="dxa" w:w="80"/>
            </w:tcMar>
          </w:tcPr>
          <w:p>
            <w:r>
              <w:rPr>
                <w:rFonts w:ascii="Calibri" w:cs="Calibri" w:eastAsia="Calibri" w:hAnsi="Calibri"/>
                <w:sz w:val="20"/>
                <w:szCs w:val="20"/>
              </w:rPr>
              <w:t xml:space="preserve">Status card, "Sync now" button, 3-second status polling, default-owner and stage-mapping editors</w:t>
            </w:r>
          </w:p>
        </w:tc>
      </w:tr>
      <w:tr>
        <w:tc>
          <w:tcPr>
            <w:tcW w:type="pct" w:w="42%"/>
            <w:shd w:fill="FFFFFF" w:color="auto" w:val="clear"/>
            <w:tcMar>
              <w:top w:type="dxa" w:w="60"/>
              <w:left w:type="dxa" w:w="80"/>
              <w:bottom w:type="dxa" w:w="60"/>
              <w:right w:type="dxa" w:w="80"/>
            </w:tcMar>
          </w:tcPr>
          <w:p>
            <w:r>
              <w:rPr>
                <w:rFonts w:ascii="Consolas" w:cs="Consolas" w:eastAsia="Consolas" w:hAnsi="Consolas"/>
                <w:sz w:val="18"/>
                <w:szCs w:val="18"/>
              </w:rPr>
              <w:t xml:space="preserve">artifacts/web/src/pages/leads/index.tsx</w:t>
            </w:r>
          </w:p>
        </w:tc>
        <w:tc>
          <w:tcPr>
            <w:tcW w:type="pct" w:w="58%"/>
            <w:shd w:fill="FFFFFF" w:color="auto" w:val="clear"/>
            <w:tcMar>
              <w:top w:type="dxa" w:w="60"/>
              <w:left w:type="dxa" w:w="80"/>
              <w:bottom w:type="dxa" w:w="60"/>
              <w:right w:type="dxa" w:w="80"/>
            </w:tcMar>
          </w:tcPr>
          <w:p>
            <w:r>
              <w:rPr>
                <w:rFonts w:ascii="Calibri" w:cs="Calibri" w:eastAsia="Calibri" w:hAnsi="Calibri"/>
                <w:sz w:val="20"/>
                <w:szCs w:val="20"/>
              </w:rPr>
              <w:t xml:space="preserve">Sales Pipeline kanban (NEW → QUALIFIED → PROPOSAL → NEGOTIATION → WON / LOST) and the convert dialog</w:t>
            </w:r>
          </w:p>
        </w:tc>
      </w:tr>
    </w:tbl>
    <w:p>
      <w:pPr>
        <w:pStyle w:val="Heading2"/>
        <w:spacing w:after="120" w:before="280"/>
      </w:pPr>
      <w:r>
        <w:rPr>
          <w:rFonts w:ascii="Calibri" w:cs="Calibri" w:eastAsia="Calibri" w:hAnsi="Calibri"/>
          <w:b/>
          <w:bCs/>
          <w:color w:val="0F766E"/>
          <w:sz w:val="28"/>
          <w:szCs w:val="28"/>
        </w:rPr>
        <w:t xml:space="preserve">3.3 Setup</w:t>
      </w:r>
    </w:p>
    <w:p>
      <w:pPr>
        <w:pStyle w:val="ListParagraph"/>
        <w:numPr>
          <w:ilvl w:val="0"/>
          <w:numId w:val="5"/>
        </w:numPr>
        <w:spacing w:after="60"/>
      </w:pPr>
      <w:r>
        <w:rPr>
          <w:rFonts w:ascii="Calibri" w:cs="Calibri" w:eastAsia="Calibri" w:hAnsi="Calibri"/>
          <w:sz w:val="22"/>
          <w:szCs w:val="22"/>
        </w:rPr>
        <w:t xml:space="preserve">In Pipedrive: Settings → Personal preferences → API → copy the personal API token.</w:t>
      </w:r>
    </w:p>
    <w:p>
      <w:pPr>
        <w:pStyle w:val="ListParagraph"/>
        <w:numPr>
          <w:ilvl w:val="0"/>
          <w:numId w:val="5"/>
        </w:numPr>
        <w:spacing w:after="60"/>
      </w:pPr>
      <w:r>
        <w:rPr>
          <w:rFonts w:ascii="Calibri" w:cs="Calibri" w:eastAsia="Calibri" w:hAnsi="Calibri"/>
          <w:sz w:val="22"/>
          <w:szCs w:val="22"/>
        </w:rPr>
        <w:t xml:space="preserve">Set secrets </w:t>
      </w:r>
      <w:r>
        <w:rPr>
          <w:rFonts w:ascii="Consolas" w:cs="Consolas" w:eastAsia="Consolas" w:hAnsi="Consolas"/>
          <w:sz w:val="20"/>
          <w:szCs w:val="20"/>
          <w:shd w:fill="F8FAFC" w:color="auto" w:val="clear"/>
        </w:rPr>
        <w:t xml:space="preserve">PIPEDRIVE_API_TOKEN</w:t>
      </w:r>
      <w:r>
        <w:rPr>
          <w:rFonts w:ascii="Calibri" w:cs="Calibri" w:eastAsia="Calibri" w:hAnsi="Calibri"/>
          <w:sz w:val="22"/>
          <w:szCs w:val="22"/>
        </w:rPr>
        <w:t xml:space="preserve"> and </w:t>
      </w:r>
      <w:r>
        <w:rPr>
          <w:rFonts w:ascii="Consolas" w:cs="Consolas" w:eastAsia="Consolas" w:hAnsi="Consolas"/>
          <w:sz w:val="20"/>
          <w:szCs w:val="20"/>
          <w:shd w:fill="F8FAFC" w:color="auto" w:val="clear"/>
        </w:rPr>
        <w:t xml:space="preserve">PIPEDRIVE_API_DOMAIN</w:t>
      </w:r>
      <w:r>
        <w:rPr>
          <w:rFonts w:ascii="Calibri" w:cs="Calibri" w:eastAsia="Calibri" w:hAnsi="Calibri"/>
          <w:sz w:val="22"/>
          <w:szCs w:val="22"/>
        </w:rPr>
        <w:t xml:space="preserve"> (e.g. </w:t>
      </w:r>
      <w:r>
        <w:rPr>
          <w:rFonts w:ascii="Consolas" w:cs="Consolas" w:eastAsia="Consolas" w:hAnsi="Consolas"/>
          <w:sz w:val="20"/>
          <w:szCs w:val="20"/>
          <w:shd w:fill="F8FAFC" w:color="auto" w:val="clear"/>
        </w:rPr>
        <w:t xml:space="preserve">yourcompany.pipedrive.com</w:t>
      </w:r>
      <w:r>
        <w:rPr>
          <w:rFonts w:ascii="Calibri" w:cs="Calibri" w:eastAsia="Calibri" w:hAnsi="Calibri"/>
          <w:sz w:val="22"/>
          <w:szCs w:val="22"/>
        </w:rPr>
        <w:t xml:space="preserve">).</w:t>
      </w:r>
    </w:p>
    <w:p>
      <w:pPr>
        <w:pStyle w:val="ListParagraph"/>
        <w:numPr>
          <w:ilvl w:val="0"/>
          <w:numId w:val="5"/>
        </w:numPr>
        <w:spacing w:after="60"/>
      </w:pPr>
      <w:r>
        <w:rPr>
          <w:rFonts w:ascii="Calibri" w:cs="Calibri" w:eastAsia="Calibri" w:hAnsi="Calibri"/>
          <w:sz w:val="22"/>
          <w:szCs w:val="22"/>
        </w:rPr>
        <w:t xml:space="preserve">In the app: Settings → Pipedrive CRM (Management/Super Admin only) → set a Default Owner (fallback Sales user) and map Pipedrive stage IDs to app stages.</w:t>
      </w:r>
    </w:p>
    <w:p>
      <w:pPr>
        <w:pStyle w:val="ListParagraph"/>
        <w:numPr>
          <w:ilvl w:val="0"/>
          <w:numId w:val="5"/>
        </w:numPr>
        <w:spacing w:after="60"/>
      </w:pPr>
      <w:r>
        <w:rPr>
          <w:rFonts w:ascii="Calibri" w:cs="Calibri" w:eastAsia="Calibri" w:hAnsi="Calibri"/>
          <w:sz w:val="22"/>
          <w:szCs w:val="22"/>
        </w:rPr>
        <w:t xml:space="preserve">Optional webhook: in Pipedrive create a webhook for deal events pointing to </w:t>
      </w:r>
      <w:r>
        <w:rPr>
          <w:rFonts w:ascii="Consolas" w:cs="Consolas" w:eastAsia="Consolas" w:hAnsi="Consolas"/>
          <w:sz w:val="20"/>
          <w:szCs w:val="20"/>
          <w:shd w:fill="F8FAFC" w:color="auto" w:val="clear"/>
        </w:rPr>
        <w:t xml:space="preserve">https://&lt;your-domain&gt;/api/pipedrive/webhook</w:t>
      </w:r>
      <w:r>
        <w:rPr>
          <w:rFonts w:ascii="Calibri" w:cs="Calibri" w:eastAsia="Calibri" w:hAnsi="Calibri"/>
          <w:sz w:val="22"/>
          <w:szCs w:val="22"/>
        </w:rPr>
        <w:t xml:space="preserve">. The shared secret is NOT an environment variable — it is stored in the database (</w:t>
      </w:r>
      <w:r>
        <w:rPr>
          <w:rFonts w:ascii="Consolas" w:cs="Consolas" w:eastAsia="Consolas" w:hAnsi="Consolas"/>
          <w:sz w:val="20"/>
          <w:szCs w:val="20"/>
          <w:shd w:fill="F8FAFC" w:color="auto" w:val="clear"/>
        </w:rPr>
        <w:t xml:space="preserve">AppSetting.pipedriveWebhookSecret</w:t>
      </w:r>
      <w:r>
        <w:rPr>
          <w:rFonts w:ascii="Calibri" w:cs="Calibri" w:eastAsia="Calibri" w:hAnsi="Calibri"/>
          <w:sz w:val="22"/>
          <w:szCs w:val="22"/>
        </w:rPr>
        <w:t xml:space="preserve">) and configured via the Settings card (</w:t>
      </w:r>
      <w:r>
        <w:rPr>
          <w:rFonts w:ascii="Consolas" w:cs="Consolas" w:eastAsia="Consolas" w:hAnsi="Consolas"/>
          <w:sz w:val="20"/>
          <w:szCs w:val="20"/>
          <w:shd w:fill="F8FAFC" w:color="auto" w:val="clear"/>
        </w:rPr>
        <w:t xml:space="preserve">PUT /api/pipedrive/settings</w:t>
      </w:r>
      <w:r>
        <w:rPr>
          <w:rFonts w:ascii="Calibri" w:cs="Calibri" w:eastAsia="Calibri" w:hAnsi="Calibri"/>
          <w:sz w:val="22"/>
          <w:szCs w:val="22"/>
        </w:rPr>
        <w:t xml:space="preserve">). Pipedrive must send it as the HTTP Basic password or a </w:t>
      </w:r>
      <w:r>
        <w:rPr>
          <w:rFonts w:ascii="Consolas" w:cs="Consolas" w:eastAsia="Consolas" w:hAnsi="Consolas"/>
          <w:sz w:val="20"/>
          <w:szCs w:val="20"/>
          <w:shd w:fill="F8FAFC" w:color="auto" w:val="clear"/>
        </w:rPr>
        <w:t xml:space="preserve">?token=</w:t>
      </w:r>
      <w:r>
        <w:rPr>
          <w:rFonts w:ascii="Calibri" w:cs="Calibri" w:eastAsia="Calibri" w:hAnsi="Calibri"/>
          <w:sz w:val="22"/>
          <w:szCs w:val="22"/>
        </w:rPr>
        <w:t xml:space="preserve"> query parameter. Warning: while no secret is configured, the endpoint accepts unauthenticated pings (pre-setup phase) — set the secret before enabling the webhook in production.</w:t>
      </w:r>
    </w:p>
    <w:p>
      <w:pPr>
        <w:pStyle w:val="Heading2"/>
        <w:spacing w:after="120" w:before="280"/>
      </w:pPr>
      <w:r>
        <w:rPr>
          <w:rFonts w:ascii="Calibri" w:cs="Calibri" w:eastAsia="Calibri" w:hAnsi="Calibri"/>
          <w:b/>
          <w:bCs/>
          <w:color w:val="0F766E"/>
          <w:sz w:val="28"/>
          <w:szCs w:val="28"/>
        </w:rPr>
        <w:t xml:space="preserve">3.4 Environment variables</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rPr>
          <w:tblHeader/>
        </w:trPr>
        <w:tc>
          <w:tcPr>
            <w:tcW w:type="pct" w:w="34%"/>
            <w:shd w:fill="0F766E" w:color="auto" w:val="clear"/>
            <w:tcMar>
              <w:top w:type="dxa" w:w="60"/>
              <w:left w:type="dxa" w:w="80"/>
              <w:bottom w:type="dxa" w:w="60"/>
              <w:right w:type="dxa" w:w="80"/>
            </w:tcMar>
          </w:tcPr>
          <w:p>
            <w:r>
              <w:rPr>
                <w:rFonts w:ascii="Calibri" w:cs="Calibri" w:eastAsia="Calibri" w:hAnsi="Calibri"/>
                <w:b/>
                <w:bCs/>
                <w:color w:val="FFFFFF"/>
                <w:sz w:val="20"/>
                <w:szCs w:val="20"/>
              </w:rPr>
              <w:t xml:space="preserve">Variable</w:t>
            </w:r>
          </w:p>
        </w:tc>
        <w:tc>
          <w:tcPr>
            <w:tcW w:type="pct" w:w="14%"/>
            <w:shd w:fill="0F766E" w:color="auto" w:val="clear"/>
            <w:tcMar>
              <w:top w:type="dxa" w:w="60"/>
              <w:left w:type="dxa" w:w="80"/>
              <w:bottom w:type="dxa" w:w="60"/>
              <w:right w:type="dxa" w:w="80"/>
            </w:tcMar>
          </w:tcPr>
          <w:p>
            <w:r>
              <w:rPr>
                <w:rFonts w:ascii="Calibri" w:cs="Calibri" w:eastAsia="Calibri" w:hAnsi="Calibri"/>
                <w:b/>
                <w:bCs/>
                <w:color w:val="FFFFFF"/>
                <w:sz w:val="20"/>
                <w:szCs w:val="20"/>
              </w:rPr>
              <w:t xml:space="preserve">Required</w:t>
            </w:r>
          </w:p>
        </w:tc>
        <w:tc>
          <w:tcPr>
            <w:tcW w:type="pct" w:w="52%"/>
            <w:shd w:fill="0F766E" w:color="auto" w:val="clear"/>
            <w:tcMar>
              <w:top w:type="dxa" w:w="60"/>
              <w:left w:type="dxa" w:w="80"/>
              <w:bottom w:type="dxa" w:w="60"/>
              <w:right w:type="dxa" w:w="80"/>
            </w:tcMar>
          </w:tcPr>
          <w:p>
            <w:r>
              <w:rPr>
                <w:rFonts w:ascii="Calibri" w:cs="Calibri" w:eastAsia="Calibri" w:hAnsi="Calibri"/>
                <w:b/>
                <w:bCs/>
                <w:color w:val="FFFFFF"/>
                <w:sz w:val="20"/>
                <w:szCs w:val="20"/>
              </w:rPr>
              <w:t xml:space="preserve">Purpose</w:t>
            </w:r>
          </w:p>
        </w:tc>
      </w:tr>
      <w:tr>
        <w:tc>
          <w:tcPr>
            <w:tcW w:type="pct" w:w="34%"/>
            <w:shd w:fill="FFFFFF" w:color="auto" w:val="clear"/>
            <w:tcMar>
              <w:top w:type="dxa" w:w="60"/>
              <w:left w:type="dxa" w:w="80"/>
              <w:bottom w:type="dxa" w:w="60"/>
              <w:right w:type="dxa" w:w="80"/>
            </w:tcMar>
          </w:tcPr>
          <w:p>
            <w:r>
              <w:rPr>
                <w:rFonts w:ascii="Consolas" w:cs="Consolas" w:eastAsia="Consolas" w:hAnsi="Consolas"/>
                <w:sz w:val="18"/>
                <w:szCs w:val="18"/>
              </w:rPr>
              <w:t xml:space="preserve">PIPEDRIVE_API_TOKEN</w:t>
            </w:r>
          </w:p>
        </w:tc>
        <w:tc>
          <w:tcPr>
            <w:tcW w:type="pct" w:w="14%"/>
            <w:shd w:fill="FFFFFF" w:color="auto" w:val="clear"/>
            <w:tcMar>
              <w:top w:type="dxa" w:w="60"/>
              <w:left w:type="dxa" w:w="80"/>
              <w:bottom w:type="dxa" w:w="60"/>
              <w:right w:type="dxa" w:w="80"/>
            </w:tcMar>
          </w:tcPr>
          <w:p>
            <w:r>
              <w:rPr>
                <w:rFonts w:ascii="Calibri" w:cs="Calibri" w:eastAsia="Calibri" w:hAnsi="Calibri"/>
                <w:sz w:val="20"/>
                <w:szCs w:val="20"/>
              </w:rPr>
              <w:t xml:space="preserve">Yes</w:t>
            </w:r>
          </w:p>
        </w:tc>
        <w:tc>
          <w:tcPr>
            <w:tcW w:type="pct" w:w="52%"/>
            <w:shd w:fill="FFFFFF" w:color="auto" w:val="clear"/>
            <w:tcMar>
              <w:top w:type="dxa" w:w="60"/>
              <w:left w:type="dxa" w:w="80"/>
              <w:bottom w:type="dxa" w:w="60"/>
              <w:right w:type="dxa" w:w="80"/>
            </w:tcMar>
          </w:tcPr>
          <w:p>
            <w:r>
              <w:rPr>
                <w:rFonts w:ascii="Calibri" w:cs="Calibri" w:eastAsia="Calibri" w:hAnsi="Calibri"/>
                <w:sz w:val="20"/>
                <w:szCs w:val="20"/>
              </w:rPr>
              <w:t xml:space="preserve">Personal API token; sent as the x-api-token header</w:t>
            </w:r>
          </w:p>
        </w:tc>
      </w:tr>
      <w:tr>
        <w:tc>
          <w:tcPr>
            <w:tcW w:type="pct" w:w="34%"/>
            <w:shd w:fill="F1F5F9" w:color="auto" w:val="clear"/>
            <w:tcMar>
              <w:top w:type="dxa" w:w="60"/>
              <w:left w:type="dxa" w:w="80"/>
              <w:bottom w:type="dxa" w:w="60"/>
              <w:right w:type="dxa" w:w="80"/>
            </w:tcMar>
          </w:tcPr>
          <w:p>
            <w:r>
              <w:rPr>
                <w:rFonts w:ascii="Consolas" w:cs="Consolas" w:eastAsia="Consolas" w:hAnsi="Consolas"/>
                <w:sz w:val="18"/>
                <w:szCs w:val="18"/>
              </w:rPr>
              <w:t xml:space="preserve">PIPEDRIVE_API_DOMAIN</w:t>
            </w:r>
          </w:p>
        </w:tc>
        <w:tc>
          <w:tcPr>
            <w:tcW w:type="pct" w:w="14%"/>
            <w:shd w:fill="F1F5F9" w:color="auto" w:val="clear"/>
            <w:tcMar>
              <w:top w:type="dxa" w:w="60"/>
              <w:left w:type="dxa" w:w="80"/>
              <w:bottom w:type="dxa" w:w="60"/>
              <w:right w:type="dxa" w:w="80"/>
            </w:tcMar>
          </w:tcPr>
          <w:p>
            <w:r>
              <w:rPr>
                <w:rFonts w:ascii="Calibri" w:cs="Calibri" w:eastAsia="Calibri" w:hAnsi="Calibri"/>
                <w:sz w:val="20"/>
                <w:szCs w:val="20"/>
              </w:rPr>
              <w:t xml:space="preserve">Yes</w:t>
            </w:r>
          </w:p>
        </w:tc>
        <w:tc>
          <w:tcPr>
            <w:tcW w:type="pct" w:w="52%"/>
            <w:shd w:fill="F1F5F9" w:color="auto" w:val="clear"/>
            <w:tcMar>
              <w:top w:type="dxa" w:w="60"/>
              <w:left w:type="dxa" w:w="80"/>
              <w:bottom w:type="dxa" w:w="60"/>
              <w:right w:type="dxa" w:w="80"/>
            </w:tcMar>
          </w:tcPr>
          <w:p>
            <w:r>
              <w:rPr>
                <w:rFonts w:ascii="Calibri" w:cs="Calibri" w:eastAsia="Calibri" w:hAnsi="Calibri"/>
                <w:sz w:val="20"/>
                <w:szCs w:val="20"/>
              </w:rPr>
              <w:t xml:space="preserve">Company Pipedrive domain the /api/v1 calls are made against</w:t>
            </w:r>
          </w:p>
        </w:tc>
      </w:tr>
      <w:tr>
        <w:tc>
          <w:tcPr>
            <w:tcW w:type="pct" w:w="34%"/>
            <w:shd w:fill="FFFFFF" w:color="auto" w:val="clear"/>
            <w:tcMar>
              <w:top w:type="dxa" w:w="60"/>
              <w:left w:type="dxa" w:w="80"/>
              <w:bottom w:type="dxa" w:w="60"/>
              <w:right w:type="dxa" w:w="80"/>
            </w:tcMar>
          </w:tcPr>
          <w:p>
            <w:r>
              <w:rPr>
                <w:rFonts w:ascii="Consolas" w:cs="Consolas" w:eastAsia="Consolas" w:hAnsi="Consolas"/>
                <w:sz w:val="18"/>
                <w:szCs w:val="18"/>
              </w:rPr>
              <w:t xml:space="preserve">PIPEDRIVE_REGION_FIELD_KEY</w:t>
            </w:r>
          </w:p>
        </w:tc>
        <w:tc>
          <w:tcPr>
            <w:tcW w:type="pct" w:w="14%"/>
            <w:shd w:fill="FFFFFF" w:color="auto" w:val="clear"/>
            <w:tcMar>
              <w:top w:type="dxa" w:w="60"/>
              <w:left w:type="dxa" w:w="80"/>
              <w:bottom w:type="dxa" w:w="60"/>
              <w:right w:type="dxa" w:w="80"/>
            </w:tcMar>
          </w:tcPr>
          <w:p>
            <w:r>
              <w:rPr>
                <w:rFonts w:ascii="Calibri" w:cs="Calibri" w:eastAsia="Calibri" w:hAnsi="Calibri"/>
                <w:sz w:val="20"/>
                <w:szCs w:val="20"/>
              </w:rPr>
              <w:t xml:space="preserve">No</w:t>
            </w:r>
          </w:p>
        </w:tc>
        <w:tc>
          <w:tcPr>
            <w:tcW w:type="pct" w:w="52%"/>
            <w:shd w:fill="FFFFFF" w:color="auto" w:val="clear"/>
            <w:tcMar>
              <w:top w:type="dxa" w:w="60"/>
              <w:left w:type="dxa" w:w="80"/>
              <w:bottom w:type="dxa" w:w="60"/>
              <w:right w:type="dxa" w:w="80"/>
            </w:tcMar>
          </w:tcPr>
          <w:p>
            <w:r>
              <w:rPr>
                <w:rFonts w:ascii="Calibri" w:cs="Calibri" w:eastAsia="Calibri" w:hAnsi="Calibri"/>
                <w:sz w:val="20"/>
                <w:szCs w:val="20"/>
              </w:rPr>
              <w:t xml:space="preserve">Custom-field key that maps a Pipedrive field to Lead.region</w:t>
            </w:r>
          </w:p>
        </w:tc>
      </w:tr>
    </w:tbl>
    <w:p>
      <w:pPr>
        <w:pStyle w:val="Heading2"/>
        <w:spacing w:after="120" w:before="280"/>
      </w:pPr>
      <w:r>
        <w:rPr>
          <w:rFonts w:ascii="Calibri" w:cs="Calibri" w:eastAsia="Calibri" w:hAnsi="Calibri"/>
          <w:b/>
          <w:bCs/>
          <w:color w:val="0F766E"/>
          <w:sz w:val="28"/>
          <w:szCs w:val="28"/>
        </w:rPr>
        <w:t xml:space="preserve">3.5 Full sync flow (202 + polling)</w:t>
      </w:r>
    </w:p>
    <w:p>
      <w:pPr>
        <w:spacing w:after="100"/>
      </w:pPr>
      <w:r>
        <w:rPr>
          <w:rFonts w:ascii="Calibri" w:cs="Calibri" w:eastAsia="Calibri" w:hAnsi="Calibri"/>
          <w:sz w:val="22"/>
          <w:szCs w:val="22"/>
        </w:rPr>
        <w:t xml:space="preserve">A full import can take several minutes against a remote database — longer than the deployment's hard request timeout. The sync is therefore asynchronous:</w:t>
      </w:r>
    </w:p>
    <w:p>
      <w:pPr>
        <w:pStyle w:val="ListParagraph"/>
        <w:numPr>
          <w:ilvl w:val="0"/>
          <w:numId w:val="6"/>
        </w:numPr>
        <w:spacing w:after="60"/>
      </w:pPr>
      <w:r>
        <w:rPr>
          <w:rFonts w:ascii="Consolas" w:cs="Consolas" w:eastAsia="Consolas" w:hAnsi="Consolas"/>
          <w:sz w:val="20"/>
          <w:szCs w:val="20"/>
          <w:shd w:fill="F8FAFC" w:color="auto" w:val="clear"/>
        </w:rPr>
        <w:t xml:space="preserve">POST /api/pipedrive/sync</w:t>
      </w:r>
      <w:r>
        <w:rPr>
          <w:rFonts w:ascii="Calibri" w:cs="Calibri" w:eastAsia="Calibri" w:hAnsi="Calibri"/>
          <w:sz w:val="22"/>
          <w:szCs w:val="22"/>
        </w:rPr>
        <w:t xml:space="preserve"> only CLAIMS the run: an advisory lock plus the AppSetting pair pipedriveSyncStartedAt / pipedriveSyncFinishedAt guarantee a single global run. A run stuck for more than 20 minutes is treated as stale and can be re-claimed (crash recovery).</w:t>
      </w:r>
    </w:p>
    <w:p>
      <w:pPr>
        <w:pStyle w:val="ListParagraph"/>
        <w:numPr>
          <w:ilvl w:val="0"/>
          <w:numId w:val="6"/>
        </w:numPr>
        <w:spacing w:after="60"/>
      </w:pPr>
      <w:r>
        <w:rPr>
          <w:rFonts w:ascii="Calibri" w:cs="Calibri" w:eastAsia="Calibri" w:hAnsi="Calibri"/>
          <w:sz w:val="22"/>
          <w:szCs w:val="22"/>
        </w:rPr>
        <w:t xml:space="preserve">The route returns 202 Accepted immediately and fires </w:t>
      </w:r>
      <w:r>
        <w:rPr>
          <w:rFonts w:ascii="Consolas" w:cs="Consolas" w:eastAsia="Consolas" w:hAnsi="Consolas"/>
          <w:sz w:val="20"/>
          <w:szCs w:val="20"/>
          <w:shd w:fill="F8FAFC" w:color="auto" w:val="clear"/>
        </w:rPr>
        <w:t xml:space="preserve">runPipedriveSyncJob()</w:t>
      </w:r>
      <w:r>
        <w:rPr>
          <w:rFonts w:ascii="Calibri" w:cs="Calibri" w:eastAsia="Calibri" w:hAnsi="Calibri"/>
          <w:sz w:val="22"/>
          <w:szCs w:val="22"/>
        </w:rPr>
        <w:t xml:space="preserve"> without awaiting it.</w:t>
      </w:r>
    </w:p>
    <w:p>
      <w:pPr>
        <w:pStyle w:val="ListParagraph"/>
        <w:numPr>
          <w:ilvl w:val="0"/>
          <w:numId w:val="6"/>
        </w:numPr>
        <w:spacing w:after="60"/>
      </w:pPr>
      <w:r>
        <w:rPr>
          <w:rFonts w:ascii="Calibri" w:cs="Calibri" w:eastAsia="Calibri" w:hAnsi="Calibri"/>
          <w:sz w:val="22"/>
          <w:szCs w:val="22"/>
        </w:rPr>
        <w:t xml:space="preserve">The job fetches </w:t>
      </w:r>
      <w:r>
        <w:rPr>
          <w:rFonts w:ascii="Consolas" w:cs="Consolas" w:eastAsia="Consolas" w:hAnsi="Consolas"/>
          <w:sz w:val="20"/>
          <w:szCs w:val="20"/>
          <w:shd w:fill="F8FAFC" w:color="auto" w:val="clear"/>
        </w:rPr>
        <w:t xml:space="preserve">/deals?status=open</w:t>
      </w:r>
      <w:r>
        <w:rPr>
          <w:rFonts w:ascii="Calibri" w:cs="Calibri" w:eastAsia="Calibri" w:hAnsi="Calibri"/>
          <w:sz w:val="22"/>
          <w:szCs w:val="22"/>
        </w:rPr>
        <w:t xml:space="preserve"> (paginated) and imports each deal individually; one bad deal is recorded in the result but does not abort the batch.</w:t>
      </w:r>
    </w:p>
    <w:p>
      <w:pPr>
        <w:pStyle w:val="ListParagraph"/>
        <w:numPr>
          <w:ilvl w:val="0"/>
          <w:numId w:val="6"/>
        </w:numPr>
        <w:spacing w:after="60"/>
      </w:pPr>
      <w:r>
        <w:rPr>
          <w:rFonts w:ascii="Calibri" w:cs="Calibri" w:eastAsia="Calibri" w:hAnsi="Calibri"/>
          <w:sz w:val="22"/>
          <w:szCs w:val="22"/>
        </w:rPr>
        <w:t xml:space="preserve">The frontend polls </w:t>
      </w:r>
      <w:r>
        <w:rPr>
          <w:rFonts w:ascii="Consolas" w:cs="Consolas" w:eastAsia="Consolas" w:hAnsi="Consolas"/>
          <w:sz w:val="20"/>
          <w:szCs w:val="20"/>
          <w:shd w:fill="F8FAFC" w:color="auto" w:val="clear"/>
        </w:rPr>
        <w:t xml:space="preserve">GET /api/pipedrive/status</w:t>
      </w:r>
      <w:r>
        <w:rPr>
          <w:rFonts w:ascii="Calibri" w:cs="Calibri" w:eastAsia="Calibri" w:hAnsi="Calibri"/>
          <w:sz w:val="22"/>
          <w:szCs w:val="22"/>
        </w:rPr>
        <w:t xml:space="preserve"> every 3 seconds until running=false, then shows the per-deal result summary (imported / updated / skipped / failed).</w:t>
      </w:r>
    </w:p>
    <w:p>
      <w:pPr>
        <w:pStyle w:val="Heading2"/>
        <w:spacing w:after="120" w:before="280"/>
      </w:pPr>
      <w:r>
        <w:rPr>
          <w:rFonts w:ascii="Calibri" w:cs="Calibri" w:eastAsia="Calibri" w:hAnsi="Calibri"/>
          <w:b/>
          <w:bCs/>
          <w:color w:val="0F766E"/>
          <w:sz w:val="28"/>
          <w:szCs w:val="28"/>
        </w:rPr>
        <w:t xml:space="preserve">3.6 Field mapping (deal → Lead)</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rPr>
          <w:tblHeader/>
        </w:trPr>
        <w:tc>
          <w:tcPr>
            <w:tcW w:type="pct" w:w="24%"/>
            <w:shd w:fill="0F766E" w:color="auto" w:val="clear"/>
            <w:tcMar>
              <w:top w:type="dxa" w:w="60"/>
              <w:left w:type="dxa" w:w="80"/>
              <w:bottom w:type="dxa" w:w="60"/>
              <w:right w:type="dxa" w:w="80"/>
            </w:tcMar>
          </w:tcPr>
          <w:p>
            <w:r>
              <w:rPr>
                <w:rFonts w:ascii="Calibri" w:cs="Calibri" w:eastAsia="Calibri" w:hAnsi="Calibri"/>
                <w:b/>
                <w:bCs/>
                <w:color w:val="FFFFFF"/>
                <w:sz w:val="20"/>
                <w:szCs w:val="20"/>
              </w:rPr>
              <w:t xml:space="preserve">Pipedrive field</w:t>
            </w:r>
          </w:p>
        </w:tc>
        <w:tc>
          <w:tcPr>
            <w:tcW w:type="pct" w:w="24%"/>
            <w:shd w:fill="0F766E" w:color="auto" w:val="clear"/>
            <w:tcMar>
              <w:top w:type="dxa" w:w="60"/>
              <w:left w:type="dxa" w:w="80"/>
              <w:bottom w:type="dxa" w:w="60"/>
              <w:right w:type="dxa" w:w="80"/>
            </w:tcMar>
          </w:tcPr>
          <w:p>
            <w:r>
              <w:rPr>
                <w:rFonts w:ascii="Calibri" w:cs="Calibri" w:eastAsia="Calibri" w:hAnsi="Calibri"/>
                <w:b/>
                <w:bCs/>
                <w:color w:val="FFFFFF"/>
                <w:sz w:val="20"/>
                <w:szCs w:val="20"/>
              </w:rPr>
              <w:t xml:space="preserve">Lead field</w:t>
            </w:r>
          </w:p>
        </w:tc>
        <w:tc>
          <w:tcPr>
            <w:tcW w:type="pct" w:w="52%"/>
            <w:shd w:fill="0F766E" w:color="auto" w:val="clear"/>
            <w:tcMar>
              <w:top w:type="dxa" w:w="60"/>
              <w:left w:type="dxa" w:w="80"/>
              <w:bottom w:type="dxa" w:w="60"/>
              <w:right w:type="dxa" w:w="80"/>
            </w:tcMar>
          </w:tcPr>
          <w:p>
            <w:r>
              <w:rPr>
                <w:rFonts w:ascii="Calibri" w:cs="Calibri" w:eastAsia="Calibri" w:hAnsi="Calibri"/>
                <w:b/>
                <w:bCs/>
                <w:color w:val="FFFFFF"/>
                <w:sz w:val="20"/>
                <w:szCs w:val="20"/>
              </w:rPr>
              <w:t xml:space="preserve">Notes</w:t>
            </w:r>
          </w:p>
        </w:tc>
      </w:tr>
      <w:tr>
        <w:tc>
          <w:tcPr>
            <w:tcW w:type="pct" w:w="24%"/>
            <w:shd w:fill="FFFFFF" w:color="auto" w:val="clear"/>
            <w:tcMar>
              <w:top w:type="dxa" w:w="60"/>
              <w:left w:type="dxa" w:w="80"/>
              <w:bottom w:type="dxa" w:w="60"/>
              <w:right w:type="dxa" w:w="80"/>
            </w:tcMar>
          </w:tcPr>
          <w:p>
            <w:r>
              <w:rPr>
                <w:rFonts w:ascii="Consolas" w:cs="Consolas" w:eastAsia="Consolas" w:hAnsi="Consolas"/>
                <w:sz w:val="18"/>
                <w:szCs w:val="18"/>
              </w:rPr>
              <w:t xml:space="preserve">title</w:t>
            </w:r>
          </w:p>
        </w:tc>
        <w:tc>
          <w:tcPr>
            <w:tcW w:type="pct" w:w="24%"/>
            <w:shd w:fill="FFFFFF" w:color="auto" w:val="clear"/>
            <w:tcMar>
              <w:top w:type="dxa" w:w="60"/>
              <w:left w:type="dxa" w:w="80"/>
              <w:bottom w:type="dxa" w:w="60"/>
              <w:right w:type="dxa" w:w="80"/>
            </w:tcMar>
          </w:tcPr>
          <w:p>
            <w:r>
              <w:rPr>
                <w:rFonts w:ascii="Consolas" w:cs="Consolas" w:eastAsia="Consolas" w:hAnsi="Consolas"/>
                <w:sz w:val="18"/>
                <w:szCs w:val="18"/>
              </w:rPr>
              <w:t xml:space="preserve">title</w:t>
            </w:r>
          </w:p>
        </w:tc>
        <w:tc>
          <w:tcPr>
            <w:tcW w:type="pct" w:w="52%"/>
            <w:shd w:fill="FFFFFF" w:color="auto" w:val="clear"/>
            <w:tcMar>
              <w:top w:type="dxa" w:w="60"/>
              <w:left w:type="dxa" w:w="80"/>
              <w:bottom w:type="dxa" w:w="60"/>
              <w:right w:type="dxa" w:w="80"/>
            </w:tcMar>
          </w:tcPr>
          <w:p>
            <w:r>
              <w:rPr>
                <w:rFonts w:ascii="Calibri" w:cs="Calibri" w:eastAsia="Calibri" w:hAnsi="Calibri"/>
                <w:sz w:val="20"/>
                <w:szCs w:val="20"/>
              </w:rPr>
              <w:t xml:space="preserve">Fallback "Pipedrive Deal &lt;id&gt;" when empty</w:t>
            </w:r>
          </w:p>
        </w:tc>
      </w:tr>
      <w:tr>
        <w:tc>
          <w:tcPr>
            <w:tcW w:type="pct" w:w="24%"/>
            <w:shd w:fill="F1F5F9" w:color="auto" w:val="clear"/>
            <w:tcMar>
              <w:top w:type="dxa" w:w="60"/>
              <w:left w:type="dxa" w:w="80"/>
              <w:bottom w:type="dxa" w:w="60"/>
              <w:right w:type="dxa" w:w="80"/>
            </w:tcMar>
          </w:tcPr>
          <w:p>
            <w:r>
              <w:rPr>
                <w:rFonts w:ascii="Consolas" w:cs="Consolas" w:eastAsia="Consolas" w:hAnsi="Consolas"/>
                <w:sz w:val="18"/>
                <w:szCs w:val="18"/>
              </w:rPr>
              <w:t xml:space="preserve">value + currency</w:t>
            </w:r>
          </w:p>
        </w:tc>
        <w:tc>
          <w:tcPr>
            <w:tcW w:type="pct" w:w="24%"/>
            <w:shd w:fill="F1F5F9" w:color="auto" w:val="clear"/>
            <w:tcMar>
              <w:top w:type="dxa" w:w="60"/>
              <w:left w:type="dxa" w:w="80"/>
              <w:bottom w:type="dxa" w:w="60"/>
              <w:right w:type="dxa" w:w="80"/>
            </w:tcMar>
          </w:tcPr>
          <w:p>
            <w:r>
              <w:rPr>
                <w:rFonts w:ascii="Consolas" w:cs="Consolas" w:eastAsia="Consolas" w:hAnsi="Consolas"/>
                <w:sz w:val="18"/>
                <w:szCs w:val="18"/>
              </w:rPr>
              <w:t xml:space="preserve">estimatedValue</w:t>
            </w:r>
          </w:p>
        </w:tc>
        <w:tc>
          <w:tcPr>
            <w:tcW w:type="pct" w:w="52%"/>
            <w:shd w:fill="F1F5F9" w:color="auto" w:val="clear"/>
            <w:tcMar>
              <w:top w:type="dxa" w:w="60"/>
              <w:left w:type="dxa" w:w="80"/>
              <w:bottom w:type="dxa" w:w="60"/>
              <w:right w:type="dxa" w:w="80"/>
            </w:tcMar>
          </w:tcPr>
          <w:p>
            <w:r>
              <w:rPr>
                <w:rFonts w:ascii="Calibri" w:cs="Calibri" w:eastAsia="Calibri" w:hAnsi="Calibri"/>
                <w:sz w:val="20"/>
                <w:szCs w:val="20"/>
              </w:rPr>
              <w:t xml:space="preserve">Converted to IDR via the static CURRENCY_TO_IDR rate table; unknown currencies import the raw value with a warning</w:t>
            </w:r>
          </w:p>
        </w:tc>
      </w:tr>
      <w:tr>
        <w:tc>
          <w:tcPr>
            <w:tcW w:type="pct" w:w="24%"/>
            <w:shd w:fill="FFFFFF" w:color="auto" w:val="clear"/>
            <w:tcMar>
              <w:top w:type="dxa" w:w="60"/>
              <w:left w:type="dxa" w:w="80"/>
              <w:bottom w:type="dxa" w:w="60"/>
              <w:right w:type="dxa" w:w="80"/>
            </w:tcMar>
          </w:tcPr>
          <w:p>
            <w:r>
              <w:rPr>
                <w:rFonts w:ascii="Consolas" w:cs="Consolas" w:eastAsia="Consolas" w:hAnsi="Consolas"/>
                <w:sz w:val="18"/>
                <w:szCs w:val="18"/>
              </w:rPr>
              <w:t xml:space="preserve">user_id (owner)</w:t>
            </w:r>
          </w:p>
        </w:tc>
        <w:tc>
          <w:tcPr>
            <w:tcW w:type="pct" w:w="24%"/>
            <w:shd w:fill="FFFFFF" w:color="auto" w:val="clear"/>
            <w:tcMar>
              <w:top w:type="dxa" w:w="60"/>
              <w:left w:type="dxa" w:w="80"/>
              <w:bottom w:type="dxa" w:w="60"/>
              <w:right w:type="dxa" w:w="80"/>
            </w:tcMar>
          </w:tcPr>
          <w:p>
            <w:r>
              <w:rPr>
                <w:rFonts w:ascii="Consolas" w:cs="Consolas" w:eastAsia="Consolas" w:hAnsi="Consolas"/>
                <w:sz w:val="18"/>
                <w:szCs w:val="18"/>
              </w:rPr>
              <w:t xml:space="preserve">ownerId</w:t>
            </w:r>
          </w:p>
        </w:tc>
        <w:tc>
          <w:tcPr>
            <w:tcW w:type="pct" w:w="52%"/>
            <w:shd w:fill="FFFFFF" w:color="auto" w:val="clear"/>
            <w:tcMar>
              <w:top w:type="dxa" w:w="60"/>
              <w:left w:type="dxa" w:w="80"/>
              <w:bottom w:type="dxa" w:w="60"/>
              <w:right w:type="dxa" w:w="80"/>
            </w:tcMar>
          </w:tcPr>
          <w:p>
            <w:r>
              <w:rPr>
                <w:rFonts w:ascii="Calibri" w:cs="Calibri" w:eastAsia="Calibri" w:hAnsi="Calibri"/>
                <w:sz w:val="20"/>
                <w:szCs w:val="20"/>
              </w:rPr>
              <w:t xml:space="preserve">Matched by lowercase email against active SALES users; falls back to the configured default owner; otherwise the deal fails with OwnerUnresolvedError</w:t>
            </w:r>
          </w:p>
        </w:tc>
      </w:tr>
      <w:tr>
        <w:tc>
          <w:tcPr>
            <w:tcW w:type="pct" w:w="24%"/>
            <w:shd w:fill="F1F5F9" w:color="auto" w:val="clear"/>
            <w:tcMar>
              <w:top w:type="dxa" w:w="60"/>
              <w:left w:type="dxa" w:w="80"/>
              <w:bottom w:type="dxa" w:w="60"/>
              <w:right w:type="dxa" w:w="80"/>
            </w:tcMar>
          </w:tcPr>
          <w:p>
            <w:r>
              <w:rPr>
                <w:rFonts w:ascii="Consolas" w:cs="Consolas" w:eastAsia="Consolas" w:hAnsi="Consolas"/>
                <w:sz w:val="18"/>
                <w:szCs w:val="18"/>
              </w:rPr>
              <w:t xml:space="preserve">org_id</w:t>
            </w:r>
          </w:p>
        </w:tc>
        <w:tc>
          <w:tcPr>
            <w:tcW w:type="pct" w:w="24%"/>
            <w:shd w:fill="F1F5F9" w:color="auto" w:val="clear"/>
            <w:tcMar>
              <w:top w:type="dxa" w:w="60"/>
              <w:left w:type="dxa" w:w="80"/>
              <w:bottom w:type="dxa" w:w="60"/>
              <w:right w:type="dxa" w:w="80"/>
            </w:tcMar>
          </w:tcPr>
          <w:p>
            <w:r>
              <w:rPr>
                <w:rFonts w:ascii="Consolas" w:cs="Consolas" w:eastAsia="Consolas" w:hAnsi="Consolas"/>
                <w:sz w:val="18"/>
                <w:szCs w:val="18"/>
              </w:rPr>
              <w:t xml:space="preserve">clientId</w:t>
            </w:r>
          </w:p>
        </w:tc>
        <w:tc>
          <w:tcPr>
            <w:tcW w:type="pct" w:w="52%"/>
            <w:shd w:fill="F1F5F9" w:color="auto" w:val="clear"/>
            <w:tcMar>
              <w:top w:type="dxa" w:w="60"/>
              <w:left w:type="dxa" w:w="80"/>
              <w:bottom w:type="dxa" w:w="60"/>
              <w:right w:type="dxa" w:w="80"/>
            </w:tcMar>
          </w:tcPr>
          <w:p>
            <w:r>
              <w:rPr>
                <w:rFonts w:ascii="Calibri" w:cs="Calibri" w:eastAsia="Calibri" w:hAnsi="Calibri"/>
                <w:sz w:val="20"/>
                <w:szCs w:val="20"/>
              </w:rPr>
              <w:t xml:space="preserve">Matched via Client.pipedriveOrgId; a new Client is created when no match exists</w:t>
            </w:r>
          </w:p>
        </w:tc>
      </w:tr>
      <w:tr>
        <w:tc>
          <w:tcPr>
            <w:tcW w:type="pct" w:w="24%"/>
            <w:shd w:fill="FFFFFF" w:color="auto" w:val="clear"/>
            <w:tcMar>
              <w:top w:type="dxa" w:w="60"/>
              <w:left w:type="dxa" w:w="80"/>
              <w:bottom w:type="dxa" w:w="60"/>
              <w:right w:type="dxa" w:w="80"/>
            </w:tcMar>
          </w:tcPr>
          <w:p>
            <w:r>
              <w:rPr>
                <w:rFonts w:ascii="Consolas" w:cs="Consolas" w:eastAsia="Consolas" w:hAnsi="Consolas"/>
                <w:sz w:val="18"/>
                <w:szCs w:val="18"/>
              </w:rPr>
              <w:t xml:space="preserve">person_id</w:t>
            </w:r>
          </w:p>
        </w:tc>
        <w:tc>
          <w:tcPr>
            <w:tcW w:type="pct" w:w="24%"/>
            <w:shd w:fill="FFFFFF" w:color="auto" w:val="clear"/>
            <w:tcMar>
              <w:top w:type="dxa" w:w="60"/>
              <w:left w:type="dxa" w:w="80"/>
              <w:bottom w:type="dxa" w:w="60"/>
              <w:right w:type="dxa" w:w="80"/>
            </w:tcMar>
          </w:tcPr>
          <w:p>
            <w:r>
              <w:rPr>
                <w:rFonts w:ascii="Consolas" w:cs="Consolas" w:eastAsia="Consolas" w:hAnsi="Consolas"/>
                <w:sz w:val="18"/>
                <w:szCs w:val="18"/>
              </w:rPr>
              <w:t xml:space="preserve">contactName / contactEmail / contactPhone</w:t>
            </w:r>
          </w:p>
        </w:tc>
        <w:tc>
          <w:tcPr>
            <w:tcW w:type="pct" w:w="52%"/>
            <w:shd w:fill="FFFFFF" w:color="auto" w:val="clear"/>
            <w:tcMar>
              <w:top w:type="dxa" w:w="60"/>
              <w:left w:type="dxa" w:w="80"/>
              <w:bottom w:type="dxa" w:w="60"/>
              <w:right w:type="dxa" w:w="80"/>
            </w:tcMar>
          </w:tcPr>
          <w:p>
            <w:r>
              <w:rPr>
                <w:rFonts w:ascii="Calibri" w:cs="Calibri" w:eastAsia="Calibri" w:hAnsi="Calibri"/>
                <w:sz w:val="20"/>
                <w:szCs w:val="20"/>
              </w:rPr>
              <w:t xml:space="preserve">Primary email and phone are taken</w:t>
            </w:r>
          </w:p>
        </w:tc>
      </w:tr>
      <w:tr>
        <w:tc>
          <w:tcPr>
            <w:tcW w:type="pct" w:w="24%"/>
            <w:shd w:fill="F1F5F9" w:color="auto" w:val="clear"/>
            <w:tcMar>
              <w:top w:type="dxa" w:w="60"/>
              <w:left w:type="dxa" w:w="80"/>
              <w:bottom w:type="dxa" w:w="60"/>
              <w:right w:type="dxa" w:w="80"/>
            </w:tcMar>
          </w:tcPr>
          <w:p>
            <w:r>
              <w:rPr>
                <w:rFonts w:ascii="Consolas" w:cs="Consolas" w:eastAsia="Consolas" w:hAnsi="Consolas"/>
                <w:sz w:val="18"/>
                <w:szCs w:val="18"/>
              </w:rPr>
              <w:t xml:space="preserve">stage_id</w:t>
            </w:r>
          </w:p>
        </w:tc>
        <w:tc>
          <w:tcPr>
            <w:tcW w:type="pct" w:w="24%"/>
            <w:shd w:fill="F1F5F9" w:color="auto" w:val="clear"/>
            <w:tcMar>
              <w:top w:type="dxa" w:w="60"/>
              <w:left w:type="dxa" w:w="80"/>
              <w:bottom w:type="dxa" w:w="60"/>
              <w:right w:type="dxa" w:w="80"/>
            </w:tcMar>
          </w:tcPr>
          <w:p>
            <w:r>
              <w:rPr>
                <w:rFonts w:ascii="Consolas" w:cs="Consolas" w:eastAsia="Consolas" w:hAnsi="Consolas"/>
                <w:sz w:val="18"/>
                <w:szCs w:val="18"/>
              </w:rPr>
              <w:t xml:space="preserve">stage</w:t>
            </w:r>
          </w:p>
        </w:tc>
        <w:tc>
          <w:tcPr>
            <w:tcW w:type="pct" w:w="52%"/>
            <w:shd w:fill="F1F5F9" w:color="auto" w:val="clear"/>
            <w:tcMar>
              <w:top w:type="dxa" w:w="60"/>
              <w:left w:type="dxa" w:w="80"/>
              <w:bottom w:type="dxa" w:w="60"/>
              <w:right w:type="dxa" w:w="80"/>
            </w:tcMar>
          </w:tcPr>
          <w:p>
            <w:r>
              <w:rPr>
                <w:rFonts w:ascii="Calibri" w:cs="Calibri" w:eastAsia="Calibri" w:hAnsi="Calibri"/>
                <w:sz w:val="20"/>
                <w:szCs w:val="20"/>
              </w:rPr>
              <w:t xml:space="preserve">Looked up in the PipedriveStageMapping table (editable in Settings)</w:t>
            </w:r>
          </w:p>
        </w:tc>
      </w:tr>
      <w:tr>
        <w:tc>
          <w:tcPr>
            <w:tcW w:type="pct" w:w="24%"/>
            <w:shd w:fill="FFFFFF" w:color="auto" w:val="clear"/>
            <w:tcMar>
              <w:top w:type="dxa" w:w="60"/>
              <w:left w:type="dxa" w:w="80"/>
              <w:bottom w:type="dxa" w:w="60"/>
              <w:right w:type="dxa" w:w="80"/>
            </w:tcMar>
          </w:tcPr>
          <w:p>
            <w:r>
              <w:rPr>
                <w:rFonts w:ascii="Consolas" w:cs="Consolas" w:eastAsia="Consolas" w:hAnsi="Consolas"/>
                <w:sz w:val="18"/>
                <w:szCs w:val="18"/>
              </w:rPr>
              <w:t xml:space="preserve">custom region field</w:t>
            </w:r>
          </w:p>
        </w:tc>
        <w:tc>
          <w:tcPr>
            <w:tcW w:type="pct" w:w="24%"/>
            <w:shd w:fill="FFFFFF" w:color="auto" w:val="clear"/>
            <w:tcMar>
              <w:top w:type="dxa" w:w="60"/>
              <w:left w:type="dxa" w:w="80"/>
              <w:bottom w:type="dxa" w:w="60"/>
              <w:right w:type="dxa" w:w="80"/>
            </w:tcMar>
          </w:tcPr>
          <w:p>
            <w:r>
              <w:rPr>
                <w:rFonts w:ascii="Consolas" w:cs="Consolas" w:eastAsia="Consolas" w:hAnsi="Consolas"/>
                <w:sz w:val="18"/>
                <w:szCs w:val="18"/>
              </w:rPr>
              <w:t xml:space="preserve">region</w:t>
            </w:r>
          </w:p>
        </w:tc>
        <w:tc>
          <w:tcPr>
            <w:tcW w:type="pct" w:w="52%"/>
            <w:shd w:fill="FFFFFF" w:color="auto" w:val="clear"/>
            <w:tcMar>
              <w:top w:type="dxa" w:w="60"/>
              <w:left w:type="dxa" w:w="80"/>
              <w:bottom w:type="dxa" w:w="60"/>
              <w:right w:type="dxa" w:w="80"/>
            </w:tcMar>
          </w:tcPr>
          <w:p>
            <w:r>
              <w:rPr>
                <w:rFonts w:ascii="Calibri" w:cs="Calibri" w:eastAsia="Calibri" w:hAnsi="Calibri"/>
                <w:sz w:val="20"/>
                <w:szCs w:val="20"/>
              </w:rPr>
              <w:t xml:space="preserve">Only when PIPEDRIVE_REGION_FIELD_KEY is configured</w:t>
            </w:r>
          </w:p>
        </w:tc>
      </w:tr>
    </w:tbl>
    <w:p>
      <w:r>
        <w:t xml:space="preserve"/>
      </w:r>
    </w:p>
    <w:p>
      <w:pPr>
        <w:spacing w:after="100"/>
      </w:pPr>
      <w:r>
        <w:rPr>
          <w:rFonts w:ascii="Calibri" w:cs="Calibri" w:eastAsia="Calibri" w:hAnsi="Calibri"/>
          <w:b/>
          <w:bCs/>
          <w:sz w:val="22"/>
          <w:szCs w:val="22"/>
        </w:rPr>
        <w:t xml:space="preserve">Idempotency: </w:t>
      </w:r>
      <w:r>
        <w:rPr>
          <w:rFonts w:ascii="Consolas" w:cs="Consolas" w:eastAsia="Consolas" w:hAnsi="Consolas"/>
          <w:sz w:val="20"/>
          <w:szCs w:val="20"/>
          <w:shd w:fill="F8FAFC" w:color="auto" w:val="clear"/>
        </w:rPr>
        <w:t xml:space="preserve">Lead.pipedriveDealId</w:t>
      </w:r>
      <w:r>
        <w:rPr>
          <w:rFonts w:ascii="Calibri" w:cs="Calibri" w:eastAsia="Calibri" w:hAnsi="Calibri"/>
          <w:sz w:val="22"/>
          <w:szCs w:val="22"/>
        </w:rPr>
        <w:t xml:space="preserve"> is DB-unique; each import takes a per-deal advisory lock (webhook and full sync cannot race); a stale-write guard skips the update when the deal's update_time in Pipedrive is not newer than the stored </w:t>
      </w:r>
      <w:r>
        <w:rPr>
          <w:rFonts w:ascii="Consolas" w:cs="Consolas" w:eastAsia="Consolas" w:hAnsi="Consolas"/>
          <w:sz w:val="20"/>
          <w:szCs w:val="20"/>
          <w:shd w:fill="F8FAFC" w:color="auto" w:val="clear"/>
        </w:rPr>
        <w:t xml:space="preserve">pipedriveUpdatedAt</w:t>
      </w:r>
      <w:r>
        <w:rPr>
          <w:rFonts w:ascii="Calibri" w:cs="Calibri" w:eastAsia="Calibri" w:hAnsi="Calibri"/>
          <w:sz w:val="22"/>
          <w:szCs w:val="22"/>
        </w:rPr>
        <w:t xml:space="preserve">; converted leads are terminal and always skipped.</w:t>
      </w:r>
    </w:p>
    <w:p>
      <w:pPr>
        <w:pStyle w:val="Heading2"/>
        <w:spacing w:after="120" w:before="280"/>
      </w:pPr>
      <w:r>
        <w:rPr>
          <w:rFonts w:ascii="Calibri" w:cs="Calibri" w:eastAsia="Calibri" w:hAnsi="Calibri"/>
          <w:b/>
          <w:bCs/>
          <w:color w:val="0F766E"/>
          <w:sz w:val="28"/>
          <w:szCs w:val="28"/>
        </w:rPr>
        <w:t xml:space="preserve">3.7 Webhook flow</w:t>
      </w:r>
    </w:p>
    <w:p>
      <w:pPr>
        <w:pStyle w:val="ListParagraph"/>
        <w:numPr>
          <w:ilvl w:val="0"/>
          <w:numId w:val="1"/>
        </w:numPr>
        <w:spacing w:after="60"/>
      </w:pPr>
      <w:r>
        <w:rPr>
          <w:rFonts w:ascii="Consolas" w:cs="Consolas" w:eastAsia="Consolas" w:hAnsi="Consolas"/>
          <w:sz w:val="20"/>
          <w:szCs w:val="20"/>
          <w:shd w:fill="F8FAFC" w:color="auto" w:val="clear"/>
        </w:rPr>
        <w:t xml:space="preserve">POST /api/pipedrive/webhook</w:t>
      </w:r>
      <w:r>
        <w:rPr>
          <w:rFonts w:ascii="Calibri" w:cs="Calibri" w:eastAsia="Calibri" w:hAnsi="Calibri"/>
          <w:sz w:val="22"/>
          <w:szCs w:val="22"/>
        </w:rPr>
        <w:t xml:space="preserve"> is public but secret-guarded: the secret stored in </w:t>
      </w:r>
      <w:r>
        <w:rPr>
          <w:rFonts w:ascii="Consolas" w:cs="Consolas" w:eastAsia="Consolas" w:hAnsi="Consolas"/>
          <w:sz w:val="20"/>
          <w:szCs w:val="20"/>
          <w:shd w:fill="F8FAFC" w:color="auto" w:val="clear"/>
        </w:rPr>
        <w:t xml:space="preserve">AppSetting.pipedriveWebhookSecret</w:t>
      </w:r>
      <w:r>
        <w:rPr>
          <w:rFonts w:ascii="Calibri" w:cs="Calibri" w:eastAsia="Calibri" w:hAnsi="Calibri"/>
          <w:sz w:val="22"/>
          <w:szCs w:val="22"/>
        </w:rPr>
        <w:t xml:space="preserve"> must match via HTTP Basic password or token query parameter, compared with </w:t>
      </w:r>
      <w:r>
        <w:rPr>
          <w:rFonts w:ascii="Consolas" w:cs="Consolas" w:eastAsia="Consolas" w:hAnsi="Consolas"/>
          <w:sz w:val="20"/>
          <w:szCs w:val="20"/>
          <w:shd w:fill="F8FAFC" w:color="auto" w:val="clear"/>
        </w:rPr>
        <w:t xml:space="preserve">timingSafeEqual</w:t>
      </w:r>
      <w:r>
        <w:rPr>
          <w:rFonts w:ascii="Calibri" w:cs="Calibri" w:eastAsia="Calibri" w:hAnsi="Calibri"/>
          <w:sz w:val="22"/>
          <w:szCs w:val="22"/>
        </w:rPr>
        <w:t xml:space="preserve">. While no secret is configured the endpoint accepts pings unauthenticated (pre-setup phase). It is also exempted from the production site gate in app.ts.</w:t>
      </w:r>
    </w:p>
    <w:p>
      <w:pPr>
        <w:pStyle w:val="ListParagraph"/>
        <w:numPr>
          <w:ilvl w:val="0"/>
          <w:numId w:val="1"/>
        </w:numPr>
        <w:spacing w:after="60"/>
      </w:pPr>
      <w:r>
        <w:rPr>
          <w:rFonts w:ascii="Calibri" w:cs="Calibri" w:eastAsia="Calibri" w:hAnsi="Calibri"/>
          <w:sz w:val="22"/>
          <w:szCs w:val="22"/>
        </w:rPr>
        <w:t xml:space="preserve">On a valid ping the server re-fetches that single deal from the Pipedrive API (the ping body is never trusted as data) and runs the same importDeal() path as the full sync.</w:t>
      </w:r>
    </w:p>
    <w:p>
      <w:pPr>
        <w:pStyle w:val="Heading2"/>
        <w:spacing w:after="120" w:before="280"/>
      </w:pPr>
      <w:r>
        <w:rPr>
          <w:rFonts w:ascii="Calibri" w:cs="Calibri" w:eastAsia="Calibri" w:hAnsi="Calibri"/>
          <w:b/>
          <w:bCs/>
          <w:color w:val="0F766E"/>
          <w:sz w:val="28"/>
          <w:szCs w:val="28"/>
        </w:rPr>
        <w:t xml:space="preserve">3.8 Lead lifecycle after import</w:t>
      </w:r>
    </w:p>
    <w:p>
      <w:pPr>
        <w:pStyle w:val="ListParagraph"/>
        <w:numPr>
          <w:ilvl w:val="0"/>
          <w:numId w:val="1"/>
        </w:numPr>
        <w:spacing w:after="60"/>
      </w:pPr>
      <w:r>
        <w:rPr>
          <w:rFonts w:ascii="Calibri" w:cs="Calibri" w:eastAsia="Calibri" w:hAnsi="Calibri"/>
          <w:sz w:val="22"/>
          <w:szCs w:val="22"/>
        </w:rPr>
        <w:t xml:space="preserve">Kanban stages: NEW → QUALIFIED → PROPOSAL → NEGOTIATION → WON / LOST (Sales Pipeline page, Sales role).</w:t>
      </w:r>
    </w:p>
    <w:p>
      <w:pPr>
        <w:pStyle w:val="ListParagraph"/>
        <w:numPr>
          <w:ilvl w:val="0"/>
          <w:numId w:val="1"/>
        </w:numPr>
        <w:spacing w:after="60"/>
      </w:pPr>
      <w:r>
        <w:rPr>
          <w:rFonts w:ascii="Consolas" w:cs="Consolas" w:eastAsia="Consolas" w:hAnsi="Consolas"/>
          <w:sz w:val="20"/>
          <w:szCs w:val="20"/>
          <w:shd w:fill="F8FAFC" w:color="auto" w:val="clear"/>
        </w:rPr>
        <w:t xml:space="preserve">POST /api/leads/:id/convert</w:t>
      </w:r>
      <w:r>
        <w:rPr>
          <w:rFonts w:ascii="Calibri" w:cs="Calibri" w:eastAsia="Calibri" w:hAnsi="Calibri"/>
          <w:sz w:val="22"/>
          <w:szCs w:val="22"/>
        </w:rPr>
        <w:t xml:space="preserve"> (the only way Sales can create a project) is restricted to the Sales user who owns the lead (Super Admin bypasses). It validates the lead is not yet converted, then creates a DRAFT project carrying clientId and salesId; pmId stays empty until Management assigns one.</w:t>
      </w:r>
    </w:p>
    <w:p>
      <w:pPr>
        <w:pStyle w:val="Heading2"/>
        <w:spacing w:after="120" w:before="280"/>
      </w:pPr>
      <w:r>
        <w:rPr>
          <w:rFonts w:ascii="Calibri" w:cs="Calibri" w:eastAsia="Calibri" w:hAnsi="Calibri"/>
          <w:b/>
          <w:bCs/>
          <w:color w:val="0F766E"/>
          <w:sz w:val="28"/>
          <w:szCs w:val="28"/>
        </w:rPr>
        <w:t xml:space="preserve">3.9 Endpoints</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rPr>
          <w:tblHeader/>
        </w:trPr>
        <w:tc>
          <w:tcPr>
            <w:tcW w:type="pct" w:w="40%"/>
            <w:shd w:fill="0F766E" w:color="auto" w:val="clear"/>
            <w:tcMar>
              <w:top w:type="dxa" w:w="60"/>
              <w:left w:type="dxa" w:w="80"/>
              <w:bottom w:type="dxa" w:w="60"/>
              <w:right w:type="dxa" w:w="80"/>
            </w:tcMar>
          </w:tcPr>
          <w:p>
            <w:r>
              <w:rPr>
                <w:rFonts w:ascii="Calibri" w:cs="Calibri" w:eastAsia="Calibri" w:hAnsi="Calibri"/>
                <w:b/>
                <w:bCs/>
                <w:color w:val="FFFFFF"/>
                <w:sz w:val="20"/>
                <w:szCs w:val="20"/>
              </w:rPr>
              <w:t xml:space="preserve">Method &amp; path</w:t>
            </w:r>
          </w:p>
        </w:tc>
        <w:tc>
          <w:tcPr>
            <w:tcW w:type="pct" w:w="24%"/>
            <w:shd w:fill="0F766E" w:color="auto" w:val="clear"/>
            <w:tcMar>
              <w:top w:type="dxa" w:w="60"/>
              <w:left w:type="dxa" w:w="80"/>
              <w:bottom w:type="dxa" w:w="60"/>
              <w:right w:type="dxa" w:w="80"/>
            </w:tcMar>
          </w:tcPr>
          <w:p>
            <w:r>
              <w:rPr>
                <w:rFonts w:ascii="Calibri" w:cs="Calibri" w:eastAsia="Calibri" w:hAnsi="Calibri"/>
                <w:b/>
                <w:bCs/>
                <w:color w:val="FFFFFF"/>
                <w:sz w:val="20"/>
                <w:szCs w:val="20"/>
              </w:rPr>
              <w:t xml:space="preserve">Access</w:t>
            </w:r>
          </w:p>
        </w:tc>
        <w:tc>
          <w:tcPr>
            <w:tcW w:type="pct" w:w="36%"/>
            <w:shd w:fill="0F766E" w:color="auto" w:val="clear"/>
            <w:tcMar>
              <w:top w:type="dxa" w:w="60"/>
              <w:left w:type="dxa" w:w="80"/>
              <w:bottom w:type="dxa" w:w="60"/>
              <w:right w:type="dxa" w:w="80"/>
            </w:tcMar>
          </w:tcPr>
          <w:p>
            <w:r>
              <w:rPr>
                <w:rFonts w:ascii="Calibri" w:cs="Calibri" w:eastAsia="Calibri" w:hAnsi="Calibri"/>
                <w:b/>
                <w:bCs/>
                <w:color w:val="FFFFFF"/>
                <w:sz w:val="20"/>
                <w:szCs w:val="20"/>
              </w:rPr>
              <w:t xml:space="preserve">Purpose</w:t>
            </w:r>
          </w:p>
        </w:tc>
      </w:tr>
      <w:tr>
        <w:tc>
          <w:tcPr>
            <w:tcW w:type="pct" w:w="40%"/>
            <w:shd w:fill="FFFFFF" w:color="auto" w:val="clear"/>
            <w:tcMar>
              <w:top w:type="dxa" w:w="60"/>
              <w:left w:type="dxa" w:w="80"/>
              <w:bottom w:type="dxa" w:w="60"/>
              <w:right w:type="dxa" w:w="80"/>
            </w:tcMar>
          </w:tcPr>
          <w:p>
            <w:r>
              <w:rPr>
                <w:rFonts w:ascii="Consolas" w:cs="Consolas" w:eastAsia="Consolas" w:hAnsi="Consolas"/>
                <w:sz w:val="18"/>
                <w:szCs w:val="18"/>
              </w:rPr>
              <w:t xml:space="preserve">GET /api/pipedrive/status</w:t>
            </w:r>
          </w:p>
        </w:tc>
        <w:tc>
          <w:tcPr>
            <w:tcW w:type="pct" w:w="24%"/>
            <w:shd w:fill="FFFFFF" w:color="auto" w:val="clear"/>
            <w:tcMar>
              <w:top w:type="dxa" w:w="60"/>
              <w:left w:type="dxa" w:w="80"/>
              <w:bottom w:type="dxa" w:w="60"/>
              <w:right w:type="dxa" w:w="80"/>
            </w:tcMar>
          </w:tcPr>
          <w:p>
            <w:r>
              <w:rPr>
                <w:rFonts w:ascii="Calibri" w:cs="Calibri" w:eastAsia="Calibri" w:hAnsi="Calibri"/>
                <w:sz w:val="20"/>
                <w:szCs w:val="20"/>
              </w:rPr>
              <w:t xml:space="preserve">MGMT / Super Admin</w:t>
            </w:r>
          </w:p>
        </w:tc>
        <w:tc>
          <w:tcPr>
            <w:tcW w:type="pct" w:w="36%"/>
            <w:shd w:fill="FFFFFF" w:color="auto" w:val="clear"/>
            <w:tcMar>
              <w:top w:type="dxa" w:w="60"/>
              <w:left w:type="dxa" w:w="80"/>
              <w:bottom w:type="dxa" w:w="60"/>
              <w:right w:type="dxa" w:w="80"/>
            </w:tcMar>
          </w:tcPr>
          <w:p>
            <w:r>
              <w:rPr>
                <w:rFonts w:ascii="Calibri" w:cs="Calibri" w:eastAsia="Calibri" w:hAnsi="Calibri"/>
                <w:sz w:val="20"/>
                <w:szCs w:val="20"/>
              </w:rPr>
              <w:t xml:space="preserve">Config + connection + sync progress/result</w:t>
            </w:r>
          </w:p>
        </w:tc>
      </w:tr>
      <w:tr>
        <w:tc>
          <w:tcPr>
            <w:tcW w:type="pct" w:w="40%"/>
            <w:shd w:fill="F1F5F9" w:color="auto" w:val="clear"/>
            <w:tcMar>
              <w:top w:type="dxa" w:w="60"/>
              <w:left w:type="dxa" w:w="80"/>
              <w:bottom w:type="dxa" w:w="60"/>
              <w:right w:type="dxa" w:w="80"/>
            </w:tcMar>
          </w:tcPr>
          <w:p>
            <w:r>
              <w:rPr>
                <w:rFonts w:ascii="Consolas" w:cs="Consolas" w:eastAsia="Consolas" w:hAnsi="Consolas"/>
                <w:sz w:val="18"/>
                <w:szCs w:val="18"/>
              </w:rPr>
              <w:t xml:space="preserve">POST /api/pipedrive/sync</w:t>
            </w:r>
          </w:p>
        </w:tc>
        <w:tc>
          <w:tcPr>
            <w:tcW w:type="pct" w:w="24%"/>
            <w:shd w:fill="F1F5F9" w:color="auto" w:val="clear"/>
            <w:tcMar>
              <w:top w:type="dxa" w:w="60"/>
              <w:left w:type="dxa" w:w="80"/>
              <w:bottom w:type="dxa" w:w="60"/>
              <w:right w:type="dxa" w:w="80"/>
            </w:tcMar>
          </w:tcPr>
          <w:p>
            <w:r>
              <w:rPr>
                <w:rFonts w:ascii="Calibri" w:cs="Calibri" w:eastAsia="Calibri" w:hAnsi="Calibri"/>
                <w:sz w:val="20"/>
                <w:szCs w:val="20"/>
              </w:rPr>
              <w:t xml:space="preserve">MGMT / Super Admin</w:t>
            </w:r>
          </w:p>
        </w:tc>
        <w:tc>
          <w:tcPr>
            <w:tcW w:type="pct" w:w="36%"/>
            <w:shd w:fill="F1F5F9" w:color="auto" w:val="clear"/>
            <w:tcMar>
              <w:top w:type="dxa" w:w="60"/>
              <w:left w:type="dxa" w:w="80"/>
              <w:bottom w:type="dxa" w:w="60"/>
              <w:right w:type="dxa" w:w="80"/>
            </w:tcMar>
          </w:tcPr>
          <w:p>
            <w:r>
              <w:rPr>
                <w:rFonts w:ascii="Calibri" w:cs="Calibri" w:eastAsia="Calibri" w:hAnsi="Calibri"/>
                <w:sz w:val="20"/>
                <w:szCs w:val="20"/>
              </w:rPr>
              <w:t xml:space="preserve">Claim &amp; start a full import (202)</w:t>
            </w:r>
          </w:p>
        </w:tc>
      </w:tr>
      <w:tr>
        <w:tc>
          <w:tcPr>
            <w:tcW w:type="pct" w:w="40%"/>
            <w:shd w:fill="FFFFFF" w:color="auto" w:val="clear"/>
            <w:tcMar>
              <w:top w:type="dxa" w:w="60"/>
              <w:left w:type="dxa" w:w="80"/>
              <w:bottom w:type="dxa" w:w="60"/>
              <w:right w:type="dxa" w:w="80"/>
            </w:tcMar>
          </w:tcPr>
          <w:p>
            <w:r>
              <w:rPr>
                <w:rFonts w:ascii="Consolas" w:cs="Consolas" w:eastAsia="Consolas" w:hAnsi="Consolas"/>
                <w:sz w:val="18"/>
                <w:szCs w:val="18"/>
              </w:rPr>
              <w:t xml:space="preserve">PUT /api/pipedrive/settings</w:t>
            </w:r>
          </w:p>
        </w:tc>
        <w:tc>
          <w:tcPr>
            <w:tcW w:type="pct" w:w="24%"/>
            <w:shd w:fill="FFFFFF" w:color="auto" w:val="clear"/>
            <w:tcMar>
              <w:top w:type="dxa" w:w="60"/>
              <w:left w:type="dxa" w:w="80"/>
              <w:bottom w:type="dxa" w:w="60"/>
              <w:right w:type="dxa" w:w="80"/>
            </w:tcMar>
          </w:tcPr>
          <w:p>
            <w:r>
              <w:rPr>
                <w:rFonts w:ascii="Calibri" w:cs="Calibri" w:eastAsia="Calibri" w:hAnsi="Calibri"/>
                <w:sz w:val="20"/>
                <w:szCs w:val="20"/>
              </w:rPr>
              <w:t xml:space="preserve">MGMT / Super Admin</w:t>
            </w:r>
          </w:p>
        </w:tc>
        <w:tc>
          <w:tcPr>
            <w:tcW w:type="pct" w:w="36%"/>
            <w:shd w:fill="FFFFFF" w:color="auto" w:val="clear"/>
            <w:tcMar>
              <w:top w:type="dxa" w:w="60"/>
              <w:left w:type="dxa" w:w="80"/>
              <w:bottom w:type="dxa" w:w="60"/>
              <w:right w:type="dxa" w:w="80"/>
            </w:tcMar>
          </w:tcPr>
          <w:p>
            <w:r>
              <w:rPr>
                <w:rFonts w:ascii="Calibri" w:cs="Calibri" w:eastAsia="Calibri" w:hAnsi="Calibri"/>
                <w:sz w:val="20"/>
                <w:szCs w:val="20"/>
              </w:rPr>
              <w:t xml:space="preserve">Default owner and other sync settings</w:t>
            </w:r>
          </w:p>
        </w:tc>
      </w:tr>
      <w:tr>
        <w:tc>
          <w:tcPr>
            <w:tcW w:type="pct" w:w="40%"/>
            <w:shd w:fill="F1F5F9" w:color="auto" w:val="clear"/>
            <w:tcMar>
              <w:top w:type="dxa" w:w="60"/>
              <w:left w:type="dxa" w:w="80"/>
              <w:bottom w:type="dxa" w:w="60"/>
              <w:right w:type="dxa" w:w="80"/>
            </w:tcMar>
          </w:tcPr>
          <w:p>
            <w:r>
              <w:rPr>
                <w:rFonts w:ascii="Consolas" w:cs="Consolas" w:eastAsia="Consolas" w:hAnsi="Consolas"/>
                <w:sz w:val="18"/>
                <w:szCs w:val="18"/>
              </w:rPr>
              <w:t xml:space="preserve">GET/PUT /api/pipedrive/stage-mappings</w:t>
            </w:r>
          </w:p>
        </w:tc>
        <w:tc>
          <w:tcPr>
            <w:tcW w:type="pct" w:w="24%"/>
            <w:shd w:fill="F1F5F9" w:color="auto" w:val="clear"/>
            <w:tcMar>
              <w:top w:type="dxa" w:w="60"/>
              <w:left w:type="dxa" w:w="80"/>
              <w:bottom w:type="dxa" w:w="60"/>
              <w:right w:type="dxa" w:w="80"/>
            </w:tcMar>
          </w:tcPr>
          <w:p>
            <w:r>
              <w:rPr>
                <w:rFonts w:ascii="Calibri" w:cs="Calibri" w:eastAsia="Calibri" w:hAnsi="Calibri"/>
                <w:sz w:val="20"/>
                <w:szCs w:val="20"/>
              </w:rPr>
              <w:t xml:space="preserve">MGMT / Super Admin</w:t>
            </w:r>
          </w:p>
        </w:tc>
        <w:tc>
          <w:tcPr>
            <w:tcW w:type="pct" w:w="36%"/>
            <w:shd w:fill="F1F5F9" w:color="auto" w:val="clear"/>
            <w:tcMar>
              <w:top w:type="dxa" w:w="60"/>
              <w:left w:type="dxa" w:w="80"/>
              <w:bottom w:type="dxa" w:w="60"/>
              <w:right w:type="dxa" w:w="80"/>
            </w:tcMar>
          </w:tcPr>
          <w:p>
            <w:r>
              <w:rPr>
                <w:rFonts w:ascii="Calibri" w:cs="Calibri" w:eastAsia="Calibri" w:hAnsi="Calibri"/>
                <w:sz w:val="20"/>
                <w:szCs w:val="20"/>
              </w:rPr>
              <w:t xml:space="preserve">Read/update Pipedrive-stage → app-stage map</w:t>
            </w:r>
          </w:p>
        </w:tc>
      </w:tr>
      <w:tr>
        <w:tc>
          <w:tcPr>
            <w:tcW w:type="pct" w:w="40%"/>
            <w:shd w:fill="FFFFFF" w:color="auto" w:val="clear"/>
            <w:tcMar>
              <w:top w:type="dxa" w:w="60"/>
              <w:left w:type="dxa" w:w="80"/>
              <w:bottom w:type="dxa" w:w="60"/>
              <w:right w:type="dxa" w:w="80"/>
            </w:tcMar>
          </w:tcPr>
          <w:p>
            <w:r>
              <w:rPr>
                <w:rFonts w:ascii="Consolas" w:cs="Consolas" w:eastAsia="Consolas" w:hAnsi="Consolas"/>
                <w:sz w:val="18"/>
                <w:szCs w:val="18"/>
              </w:rPr>
              <w:t xml:space="preserve">POST /api/pipedrive/webhook</w:t>
            </w:r>
          </w:p>
        </w:tc>
        <w:tc>
          <w:tcPr>
            <w:tcW w:type="pct" w:w="24%"/>
            <w:shd w:fill="FFFFFF" w:color="auto" w:val="clear"/>
            <w:tcMar>
              <w:top w:type="dxa" w:w="60"/>
              <w:left w:type="dxa" w:w="80"/>
              <w:bottom w:type="dxa" w:w="60"/>
              <w:right w:type="dxa" w:w="80"/>
            </w:tcMar>
          </w:tcPr>
          <w:p>
            <w:r>
              <w:rPr>
                <w:rFonts w:ascii="Calibri" w:cs="Calibri" w:eastAsia="Calibri" w:hAnsi="Calibri"/>
                <w:sz w:val="20"/>
                <w:szCs w:val="20"/>
              </w:rPr>
              <w:t xml:space="preserve">Public + shared secret</w:t>
            </w:r>
          </w:p>
        </w:tc>
        <w:tc>
          <w:tcPr>
            <w:tcW w:type="pct" w:w="36%"/>
            <w:shd w:fill="FFFFFF" w:color="auto" w:val="clear"/>
            <w:tcMar>
              <w:top w:type="dxa" w:w="60"/>
              <w:left w:type="dxa" w:w="80"/>
              <w:bottom w:type="dxa" w:w="60"/>
              <w:right w:type="dxa" w:w="80"/>
            </w:tcMar>
          </w:tcPr>
          <w:p>
            <w:r>
              <w:rPr>
                <w:rFonts w:ascii="Calibri" w:cs="Calibri" w:eastAsia="Calibri" w:hAnsi="Calibri"/>
                <w:sz w:val="20"/>
                <w:szCs w:val="20"/>
              </w:rPr>
              <w:t xml:space="preserve">Single-deal near-real-time mirror</w:t>
            </w:r>
          </w:p>
        </w:tc>
      </w:tr>
      <w:tr>
        <w:tc>
          <w:tcPr>
            <w:tcW w:type="pct" w:w="40%"/>
            <w:shd w:fill="F1F5F9" w:color="auto" w:val="clear"/>
            <w:tcMar>
              <w:top w:type="dxa" w:w="60"/>
              <w:left w:type="dxa" w:w="80"/>
              <w:bottom w:type="dxa" w:w="60"/>
              <w:right w:type="dxa" w:w="80"/>
            </w:tcMar>
          </w:tcPr>
          <w:p>
            <w:r>
              <w:rPr>
                <w:rFonts w:ascii="Consolas" w:cs="Consolas" w:eastAsia="Consolas" w:hAnsi="Consolas"/>
                <w:sz w:val="18"/>
                <w:szCs w:val="18"/>
              </w:rPr>
              <w:t xml:space="preserve">POST /api/leads/:id/convert</w:t>
            </w:r>
          </w:p>
        </w:tc>
        <w:tc>
          <w:tcPr>
            <w:tcW w:type="pct" w:w="24%"/>
            <w:shd w:fill="F1F5F9" w:color="auto" w:val="clear"/>
            <w:tcMar>
              <w:top w:type="dxa" w:w="60"/>
              <w:left w:type="dxa" w:w="80"/>
              <w:bottom w:type="dxa" w:w="60"/>
              <w:right w:type="dxa" w:w="80"/>
            </w:tcMar>
          </w:tcPr>
          <w:p>
            <w:r>
              <w:rPr>
                <w:rFonts w:ascii="Calibri" w:cs="Calibri" w:eastAsia="Calibri" w:hAnsi="Calibri"/>
                <w:sz w:val="20"/>
                <w:szCs w:val="20"/>
              </w:rPr>
              <w:t xml:space="preserve">Sales owner only (Super Admin bypass)</w:t>
            </w:r>
          </w:p>
        </w:tc>
        <w:tc>
          <w:tcPr>
            <w:tcW w:type="pct" w:w="36%"/>
            <w:shd w:fill="F1F5F9" w:color="auto" w:val="clear"/>
            <w:tcMar>
              <w:top w:type="dxa" w:w="60"/>
              <w:left w:type="dxa" w:w="80"/>
              <w:bottom w:type="dxa" w:w="60"/>
              <w:right w:type="dxa" w:w="80"/>
            </w:tcMar>
          </w:tcPr>
          <w:p>
            <w:r>
              <w:rPr>
                <w:rFonts w:ascii="Calibri" w:cs="Calibri" w:eastAsia="Calibri" w:hAnsi="Calibri"/>
                <w:sz w:val="20"/>
                <w:szCs w:val="20"/>
              </w:rPr>
              <w:t xml:space="preserve">Convert a WON lead into a DRAFT project</w:t>
            </w:r>
          </w:p>
        </w:tc>
      </w:tr>
    </w:tbl>
    <w:p>
      <w:r>
        <w:br w:type="page"/>
      </w:r>
    </w:p>
    <w:p>
      <w:pPr>
        <w:pStyle w:val="Heading1"/>
        <w:spacing w:after="160" w:before="360"/>
      </w:pPr>
      <w:r>
        <w:rPr>
          <w:rFonts w:ascii="Calibri" w:cs="Calibri" w:eastAsia="Calibri" w:hAnsi="Calibri"/>
          <w:b/>
          <w:bCs/>
          <w:color w:val="0F766E"/>
          <w:sz w:val="36"/>
          <w:szCs w:val="36"/>
        </w:rPr>
        <w:t xml:space="preserve">4. AI Executive Copilot</w:t>
      </w:r>
    </w:p>
    <w:p>
      <w:pPr>
        <w:pStyle w:val="Heading2"/>
        <w:spacing w:after="120" w:before="280"/>
      </w:pPr>
      <w:r>
        <w:rPr>
          <w:rFonts w:ascii="Calibri" w:cs="Calibri" w:eastAsia="Calibri" w:hAnsi="Calibri"/>
          <w:b/>
          <w:bCs/>
          <w:color w:val="0F766E"/>
          <w:sz w:val="28"/>
          <w:szCs w:val="28"/>
        </w:rPr>
        <w:t xml:space="preserve">4.1 What it does</w:t>
      </w:r>
    </w:p>
    <w:p>
      <w:pPr>
        <w:spacing w:after="100"/>
      </w:pPr>
      <w:r>
        <w:rPr>
          <w:rFonts w:ascii="Calibri" w:cs="Calibri" w:eastAsia="Calibri" w:hAnsi="Calibri"/>
          <w:sz w:val="22"/>
          <w:szCs w:val="22"/>
        </w:rPr>
        <w:t xml:space="preserve">A Management-only briefing page (not a chatbot). The server computes every number deterministically from the database, sends only that pre-aggregated fact sheet to the LLM, and the model writes the narrative prose plus a Top-5 recommended-actions list. The AI can phrase, but never invent, a number.</w:t>
      </w:r>
    </w:p>
    <w:p>
      <w:pPr>
        <w:pStyle w:val="Heading2"/>
        <w:spacing w:after="120" w:before="280"/>
      </w:pPr>
      <w:r>
        <w:rPr>
          <w:rFonts w:ascii="Calibri" w:cs="Calibri" w:eastAsia="Calibri" w:hAnsi="Calibri"/>
          <w:b/>
          <w:bCs/>
          <w:color w:val="0F766E"/>
          <w:sz w:val="28"/>
          <w:szCs w:val="28"/>
        </w:rPr>
        <w:t xml:space="preserve">4.2 File map</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44%"/>
            <w:shd w:fill="0F766E" w:color="auto" w:val="clear"/>
            <w:tcMar>
              <w:top w:type="dxa" w:w="60"/>
              <w:left w:type="dxa" w:w="80"/>
              <w:bottom w:type="dxa" w:w="60"/>
              <w:right w:type="dxa" w:w="80"/>
            </w:tcMar>
          </w:tcPr>
          <w:p>
            <w:r>
              <w:rPr>
                <w:rFonts w:ascii="Calibri" w:cs="Calibri" w:eastAsia="Calibri" w:hAnsi="Calibri"/>
                <w:b/>
                <w:bCs/>
                <w:color w:val="FFFFFF"/>
                <w:sz w:val="20"/>
                <w:szCs w:val="20"/>
              </w:rPr>
              <w:t xml:space="preserve">File</w:t>
            </w:r>
          </w:p>
        </w:tc>
        <w:tc>
          <w:tcPr>
            <w:tcW w:type="pct" w:w="56%"/>
            <w:shd w:fill="0F766E" w:color="auto" w:val="clear"/>
            <w:tcMar>
              <w:top w:type="dxa" w:w="60"/>
              <w:left w:type="dxa" w:w="80"/>
              <w:bottom w:type="dxa" w:w="60"/>
              <w:right w:type="dxa" w:w="80"/>
            </w:tcMar>
          </w:tcPr>
          <w:p>
            <w:r>
              <w:rPr>
                <w:rFonts w:ascii="Calibri" w:cs="Calibri" w:eastAsia="Calibri" w:hAnsi="Calibri"/>
                <w:b/>
                <w:bCs/>
                <w:color w:val="FFFFFF"/>
                <w:sz w:val="20"/>
                <w:szCs w:val="20"/>
              </w:rPr>
              <w:t xml:space="preserve">Responsibility</w:t>
            </w:r>
          </w:p>
        </w:tc>
      </w:tr>
      <w:tr>
        <w:tc>
          <w:tcPr>
            <w:tcW w:type="pct" w:w="44%"/>
            <w:shd w:fill="FFFFFF" w:color="auto" w:val="clear"/>
            <w:tcMar>
              <w:top w:type="dxa" w:w="60"/>
              <w:left w:type="dxa" w:w="80"/>
              <w:bottom w:type="dxa" w:w="60"/>
              <w:right w:type="dxa" w:w="80"/>
            </w:tcMar>
          </w:tcPr>
          <w:p>
            <w:r>
              <w:rPr>
                <w:rFonts w:ascii="Consolas" w:cs="Consolas" w:eastAsia="Consolas" w:hAnsi="Consolas"/>
                <w:sz w:val="18"/>
                <w:szCs w:val="18"/>
              </w:rPr>
              <w:t xml:space="preserve">artifacts/api-server/src/lib/executive-copilot.ts</w:t>
            </w:r>
          </w:p>
        </w:tc>
        <w:tc>
          <w:tcPr>
            <w:tcW w:type="pct" w:w="56%"/>
            <w:shd w:fill="FFFFFF" w:color="auto" w:val="clear"/>
            <w:tcMar>
              <w:top w:type="dxa" w:w="60"/>
              <w:left w:type="dxa" w:w="80"/>
              <w:bottom w:type="dxa" w:w="60"/>
              <w:right w:type="dxa" w:w="80"/>
            </w:tcMar>
          </w:tcPr>
          <w:p>
            <w:r>
              <w:rPr>
                <w:rFonts w:ascii="Calibri" w:cs="Calibri" w:eastAsia="Calibri" w:hAnsi="Calibri"/>
                <w:sz w:val="20"/>
                <w:szCs w:val="20"/>
              </w:rPr>
              <w:t xml:space="preserve">buildExecutiveCopilotFacts() — all deterministic aggregation (portfolio, health, utilization, cash flow, risk lists)</w:t>
            </w:r>
          </w:p>
        </w:tc>
      </w:tr>
      <w:tr>
        <w:tc>
          <w:tcPr>
            <w:tcW w:type="pct" w:w="44%"/>
            <w:shd w:fill="F1F5F9" w:color="auto" w:val="clear"/>
            <w:tcMar>
              <w:top w:type="dxa" w:w="60"/>
              <w:left w:type="dxa" w:w="80"/>
              <w:bottom w:type="dxa" w:w="60"/>
              <w:right w:type="dxa" w:w="80"/>
            </w:tcMar>
          </w:tcPr>
          <w:p>
            <w:r>
              <w:rPr>
                <w:rFonts w:ascii="Consolas" w:cs="Consolas" w:eastAsia="Consolas" w:hAnsi="Consolas"/>
                <w:sz w:val="18"/>
                <w:szCs w:val="18"/>
              </w:rPr>
              <w:t xml:space="preserve">artifacts/api-server/src/routes/executive-copilot.ts</w:t>
            </w:r>
          </w:p>
        </w:tc>
        <w:tc>
          <w:tcPr>
            <w:tcW w:type="pct" w:w="56%"/>
            <w:shd w:fill="F1F5F9" w:color="auto" w:val="clear"/>
            <w:tcMar>
              <w:top w:type="dxa" w:w="60"/>
              <w:left w:type="dxa" w:w="80"/>
              <w:bottom w:type="dxa" w:w="60"/>
              <w:right w:type="dxa" w:w="80"/>
            </w:tcMar>
          </w:tcPr>
          <w:p>
            <w:r>
              <w:rPr>
                <w:rFonts w:ascii="Calibri" w:cs="Calibri" w:eastAsia="Calibri" w:hAnsi="Calibri"/>
                <w:sz w:val="20"/>
                <w:szCs w:val="20"/>
              </w:rPr>
              <w:t xml:space="preserve">Endpoints, system prompt, LLM call, zod validation, deterministic overwrite, cache &amp; single-flight</w:t>
            </w:r>
          </w:p>
        </w:tc>
      </w:tr>
      <w:tr>
        <w:tc>
          <w:tcPr>
            <w:tcW w:type="pct" w:w="44%"/>
            <w:shd w:fill="FFFFFF" w:color="auto" w:val="clear"/>
            <w:tcMar>
              <w:top w:type="dxa" w:w="60"/>
              <w:left w:type="dxa" w:w="80"/>
              <w:bottom w:type="dxa" w:w="60"/>
              <w:right w:type="dxa" w:w="80"/>
            </w:tcMar>
          </w:tcPr>
          <w:p>
            <w:r>
              <w:rPr>
                <w:rFonts w:ascii="Consolas" w:cs="Consolas" w:eastAsia="Consolas" w:hAnsi="Consolas"/>
                <w:sz w:val="18"/>
                <w:szCs w:val="18"/>
              </w:rPr>
              <w:t xml:space="preserve">artifacts/api-server/src/lib/executive-copilot-pdf.ts</w:t>
            </w:r>
          </w:p>
        </w:tc>
        <w:tc>
          <w:tcPr>
            <w:tcW w:type="pct" w:w="56%"/>
            <w:shd w:fill="FFFFFF" w:color="auto" w:val="clear"/>
            <w:tcMar>
              <w:top w:type="dxa" w:w="60"/>
              <w:left w:type="dxa" w:w="80"/>
              <w:bottom w:type="dxa" w:w="60"/>
              <w:right w:type="dxa" w:w="80"/>
            </w:tcMar>
          </w:tcPr>
          <w:p>
            <w:r>
              <w:rPr>
                <w:rFonts w:ascii="Calibri" w:cs="Calibri" w:eastAsia="Calibri" w:hAnsi="Calibri"/>
                <w:sz w:val="20"/>
                <w:szCs w:val="20"/>
              </w:rPr>
              <w:t xml:space="preserve">PDF export of the current briefing (PDFKit)</w:t>
            </w:r>
          </w:p>
        </w:tc>
      </w:tr>
      <w:tr>
        <w:tc>
          <w:tcPr>
            <w:tcW w:type="pct" w:w="44%"/>
            <w:shd w:fill="F1F5F9" w:color="auto" w:val="clear"/>
            <w:tcMar>
              <w:top w:type="dxa" w:w="60"/>
              <w:left w:type="dxa" w:w="80"/>
              <w:bottom w:type="dxa" w:w="60"/>
              <w:right w:type="dxa" w:w="80"/>
            </w:tcMar>
          </w:tcPr>
          <w:p>
            <w:r>
              <w:rPr>
                <w:rFonts w:ascii="Consolas" w:cs="Consolas" w:eastAsia="Consolas" w:hAnsi="Consolas"/>
                <w:sz w:val="18"/>
                <w:szCs w:val="18"/>
              </w:rPr>
              <w:t xml:space="preserve">artifacts/web/src/pages/executive-copilot/index.tsx</w:t>
            </w:r>
          </w:p>
        </w:tc>
        <w:tc>
          <w:tcPr>
            <w:tcW w:type="pct" w:w="56%"/>
            <w:shd w:fill="F1F5F9" w:color="auto" w:val="clear"/>
            <w:tcMar>
              <w:top w:type="dxa" w:w="60"/>
              <w:left w:type="dxa" w:w="80"/>
              <w:bottom w:type="dxa" w:w="60"/>
              <w:right w:type="dxa" w:w="80"/>
            </w:tcMar>
          </w:tcPr>
          <w:p>
            <w:r>
              <w:rPr>
                <w:rFonts w:ascii="Calibri" w:cs="Calibri" w:eastAsia="Calibri" w:hAnsi="Calibri"/>
                <w:sz w:val="20"/>
                <w:szCs w:val="20"/>
              </w:rPr>
              <w:t xml:space="preserve">Briefing page: Generate/Refresh button, health hero, metric sections, Top 5 actions, PDF download</w:t>
            </w:r>
          </w:p>
        </w:tc>
      </w:tr>
      <w:tr>
        <w:tc>
          <w:tcPr>
            <w:tcW w:type="pct" w:w="44%"/>
            <w:shd w:fill="FFFFFF" w:color="auto" w:val="clear"/>
            <w:tcMar>
              <w:top w:type="dxa" w:w="60"/>
              <w:left w:type="dxa" w:w="80"/>
              <w:bottom w:type="dxa" w:w="60"/>
              <w:right w:type="dxa" w:w="80"/>
            </w:tcMar>
          </w:tcPr>
          <w:p>
            <w:r>
              <w:rPr>
                <w:rFonts w:ascii="Consolas" w:cs="Consolas" w:eastAsia="Consolas" w:hAnsi="Consolas"/>
                <w:sz w:val="18"/>
                <w:szCs w:val="18"/>
              </w:rPr>
              <w:t xml:space="preserve">lib/api-spec (OpenAPI) → lib/api-zod</w:t>
            </w:r>
          </w:p>
        </w:tc>
        <w:tc>
          <w:tcPr>
            <w:tcW w:type="pct" w:w="56%"/>
            <w:shd w:fill="FFFFFF" w:color="auto" w:val="clear"/>
            <w:tcMar>
              <w:top w:type="dxa" w:w="60"/>
              <w:left w:type="dxa" w:w="80"/>
              <w:bottom w:type="dxa" w:w="60"/>
              <w:right w:type="dxa" w:w="80"/>
            </w:tcMar>
          </w:tcPr>
          <w:p>
            <w:r>
              <w:rPr>
                <w:rFonts w:ascii="Calibri" w:cs="Calibri" w:eastAsia="Calibri" w:hAnsi="Calibri"/>
                <w:sz w:val="20"/>
                <w:szCs w:val="20"/>
              </w:rPr>
              <w:t xml:space="preserve">GenerateExecutiveBriefingResponse schema used to validate the LLM output</w:t>
            </w:r>
          </w:p>
        </w:tc>
      </w:tr>
    </w:tbl>
    <w:p>
      <w:pPr>
        <w:pStyle w:val="Heading2"/>
        <w:spacing w:after="120" w:before="280"/>
      </w:pPr>
      <w:r>
        <w:rPr>
          <w:rFonts w:ascii="Calibri" w:cs="Calibri" w:eastAsia="Calibri" w:hAnsi="Calibri"/>
          <w:b/>
          <w:bCs/>
          <w:color w:val="0F766E"/>
          <w:sz w:val="28"/>
          <w:szCs w:val="28"/>
        </w:rPr>
        <w:t xml:space="preserve">4.3 Deterministic facts (buildExecutiveCopilotFacts)</w:t>
      </w:r>
    </w:p>
    <w:p>
      <w:pPr>
        <w:pStyle w:val="ListParagraph"/>
        <w:numPr>
          <w:ilvl w:val="0"/>
          <w:numId w:val="1"/>
        </w:numPr>
        <w:spacing w:after="60"/>
      </w:pPr>
      <w:r>
        <w:rPr>
          <w:rFonts w:ascii="Calibri" w:cs="Calibri" w:eastAsia="Calibri" w:hAnsi="Calibri"/>
          <w:sz w:val="22"/>
          <w:szCs w:val="22"/>
        </w:rPr>
        <w:t xml:space="preserve">Portfolio: project counts (total/active/client), total contract value, recognized revenue (percentage-of-completion), actual cost, profit.</w:t>
      </w:r>
    </w:p>
    <w:p>
      <w:pPr>
        <w:pStyle w:val="ListParagraph"/>
        <w:numPr>
          <w:ilvl w:val="0"/>
          <w:numId w:val="1"/>
        </w:numPr>
        <w:spacing w:after="60"/>
      </w:pPr>
      <w:r>
        <w:rPr>
          <w:rFonts w:ascii="Calibri" w:cs="Calibri" w:eastAsia="Calibri" w:hAnsi="Calibri"/>
          <w:sz w:val="22"/>
          <w:szCs w:val="22"/>
        </w:rPr>
        <w:t xml:space="preserve">Portfolio health: weighted average of the per-project </w:t>
      </w:r>
      <w:r>
        <w:rPr>
          <w:rFonts w:ascii="Consolas" w:cs="Consolas" w:eastAsia="Consolas" w:hAnsi="Consolas"/>
          <w:sz w:val="20"/>
          <w:szCs w:val="20"/>
          <w:shd w:fill="F8FAFC" w:color="auto" w:val="clear"/>
        </w:rPr>
        <w:t xml:space="preserve">computeHealthScore()</w:t>
      </w:r>
      <w:r>
        <w:rPr>
          <w:rFonts w:ascii="Calibri" w:cs="Calibri" w:eastAsia="Calibri" w:hAnsi="Calibri"/>
          <w:sz w:val="22"/>
          <w:szCs w:val="22"/>
        </w:rPr>
        <w:t xml:space="preserve"> from serializers.ts — the same score shown on the dashboards, so the briefing can never disagree with the rest of the app.</w:t>
      </w:r>
    </w:p>
    <w:p>
      <w:pPr>
        <w:pStyle w:val="ListParagraph"/>
        <w:numPr>
          <w:ilvl w:val="0"/>
          <w:numId w:val="1"/>
        </w:numPr>
        <w:spacing w:after="60"/>
      </w:pPr>
      <w:r>
        <w:rPr>
          <w:rFonts w:ascii="Calibri" w:cs="Calibri" w:eastAsia="Calibri" w:hAnsi="Calibri"/>
          <w:sz w:val="22"/>
          <w:szCs w:val="22"/>
        </w:rPr>
        <w:t xml:space="preserve">Utilization: headcount, billable-active, idle, and overloaded staff from a 7-day rolling window of approved timesheets.</w:t>
      </w:r>
    </w:p>
    <w:p>
      <w:pPr>
        <w:pStyle w:val="ListParagraph"/>
        <w:numPr>
          <w:ilvl w:val="0"/>
          <w:numId w:val="1"/>
        </w:numPr>
        <w:spacing w:after="60"/>
      </w:pPr>
      <w:r>
        <w:rPr>
          <w:rFonts w:ascii="Calibri" w:cs="Calibri" w:eastAsia="Calibri" w:hAnsi="Calibri"/>
          <w:sz w:val="22"/>
          <w:szCs w:val="22"/>
        </w:rPr>
        <w:t xml:space="preserve">Cash flow: planned inflows for the next 30/90 days, outstanding invoices, payments received in the last 90 days.</w:t>
      </w:r>
    </w:p>
    <w:p>
      <w:pPr>
        <w:pStyle w:val="ListParagraph"/>
        <w:numPr>
          <w:ilvl w:val="0"/>
          <w:numId w:val="1"/>
        </w:numPr>
        <w:spacing w:after="60"/>
      </w:pPr>
      <w:r>
        <w:rPr>
          <w:rFonts w:ascii="Calibri" w:cs="Calibri" w:eastAsia="Calibri" w:hAnsi="Calibri"/>
          <w:sz w:val="22"/>
          <w:szCs w:val="22"/>
        </w:rPr>
        <w:t xml:space="preserve">Risk lists: top 10 delayed projects (past their end date) and top 10 high-risk projects (open Critical/High RAID items).</w:t>
      </w:r>
    </w:p>
    <w:p>
      <w:pPr>
        <w:pStyle w:val="Heading2"/>
        <w:spacing w:after="120" w:before="280"/>
      </w:pPr>
      <w:r>
        <w:rPr>
          <w:rFonts w:ascii="Calibri" w:cs="Calibri" w:eastAsia="Calibri" w:hAnsi="Calibri"/>
          <w:b/>
          <w:bCs/>
          <w:color w:val="0F766E"/>
          <w:sz w:val="28"/>
          <w:szCs w:val="28"/>
        </w:rPr>
        <w:t xml:space="preserve">4.4 LLM call</w:t>
      </w:r>
    </w:p>
    <w:p>
      <w:pPr>
        <w:pStyle w:val="ListParagraph"/>
        <w:numPr>
          <w:ilvl w:val="0"/>
          <w:numId w:val="1"/>
        </w:numPr>
        <w:spacing w:after="60"/>
      </w:pPr>
      <w:r>
        <w:rPr>
          <w:rFonts w:ascii="Calibri" w:cs="Calibri" w:eastAsia="Calibri" w:hAnsi="Calibri"/>
          <w:sz w:val="22"/>
          <w:szCs w:val="22"/>
        </w:rPr>
        <w:t xml:space="preserve">Provider: the Replit AI integration via </w:t>
      </w:r>
      <w:r>
        <w:rPr>
          <w:rFonts w:ascii="Consolas" w:cs="Consolas" w:eastAsia="Consolas" w:hAnsi="Consolas"/>
          <w:sz w:val="20"/>
          <w:szCs w:val="20"/>
          <w:shd w:fill="F8FAFC" w:color="auto" w:val="clear"/>
        </w:rPr>
        <w:t xml:space="preserve">@workspace/integrations-openai-ai-server</w:t>
      </w:r>
      <w:r>
        <w:rPr>
          <w:rFonts w:ascii="Calibri" w:cs="Calibri" w:eastAsia="Calibri" w:hAnsi="Calibri"/>
          <w:sz w:val="22"/>
          <w:szCs w:val="22"/>
        </w:rPr>
        <w:t xml:space="preserve"> (OpenAI-compatible client, credentials injected by the platform — no API key to manage). Model: </w:t>
      </w:r>
      <w:r>
        <w:rPr>
          <w:rFonts w:ascii="Consolas" w:cs="Consolas" w:eastAsia="Consolas" w:hAnsi="Consolas"/>
          <w:sz w:val="20"/>
          <w:szCs w:val="20"/>
          <w:shd w:fill="F8FAFC" w:color="auto" w:val="clear"/>
        </w:rPr>
        <w:t xml:space="preserve">gpt-5.4</w:t>
      </w:r>
      <w:r>
        <w:rPr>
          <w:rFonts w:ascii="Calibri" w:cs="Calibri" w:eastAsia="Calibri" w:hAnsi="Calibri"/>
          <w:sz w:val="22"/>
          <w:szCs w:val="22"/>
        </w:rPr>
        <w:t xml:space="preserve">.</w:t>
      </w:r>
    </w:p>
    <w:p>
      <w:pPr>
        <w:pStyle w:val="ListParagraph"/>
        <w:numPr>
          <w:ilvl w:val="0"/>
          <w:numId w:val="1"/>
        </w:numPr>
        <w:spacing w:after="60"/>
      </w:pPr>
      <w:r>
        <w:rPr>
          <w:rFonts w:ascii="Calibri" w:cs="Calibri" w:eastAsia="Calibri" w:hAnsi="Calibri"/>
          <w:sz w:val="22"/>
          <w:szCs w:val="22"/>
        </w:rPr>
        <w:t xml:space="preserve">A fixed system prompt defines the persona and hard rules: use only the provided facts, IDR currency formatting, no markdown, no emojis, and a strict JSON output shape.</w:t>
      </w:r>
    </w:p>
    <w:p>
      <w:pPr>
        <w:pStyle w:val="ListParagraph"/>
        <w:numPr>
          <w:ilvl w:val="0"/>
          <w:numId w:val="1"/>
        </w:numPr>
        <w:spacing w:after="60"/>
      </w:pPr>
      <w:r>
        <w:rPr>
          <w:rFonts w:ascii="Calibri" w:cs="Calibri" w:eastAsia="Calibri" w:hAnsi="Calibri"/>
          <w:sz w:val="22"/>
          <w:szCs w:val="22"/>
        </w:rPr>
        <w:t xml:space="preserve">The response is parsed and validated against the generated zod schema (</w:t>
      </w:r>
      <w:r>
        <w:rPr>
          <w:rFonts w:ascii="Consolas" w:cs="Consolas" w:eastAsia="Consolas" w:hAnsi="Consolas"/>
          <w:sz w:val="20"/>
          <w:szCs w:val="20"/>
          <w:shd w:fill="F8FAFC" w:color="auto" w:val="clear"/>
        </w:rPr>
        <w:t xml:space="preserve">GenerateExecutiveBriefingResponse</w:t>
      </w:r>
      <w:r>
        <w:rPr>
          <w:rFonts w:ascii="Calibri" w:cs="Calibri" w:eastAsia="Calibri" w:hAnsi="Calibri"/>
          <w:sz w:val="22"/>
          <w:szCs w:val="22"/>
        </w:rPr>
        <w:t xml:space="preserve">); recommendedActions is defensively sliced to 5 items.</w:t>
      </w:r>
    </w:p>
    <w:p>
      <w:pPr>
        <w:pStyle w:val="ListParagraph"/>
        <w:numPr>
          <w:ilvl w:val="0"/>
          <w:numId w:val="1"/>
        </w:numPr>
        <w:spacing w:after="60"/>
      </w:pPr>
      <w:r>
        <w:rPr>
          <w:rFonts w:ascii="Calibri" w:cs="Calibri" w:eastAsia="Calibri" w:hAnsi="Calibri"/>
          <w:sz w:val="22"/>
          <w:szCs w:val="22"/>
        </w:rPr>
        <w:t xml:space="preserve">Deterministic overwrite: after validation the server replaces the model's </w:t>
      </w:r>
      <w:r>
        <w:rPr>
          <w:rFonts w:ascii="Consolas" w:cs="Consolas" w:eastAsia="Consolas" w:hAnsi="Consolas"/>
          <w:sz w:val="20"/>
          <w:szCs w:val="20"/>
          <w:shd w:fill="F8FAFC" w:color="auto" w:val="clear"/>
        </w:rPr>
        <w:t xml:space="preserve">portfolioHealthScore</w:t>
      </w:r>
      <w:r>
        <w:rPr>
          <w:rFonts w:ascii="Calibri" w:cs="Calibri" w:eastAsia="Calibri" w:hAnsi="Calibri"/>
          <w:sz w:val="22"/>
          <w:szCs w:val="22"/>
        </w:rPr>
        <w:t xml:space="preserve"> and </w:t>
      </w:r>
      <w:r>
        <w:rPr>
          <w:rFonts w:ascii="Consolas" w:cs="Consolas" w:eastAsia="Consolas" w:hAnsi="Consolas"/>
          <w:sz w:val="20"/>
          <w:szCs w:val="20"/>
          <w:shd w:fill="F8FAFC" w:color="auto" w:val="clear"/>
        </w:rPr>
        <w:t xml:space="preserve">healthLabel</w:t>
      </w:r>
      <w:r>
        <w:rPr>
          <w:rFonts w:ascii="Calibri" w:cs="Calibri" w:eastAsia="Calibri" w:hAnsi="Calibri"/>
          <w:sz w:val="22"/>
          <w:szCs w:val="22"/>
        </w:rPr>
        <w:t xml:space="preserve"> with the computed values — whatever the model echoed is discarded.</w:t>
      </w:r>
    </w:p>
    <w:p>
      <w:pPr>
        <w:pStyle w:val="Heading2"/>
        <w:spacing w:after="120" w:before="280"/>
      </w:pPr>
      <w:r>
        <w:rPr>
          <w:rFonts w:ascii="Calibri" w:cs="Calibri" w:eastAsia="Calibri" w:hAnsi="Calibri"/>
          <w:b/>
          <w:bCs/>
          <w:color w:val="0F766E"/>
          <w:sz w:val="28"/>
          <w:szCs w:val="28"/>
        </w:rPr>
        <w:t xml:space="preserve">4.5 Endpoints, caching, and cost control</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46%"/>
            <w:shd w:fill="0F766E" w:color="auto" w:val="clear"/>
            <w:tcMar>
              <w:top w:type="dxa" w:w="60"/>
              <w:left w:type="dxa" w:w="80"/>
              <w:bottom w:type="dxa" w:w="60"/>
              <w:right w:type="dxa" w:w="80"/>
            </w:tcMar>
          </w:tcPr>
          <w:p>
            <w:r>
              <w:rPr>
                <w:rFonts w:ascii="Calibri" w:cs="Calibri" w:eastAsia="Calibri" w:hAnsi="Calibri"/>
                <w:b/>
                <w:bCs/>
                <w:color w:val="FFFFFF"/>
                <w:sz w:val="20"/>
                <w:szCs w:val="20"/>
              </w:rPr>
              <w:t xml:space="preserve">Method &amp; path</w:t>
            </w:r>
          </w:p>
        </w:tc>
        <w:tc>
          <w:tcPr>
            <w:tcW w:type="pct" w:w="54%"/>
            <w:shd w:fill="0F766E" w:color="auto" w:val="clear"/>
            <w:tcMar>
              <w:top w:type="dxa" w:w="60"/>
              <w:left w:type="dxa" w:w="80"/>
              <w:bottom w:type="dxa" w:w="60"/>
              <w:right w:type="dxa" w:w="80"/>
            </w:tcMar>
          </w:tcPr>
          <w:p>
            <w:r>
              <w:rPr>
                <w:rFonts w:ascii="Calibri" w:cs="Calibri" w:eastAsia="Calibri" w:hAnsi="Calibri"/>
                <w:b/>
                <w:bCs/>
                <w:color w:val="FFFFFF"/>
                <w:sz w:val="20"/>
                <w:szCs w:val="20"/>
              </w:rPr>
              <w:t xml:space="preserve">Purpose</w:t>
            </w:r>
          </w:p>
        </w:tc>
      </w:tr>
      <w:tr>
        <w:tc>
          <w:tcPr>
            <w:tcW w:type="pct" w:w="46%"/>
            <w:shd w:fill="FFFFFF" w:color="auto" w:val="clear"/>
            <w:tcMar>
              <w:top w:type="dxa" w:w="60"/>
              <w:left w:type="dxa" w:w="80"/>
              <w:bottom w:type="dxa" w:w="60"/>
              <w:right w:type="dxa" w:w="80"/>
            </w:tcMar>
          </w:tcPr>
          <w:p>
            <w:r>
              <w:rPr>
                <w:rFonts w:ascii="Consolas" w:cs="Consolas" w:eastAsia="Consolas" w:hAnsi="Consolas"/>
                <w:sz w:val="18"/>
                <w:szCs w:val="18"/>
              </w:rPr>
              <w:t xml:space="preserve">POST /api/executive-copilot/briefing/generate</w:t>
            </w:r>
          </w:p>
        </w:tc>
        <w:tc>
          <w:tcPr>
            <w:tcW w:type="pct" w:w="54%"/>
            <w:shd w:fill="FFFFFF" w:color="auto" w:val="clear"/>
            <w:tcMar>
              <w:top w:type="dxa" w:w="60"/>
              <w:left w:type="dxa" w:w="80"/>
              <w:bottom w:type="dxa" w:w="60"/>
              <w:right w:type="dxa" w:w="80"/>
            </w:tcMar>
          </w:tcPr>
          <w:p>
            <w:r>
              <w:rPr>
                <w:rFonts w:ascii="Calibri" w:cs="Calibri" w:eastAsia="Calibri" w:hAnsi="Calibri"/>
                <w:sz w:val="20"/>
                <w:szCs w:val="20"/>
              </w:rPr>
              <w:t xml:space="preserve">Button-driven fresh generation (the only call that costs AI tokens). Single-flight: concurrent requests share one pending LLM call.</w:t>
            </w:r>
          </w:p>
        </w:tc>
      </w:tr>
      <w:tr>
        <w:tc>
          <w:tcPr>
            <w:tcW w:type="pct" w:w="46%"/>
            <w:shd w:fill="F1F5F9" w:color="auto" w:val="clear"/>
            <w:tcMar>
              <w:top w:type="dxa" w:w="60"/>
              <w:left w:type="dxa" w:w="80"/>
              <w:bottom w:type="dxa" w:w="60"/>
              <w:right w:type="dxa" w:w="80"/>
            </w:tcMar>
          </w:tcPr>
          <w:p>
            <w:r>
              <w:rPr>
                <w:rFonts w:ascii="Consolas" w:cs="Consolas" w:eastAsia="Consolas" w:hAnsi="Consolas"/>
                <w:sz w:val="18"/>
                <w:szCs w:val="18"/>
              </w:rPr>
              <w:t xml:space="preserve">GET /api/executive-copilot/briefing</w:t>
            </w:r>
          </w:p>
        </w:tc>
        <w:tc>
          <w:tcPr>
            <w:tcW w:type="pct" w:w="54%"/>
            <w:shd w:fill="F1F5F9" w:color="auto" w:val="clear"/>
            <w:tcMar>
              <w:top w:type="dxa" w:w="60"/>
              <w:left w:type="dxa" w:w="80"/>
              <w:bottom w:type="dxa" w:w="60"/>
              <w:right w:type="dxa" w:w="80"/>
            </w:tcMar>
          </w:tcPr>
          <w:p>
            <w:r>
              <w:rPr>
                <w:rFonts w:ascii="Calibri" w:cs="Calibri" w:eastAsia="Calibri" w:hAnsi="Calibri"/>
                <w:sz w:val="20"/>
                <w:szCs w:val="20"/>
              </w:rPr>
              <w:t xml:space="preserve">Returns the cached briefing only; never triggers the LLM.</w:t>
            </w:r>
          </w:p>
        </w:tc>
      </w:tr>
      <w:tr>
        <w:tc>
          <w:tcPr>
            <w:tcW w:type="pct" w:w="46%"/>
            <w:shd w:fill="FFFFFF" w:color="auto" w:val="clear"/>
            <w:tcMar>
              <w:top w:type="dxa" w:w="60"/>
              <w:left w:type="dxa" w:w="80"/>
              <w:bottom w:type="dxa" w:w="60"/>
              <w:right w:type="dxa" w:w="80"/>
            </w:tcMar>
          </w:tcPr>
          <w:p>
            <w:r>
              <w:rPr>
                <w:rFonts w:ascii="Consolas" w:cs="Consolas" w:eastAsia="Consolas" w:hAnsi="Consolas"/>
                <w:sz w:val="18"/>
                <w:szCs w:val="18"/>
              </w:rPr>
              <w:t xml:space="preserve">GET /api/executive-copilot/briefing/export.pdf</w:t>
            </w:r>
          </w:p>
        </w:tc>
        <w:tc>
          <w:tcPr>
            <w:tcW w:type="pct" w:w="54%"/>
            <w:shd w:fill="FFFFFF" w:color="auto" w:val="clear"/>
            <w:tcMar>
              <w:top w:type="dxa" w:w="60"/>
              <w:left w:type="dxa" w:w="80"/>
              <w:bottom w:type="dxa" w:w="60"/>
              <w:right w:type="dxa" w:w="80"/>
            </w:tcMar>
          </w:tcPr>
          <w:p>
            <w:r>
              <w:rPr>
                <w:rFonts w:ascii="Calibri" w:cs="Calibri" w:eastAsia="Calibri" w:hAnsi="Calibri"/>
                <w:sz w:val="20"/>
                <w:szCs w:val="20"/>
              </w:rPr>
              <w:t xml:space="preserve">Streams the current briefing as a PDF.</w:t>
            </w:r>
          </w:p>
        </w:tc>
      </w:tr>
    </w:tbl>
    <w:p>
      <w:r>
        <w:t xml:space="preserve"/>
      </w:r>
    </w:p>
    <w:p>
      <w:pPr>
        <w:pStyle w:val="ListParagraph"/>
        <w:numPr>
          <w:ilvl w:val="0"/>
          <w:numId w:val="1"/>
        </w:numPr>
        <w:spacing w:after="60"/>
      </w:pPr>
      <w:r>
        <w:rPr>
          <w:rFonts w:ascii="Calibri" w:cs="Calibri" w:eastAsia="Calibri" w:hAnsi="Calibri"/>
          <w:sz w:val="22"/>
          <w:szCs w:val="22"/>
        </w:rPr>
        <w:t xml:space="preserve">The last result is cached at module level (one briefing portfolio-wide, not per user).</w:t>
      </w:r>
    </w:p>
    <w:p>
      <w:pPr>
        <w:pStyle w:val="ListParagraph"/>
        <w:numPr>
          <w:ilvl w:val="0"/>
          <w:numId w:val="1"/>
        </w:numPr>
        <w:spacing w:after="60"/>
      </w:pPr>
      <w:r>
        <w:rPr>
          <w:rFonts w:ascii="Calibri" w:cs="Calibri" w:eastAsia="Calibri" w:hAnsi="Calibri"/>
          <w:sz w:val="22"/>
          <w:szCs w:val="22"/>
        </w:rPr>
        <w:t xml:space="preserve">A briefing older than 10 minutes is still served but flagged stale so the UI can suggest a refresh.</w:t>
      </w:r>
    </w:p>
    <w:p>
      <w:pPr>
        <w:pStyle w:val="ListParagraph"/>
        <w:numPr>
          <w:ilvl w:val="0"/>
          <w:numId w:val="1"/>
        </w:numPr>
        <w:spacing w:after="60"/>
      </w:pPr>
      <w:r>
        <w:rPr>
          <w:rFonts w:ascii="Calibri" w:cs="Calibri" w:eastAsia="Calibri" w:hAnsi="Calibri"/>
          <w:sz w:val="22"/>
          <w:szCs w:val="22"/>
        </w:rPr>
        <w:t xml:space="preserve">There is no scheduler — generation happens only when a user presses the button, which keeps AI cost explicit and bounded.</w:t>
      </w:r>
    </w:p>
    <w:p>
      <w:pPr>
        <w:pStyle w:val="Heading2"/>
        <w:spacing w:after="120" w:before="280"/>
      </w:pPr>
      <w:r>
        <w:rPr>
          <w:rFonts w:ascii="Calibri" w:cs="Calibri" w:eastAsia="Calibri" w:hAnsi="Calibri"/>
          <w:b/>
          <w:bCs/>
          <w:color w:val="0F766E"/>
          <w:sz w:val="28"/>
          <w:szCs w:val="28"/>
        </w:rPr>
        <w:t xml:space="preserve">4.6 Privacy &amp; security guardrails</w:t>
      </w:r>
    </w:p>
    <w:p>
      <w:pPr>
        <w:pStyle w:val="ListParagraph"/>
        <w:numPr>
          <w:ilvl w:val="0"/>
          <w:numId w:val="1"/>
        </w:numPr>
        <w:spacing w:after="60"/>
      </w:pPr>
      <w:r>
        <w:rPr>
          <w:rFonts w:ascii="Calibri" w:cs="Calibri" w:eastAsia="Calibri" w:hAnsi="Calibri"/>
          <w:sz w:val="22"/>
          <w:szCs w:val="22"/>
        </w:rPr>
        <w:t xml:space="preserve">Only the pre-aggregated fact sheet goes to the LLM — never documents, daily rates, or raw timesheet rows.</w:t>
      </w:r>
    </w:p>
    <w:p>
      <w:pPr>
        <w:pStyle w:val="ListParagraph"/>
        <w:numPr>
          <w:ilvl w:val="0"/>
          <w:numId w:val="1"/>
        </w:numPr>
        <w:spacing w:after="60"/>
      </w:pPr>
      <w:r>
        <w:rPr>
          <w:rFonts w:ascii="Calibri" w:cs="Calibri" w:eastAsia="Calibri" w:hAnsi="Calibri"/>
          <w:sz w:val="22"/>
          <w:szCs w:val="22"/>
        </w:rPr>
        <w:t xml:space="preserve">The provider response body is never logged (it may echo commercial figures); only its length is recorded.</w:t>
      </w:r>
    </w:p>
    <w:p>
      <w:pPr>
        <w:pStyle w:val="ListParagraph"/>
        <w:numPr>
          <w:ilvl w:val="0"/>
          <w:numId w:val="1"/>
        </w:numPr>
        <w:spacing w:after="60"/>
      </w:pPr>
      <w:r>
        <w:rPr>
          <w:rFonts w:ascii="Calibri" w:cs="Calibri" w:eastAsia="Calibri" w:hAnsi="Calibri"/>
          <w:sz w:val="22"/>
          <w:szCs w:val="22"/>
        </w:rPr>
        <w:t xml:space="preserve">Role gate: every endpoint checks </w:t>
      </w:r>
      <w:r>
        <w:rPr>
          <w:rFonts w:ascii="Consolas" w:cs="Consolas" w:eastAsia="Consolas" w:hAnsi="Consolas"/>
          <w:sz w:val="20"/>
          <w:szCs w:val="20"/>
          <w:shd w:fill="F8FAFC" w:color="auto" w:val="clear"/>
        </w:rPr>
        <w:t xml:space="preserve">isExecutive()</w:t>
      </w:r>
      <w:r>
        <w:rPr>
          <w:rFonts w:ascii="Calibri" w:cs="Calibri" w:eastAsia="Calibri" w:hAnsi="Calibri"/>
          <w:sz w:val="22"/>
          <w:szCs w:val="22"/>
        </w:rPr>
        <w:t xml:space="preserve"> — MANAGEMENT or SUPER_ADMIN only; everyone else gets 403.</w:t>
      </w:r>
    </w:p>
    <w:p>
      <w:pPr>
        <w:pStyle w:val="Heading2"/>
        <w:spacing w:after="120" w:before="280"/>
      </w:pPr>
      <w:r>
        <w:rPr>
          <w:rFonts w:ascii="Calibri" w:cs="Calibri" w:eastAsia="Calibri" w:hAnsi="Calibri"/>
          <w:b/>
          <w:bCs/>
          <w:color w:val="0F766E"/>
          <w:sz w:val="28"/>
          <w:szCs w:val="28"/>
        </w:rPr>
        <w:t xml:space="preserve">4.7 UI behavior</w:t>
      </w:r>
    </w:p>
    <w:p>
      <w:pPr>
        <w:pStyle w:val="ListParagraph"/>
        <w:numPr>
          <w:ilvl w:val="0"/>
          <w:numId w:val="1"/>
        </w:numPr>
        <w:spacing w:after="60"/>
      </w:pPr>
      <w:r>
        <w:rPr>
          <w:rFonts w:ascii="Calibri" w:cs="Calibri" w:eastAsia="Calibri" w:hAnsi="Calibri"/>
          <w:sz w:val="22"/>
          <w:szCs w:val="22"/>
        </w:rPr>
        <w:t xml:space="preserve">Header button reads "Generate Briefing" when no cache exists and "Refresh Briefing" afterwards, with a loading spinner during generation.</w:t>
      </w:r>
    </w:p>
    <w:p>
      <w:pPr>
        <w:pStyle w:val="ListParagraph"/>
        <w:numPr>
          <w:ilvl w:val="0"/>
          <w:numId w:val="1"/>
        </w:numPr>
        <w:spacing w:after="60"/>
      </w:pPr>
      <w:r>
        <w:rPr>
          <w:rFonts w:ascii="Calibri" w:cs="Calibri" w:eastAsia="Calibri" w:hAnsi="Calibri"/>
          <w:sz w:val="22"/>
          <w:szCs w:val="22"/>
        </w:rPr>
        <w:t xml:space="preserve">Sections: health hero card, then Revenue, Margin, Utilization, Cash Flow, and Invoices — each pairing deterministic metric tiles with the AI narrative paragraph.</w:t>
      </w:r>
    </w:p>
    <w:p>
      <w:pPr>
        <w:pStyle w:val="ListParagraph"/>
        <w:numPr>
          <w:ilvl w:val="0"/>
          <w:numId w:val="1"/>
        </w:numPr>
        <w:spacing w:after="60"/>
      </w:pPr>
      <w:r>
        <w:rPr>
          <w:rFonts w:ascii="Calibri" w:cs="Calibri" w:eastAsia="Calibri" w:hAnsi="Calibri"/>
          <w:sz w:val="22"/>
          <w:szCs w:val="22"/>
        </w:rPr>
        <w:t xml:space="preserve">The Top 5 Actions card lists the model's recommendations with HIGH / MEDIUM / LOW priority badges.</w:t>
      </w:r>
    </w:p>
    <w:p>
      <w:r>
        <w:br w:type="page"/>
      </w:r>
    </w:p>
    <w:p>
      <w:pPr>
        <w:pStyle w:val="Heading1"/>
        <w:spacing w:after="160" w:before="360"/>
      </w:pPr>
      <w:r>
        <w:rPr>
          <w:rFonts w:ascii="Calibri" w:cs="Calibri" w:eastAsia="Calibri" w:hAnsi="Calibri"/>
          <w:b/>
          <w:bCs/>
          <w:color w:val="0F766E"/>
          <w:sz w:val="36"/>
          <w:szCs w:val="36"/>
        </w:rPr>
        <w:t xml:space="preserve">5. Cross-Cutting Patterns</w:t>
      </w:r>
    </w:p>
    <w:p>
      <w:pPr>
        <w:spacing w:after="100"/>
      </w:pPr>
      <w:r>
        <w:rPr>
          <w:rFonts w:ascii="Calibri" w:cs="Calibri" w:eastAsia="Calibri" w:hAnsi="Calibri"/>
          <w:sz w:val="22"/>
          <w:szCs w:val="22"/>
        </w:rPr>
        <w:t xml:space="preserve">Conventions shared by all three integrations — follow them when adding a new one:</w:t>
      </w:r>
    </w:p>
    <w:p>
      <w:pPr>
        <w:pStyle w:val="ListParagraph"/>
        <w:numPr>
          <w:ilvl w:val="0"/>
          <w:numId w:val="1"/>
        </w:numPr>
        <w:spacing w:after="60"/>
      </w:pPr>
      <w:r>
        <w:rPr>
          <w:rFonts w:ascii="Calibri" w:cs="Calibri" w:eastAsia="Calibri" w:hAnsi="Calibri"/>
          <w:b/>
          <w:bCs/>
          <w:sz w:val="22"/>
          <w:szCs w:val="22"/>
        </w:rPr>
        <w:t xml:space="preserve">Secrets via environment variables only. </w:t>
      </w:r>
      <w:r>
        <w:rPr>
          <w:rFonts w:ascii="Calibri" w:cs="Calibri" w:eastAsia="Calibri" w:hAnsi="Calibri"/>
          <w:sz w:val="22"/>
          <w:szCs w:val="22"/>
        </w:rPr>
        <w:t xml:space="preserve">Read with process.env at the point of use; a missing secret disables the feature gracefully (status endpoints report "not configured") instead of crashing the server.</w:t>
      </w:r>
    </w:p>
    <w:p>
      <w:pPr>
        <w:pStyle w:val="ListParagraph"/>
        <w:numPr>
          <w:ilvl w:val="0"/>
          <w:numId w:val="1"/>
        </w:numPr>
        <w:spacing w:after="60"/>
      </w:pPr>
      <w:r>
        <w:rPr>
          <w:rFonts w:ascii="Calibri" w:cs="Calibri" w:eastAsia="Calibri" w:hAnsi="Calibri"/>
          <w:b/>
          <w:bCs/>
          <w:sz w:val="22"/>
          <w:szCs w:val="22"/>
        </w:rPr>
        <w:t xml:space="preserve">Postgres advisory locks for cross-instance concurrency. </w:t>
      </w:r>
      <w:r>
        <w:rPr>
          <w:rFonts w:ascii="Calibri" w:cs="Calibri" w:eastAsia="Calibri" w:hAnsi="Calibri"/>
          <w:sz w:val="22"/>
          <w:szCs w:val="22"/>
        </w:rPr>
        <w:t xml:space="preserve">Token refresh (Xero), per-milestone invoice push (Xero), per-deal import and the global sync claim (Pipedrive) all serialize through pg advisory locks, because an autoscale deployment can run several server instances at once.</w:t>
      </w:r>
    </w:p>
    <w:p>
      <w:pPr>
        <w:pStyle w:val="ListParagraph"/>
        <w:numPr>
          <w:ilvl w:val="0"/>
          <w:numId w:val="1"/>
        </w:numPr>
        <w:spacing w:after="60"/>
      </w:pPr>
      <w:r>
        <w:rPr>
          <w:rFonts w:ascii="Calibri" w:cs="Calibri" w:eastAsia="Calibri" w:hAnsi="Calibri"/>
          <w:b/>
          <w:bCs/>
          <w:sz w:val="22"/>
          <w:szCs w:val="22"/>
        </w:rPr>
        <w:t xml:space="preserve">Reserve-then-call for external writes. </w:t>
      </w:r>
      <w:r>
        <w:rPr>
          <w:rFonts w:ascii="Calibri" w:cs="Calibri" w:eastAsia="Calibri" w:hAnsi="Calibri"/>
          <w:sz w:val="22"/>
          <w:szCs w:val="22"/>
        </w:rPr>
        <w:t xml:space="preserve">Anything that must stay consistent locally (e.g. invoice numbers) is committed to the database before the external API call, so failures are retryable without gaps or duplicates.</w:t>
      </w:r>
    </w:p>
    <w:p>
      <w:pPr>
        <w:pStyle w:val="ListParagraph"/>
        <w:numPr>
          <w:ilvl w:val="0"/>
          <w:numId w:val="1"/>
        </w:numPr>
        <w:spacing w:after="60"/>
      </w:pPr>
      <w:r>
        <w:rPr>
          <w:rFonts w:ascii="Calibri" w:cs="Calibri" w:eastAsia="Calibri" w:hAnsi="Calibri"/>
          <w:b/>
          <w:bCs/>
          <w:sz w:val="22"/>
          <w:szCs w:val="22"/>
        </w:rPr>
        <w:t xml:space="preserve">Long jobs are claimed, not awaited. </w:t>
      </w:r>
      <w:r>
        <w:rPr>
          <w:rFonts w:ascii="Calibri" w:cs="Calibri" w:eastAsia="Calibri" w:hAnsi="Calibri"/>
          <w:sz w:val="22"/>
          <w:szCs w:val="22"/>
        </w:rPr>
        <w:t xml:space="preserve">Work that can exceed the request timeout returns 202 with a status endpoint to poll.</w:t>
      </w:r>
    </w:p>
    <w:p>
      <w:pPr>
        <w:pStyle w:val="ListParagraph"/>
        <w:numPr>
          <w:ilvl w:val="0"/>
          <w:numId w:val="1"/>
        </w:numPr>
        <w:spacing w:after="60"/>
      </w:pPr>
      <w:r>
        <w:rPr>
          <w:rFonts w:ascii="Calibri" w:cs="Calibri" w:eastAsia="Calibri" w:hAnsi="Calibri"/>
          <w:b/>
          <w:bCs/>
          <w:sz w:val="22"/>
          <w:szCs w:val="22"/>
        </w:rPr>
        <w:t xml:space="preserve">Careful logging. </w:t>
      </w:r>
      <w:r>
        <w:rPr>
          <w:rFonts w:ascii="Calibri" w:cs="Calibri" w:eastAsia="Calibri" w:hAnsi="Calibri"/>
          <w:sz w:val="22"/>
          <w:szCs w:val="22"/>
        </w:rPr>
        <w:t xml:space="preserve">Provider response bodies are never logged (they may echo tokens or commercial figures); critical call paths such as the Xero token fetch are additionally bounded with explicit timeouts.</w:t>
      </w:r>
    </w:p>
    <w:p>
      <w:pPr>
        <w:pStyle w:val="ListParagraph"/>
        <w:numPr>
          <w:ilvl w:val="0"/>
          <w:numId w:val="1"/>
        </w:numPr>
        <w:spacing w:after="60"/>
      </w:pPr>
      <w:r>
        <w:rPr>
          <w:rFonts w:ascii="Calibri" w:cs="Calibri" w:eastAsia="Calibri" w:hAnsi="Calibri"/>
          <w:b/>
          <w:bCs/>
          <w:sz w:val="22"/>
          <w:szCs w:val="22"/>
        </w:rPr>
        <w:t xml:space="preserve">Contract-first API. </w:t>
      </w:r>
      <w:r>
        <w:rPr>
          <w:rFonts w:ascii="Calibri" w:cs="Calibri" w:eastAsia="Calibri" w:hAnsi="Calibri"/>
          <w:sz w:val="22"/>
          <w:szCs w:val="22"/>
        </w:rPr>
        <w:t xml:space="preserve">New endpoints are declared in lib/api-spec (OpenAPI) and clients regenerate hooks/schemas with: pnpm --filter @workspace/api-spec run codegen.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260"/>
      </w:pPr>
    </w:lvl>
  </w:abstractNum>
  <w:abstractNum w:abstractNumId="3" w15:restartNumberingAfterBreak="0">
    <w:multiLevelType w:val="hybridMultilevel"/>
    <w:lvl w:ilvl="0" w15:tentative="1">
      <w:start w:val="1"/>
      <w:numFmt w:val="decimal"/>
      <w:lvlText w:val="%1."/>
      <w:lvlJc w:val="start"/>
      <w:pPr>
        <w:ind w:left="360" w:hanging="260"/>
      </w:pPr>
    </w:lvl>
  </w:abstractNum>
  <w:abstractNum w:abstractNumId="4" w15:restartNumberingAfterBreak="0">
    <w:multiLevelType w:val="hybridMultilevel"/>
    <w:lvl w:ilvl="0" w15:tentative="1">
      <w:start w:val="1"/>
      <w:numFmt w:val="decimal"/>
      <w:lvlText w:val="%1."/>
      <w:lvlJc w:val="start"/>
      <w:pPr>
        <w:ind w:left="360" w:hanging="260"/>
      </w:pPr>
    </w:lvl>
  </w:abstractNum>
  <w:abstractNum w:abstractNumId="5" w15:restartNumberingAfterBreak="0">
    <w:multiLevelType w:val="hybridMultilevel"/>
    <w:lvl w:ilvl="0" w15:tentative="1">
      <w:start w:val="1"/>
      <w:numFmt w:val="decimal"/>
      <w:lvlText w:val="%1."/>
      <w:lvlJc w:val="start"/>
      <w:pPr>
        <w:ind w:left="360" w:hanging="260"/>
      </w:pPr>
    </w:lvl>
  </w:abstractNum>
  <w:abstractNum w:abstractNumId="6" w15:restartNumberingAfterBreak="0">
    <w:multiLevelType w:val="hybridMultilevel"/>
    <w:lvl w:ilvl="0" w15:tentative="1">
      <w:start w:val="1"/>
      <w:numFmt w:val="decimal"/>
      <w:lvlText w:val="%1."/>
      <w:lvlJc w:val="star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SecureProfit Hub — Integrations Technical Guide</dc:title>
  <dc:creator>SecureProfit Hub</dc:creator>
  <cp:lastModifiedBy>Un-named</cp:lastModifiedBy>
  <cp:revision>1</cp:revision>
  <dcterms:created xsi:type="dcterms:W3CDTF">2026-07-23T10:41:44.597Z</dcterms:created>
  <dcterms:modified xsi:type="dcterms:W3CDTF">2026-07-23T10:41:44.597Z</dcterms:modified>
</cp:coreProperties>
</file>

<file path=docProps/custom.xml><?xml version="1.0" encoding="utf-8"?>
<Properties xmlns="http://schemas.openxmlformats.org/officeDocument/2006/custom-properties" xmlns:vt="http://schemas.openxmlformats.org/officeDocument/2006/docPropsVTypes"/>
</file>