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4"/>
          <w:szCs w:val="34"/>
        </w:rPr>
        <w:t xml:space="preserve">TECHNICAL APPROVAL REVIEW</w:t>
      </w:r>
    </w:p>
    <w:p>
      <w:pPr>
        <w:spacing w:after="260" w:line="300"/>
        <w:jc w:val="center"/>
      </w:pPr>
      <w:r>
        <w:rPr>
          <w:rFonts w:ascii="Aptos" w:cs="Aptos" w:eastAsia="Aptos" w:hAnsi="Aptos"/>
          <w:b/>
          <w:bCs/>
          <w:color w:val="1F2937"/>
          <w:sz w:val="27"/>
          <w:szCs w:val="27"/>
        </w:rPr>
        <w:t xml:space="preserve">SecureProfit Hub — 12 FSD Decision Baseline v1.00</w:t>
      </w:r>
    </w:p>
    <w:p>
      <w:pPr>
        <w:spacing w:after="130" w:line="300"/>
      </w:pPr>
      <w:r>
        <w:rPr>
          <w:rFonts w:ascii="Aptos" w:cs="Aptos" w:eastAsia="Aptos" w:hAnsi="Aptos"/>
          <w:b/>
          <w:bCs/>
          <w:color w:val="17365D"/>
          <w:sz w:val="22"/>
          <w:szCs w:val="22"/>
        </w:rPr>
        <w:t xml:space="preserve">Subject: Final Technical Validation of the Decision and Target-Design Baseline</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b/>
          <w:bCs/>
          <w:color w:val="166534"/>
          <w:sz w:val="25"/>
          <w:szCs w:val="25"/>
        </w:rPr>
        <w:t xml:space="preserve">TECHNICAL VERDICT: APPROVED</w:t>
      </w:r>
    </w:p>
    <w:p>
      <w:pPr>
        <w:spacing w:after="130" w:line="300"/>
      </w:pPr>
      <w:r>
        <w:rPr>
          <w:rFonts w:ascii="Aptos" w:cs="Aptos" w:eastAsia="Aptos" w:hAnsi="Aptos"/>
          <w:b/>
          <w:bCs/>
          <w:color w:val="166534"/>
          <w:sz w:val="24"/>
          <w:szCs w:val="24"/>
        </w:rPr>
        <w:t xml:space="preserve">BASELINE STATUS: APPROVED DECISION BASELINE v1.00</w:t>
      </w:r>
    </w:p>
    <w:p>
      <w:pPr>
        <w:spacing w:after="130" w:line="300"/>
      </w:pPr>
      <w:r>
        <w:rPr>
          <w:rFonts w:ascii="Aptos" w:cs="Aptos" w:eastAsia="Aptos" w:hAnsi="Aptos"/>
          <w:color w:val="1F2937"/>
          <w:sz w:val="22"/>
          <w:szCs w:val="22"/>
        </w:rPr>
        <w:t xml:space="preserve">Seluruh isi teknis tetap konsisten dengan hasil review v0.11 dan ketiga koreksi terakhir telah dipertahankan. Tidak ditemukan blocker teknis yang menghalangi penggunaan dokumen sebagai baseline keputusan dan target design untuk implementation gating.</w:t>
      </w:r>
    </w:p>
    <w:p>
      <w:pPr>
        <w:pStyle w:val="Heading1"/>
        <w:spacing w:after="100" w:before="240"/>
      </w:pPr>
      <w:r>
        <w:rPr>
          <w:rFonts w:ascii="Aptos Display" w:cs="Aptos Display" w:eastAsia="Aptos Display" w:hAnsi="Aptos Display"/>
          <w:b/>
          <w:bCs/>
          <w:color w:val="17365D"/>
        </w:rPr>
        <w:t xml:space="preserve">Technical Review Result</w:t>
      </w:r>
    </w:p>
    <w:p>
      <w:pPr>
        <w:spacing w:after="130" w:line="300"/>
      </w:pPr>
      <w:r>
        <w:rPr>
          <w:rFonts w:ascii="Aptos" w:cs="Aptos" w:eastAsia="Aptos" w:hAnsi="Aptos"/>
          <w:color w:val="1F2937"/>
          <w:sz w:val="22"/>
          <w:szCs w:val="22"/>
        </w:rPr>
        <w:t xml:space="preserve">Tidak ditemukan regresi arsitektur. Area berikut telah divalidasi dan dinyatakan konsisten:</w:t>
      </w:r>
    </w:p>
    <w:p>
      <w:pPr>
        <w:pStyle w:val="ListParagraph"/>
        <w:numPr>
          <w:ilvl w:val="0"/>
          <w:numId w:val="1"/>
        </w:numPr>
        <w:spacing w:after="65" w:line="280"/>
      </w:pPr>
      <w:r>
        <w:t xml:space="preserve">Inactive-sector lifecycle dan diff-based validation.</w:t>
      </w:r>
    </w:p>
    <w:p>
      <w:pPr>
        <w:pStyle w:val="ListParagraph"/>
        <w:numPr>
          <w:ilvl w:val="0"/>
          <w:numId w:val="1"/>
        </w:numPr>
        <w:spacing w:after="65" w:line="280"/>
      </w:pPr>
      <w:r>
        <w:t xml:space="preserve">Exactly-one primary-sector invariant melalui database dan application lifecycle.</w:t>
      </w:r>
    </w:p>
    <w:p>
      <w:pPr>
        <w:pStyle w:val="ListParagraph"/>
        <w:numPr>
          <w:ilvl w:val="0"/>
          <w:numId w:val="1"/>
        </w:numPr>
        <w:spacing w:after="65" w:line="280"/>
      </w:pPr>
      <w:r>
        <w:t xml:space="preserve">Same-transaction Lead numbering dan realistic gap policy.</w:t>
      </w:r>
    </w:p>
    <w:p>
      <w:pPr>
        <w:pStyle w:val="ListParagraph"/>
        <w:numPr>
          <w:ilvl w:val="0"/>
          <w:numId w:val="1"/>
        </w:numPr>
        <w:spacing w:after="65" w:line="280"/>
      </w:pPr>
      <w:r>
        <w:t xml:space="preserve">Current source schema versus proposed target extension.</w:t>
      </w:r>
    </w:p>
    <w:p>
      <w:pPr>
        <w:pStyle w:val="ListParagraph"/>
        <w:numPr>
          <w:ilvl w:val="0"/>
          <w:numId w:val="1"/>
        </w:numPr>
        <w:spacing w:after="65" w:line="280"/>
      </w:pPr>
      <w:r>
        <w:t xml:space="preserve">DEMO-11 advisory locking, discriminated union, dan idempotent retry ordering.</w:t>
      </w:r>
    </w:p>
    <w:p>
      <w:pPr>
        <w:pStyle w:val="ListParagraph"/>
        <w:numPr>
          <w:ilvl w:val="0"/>
          <w:numId w:val="1"/>
        </w:numPr>
        <w:spacing w:after="65" w:line="280"/>
      </w:pPr>
      <w:r>
        <w:t xml:space="preserve">Decimal serialization dan legacy baseline migration criteria.</w:t>
      </w:r>
    </w:p>
    <w:p>
      <w:pPr>
        <w:pStyle w:val="ListParagraph"/>
        <w:numPr>
          <w:ilvl w:val="0"/>
          <w:numId w:val="1"/>
        </w:numPr>
        <w:spacing w:after="65" w:line="280"/>
      </w:pPr>
      <w:r>
        <w:t xml:space="preserve">FSD traceability matrix serta pemisahan decision, design, implementation, dan test status.</w:t>
      </w:r>
    </w:p>
    <w:p>
      <w:pPr>
        <w:pStyle w:val="ListParagraph"/>
        <w:numPr>
          <w:ilvl w:val="0"/>
          <w:numId w:val="1"/>
        </w:numPr>
        <w:spacing w:after="65" w:line="280"/>
      </w:pPr>
      <w:r>
        <w:t xml:space="preserve">DEMO-12 Phase 1 implemented/tested versus Phase 2 target design.</w:t>
      </w:r>
    </w:p>
    <w:p>
      <w:pPr>
        <w:pStyle w:val="Heading1"/>
        <w:spacing w:after="100" w:before="240"/>
      </w:pPr>
      <w:r>
        <w:rPr>
          <w:rFonts w:ascii="Aptos Display" w:cs="Aptos Display" w:eastAsia="Aptos Display" w:hAnsi="Aptos Display"/>
          <w:b/>
          <w:bCs/>
          <w:color w:val="17365D"/>
        </w:rPr>
        <w:t xml:space="preserve">Validated Technical Principles</w:t>
      </w:r>
    </w:p>
    <w:p>
      <w:pPr>
        <w:pStyle w:val="ListParagraph"/>
        <w:numPr>
          <w:ilvl w:val="0"/>
          <w:numId w:val="1"/>
        </w:numPr>
        <w:spacing w:after="65" w:line="280"/>
      </w:pPr>
      <w:r>
        <w:t xml:space="preserve">Normalized IndustrySector, LeadSector, dan ClientSector models digunakan untuk klasifikasi multi-sector.</w:t>
      </w:r>
    </w:p>
    <w:p>
      <w:pPr>
        <w:pStyle w:val="ListParagraph"/>
        <w:numPr>
          <w:ilvl w:val="0"/>
          <w:numId w:val="1"/>
        </w:numPr>
        <w:spacing w:after="65" w:line="280"/>
      </w:pPr>
      <w:r>
        <w:t xml:space="preserve">Lead sector assignment diperlakukan sebagai point-in-time snapshot dan dapat berbeda dari Client defaults.</w:t>
      </w:r>
    </w:p>
    <w:p>
      <w:pPr>
        <w:pStyle w:val="ListParagraph"/>
        <w:numPr>
          <w:ilvl w:val="0"/>
          <w:numId w:val="1"/>
        </w:numPr>
        <w:spacing w:after="65" w:line="280"/>
      </w:pPr>
      <w:r>
        <w:t xml:space="preserve">Lead identifier LEAD-{YYYY}-{NNNN} dialokasikan bersama Lead.create dalam satu transaksi.</w:t>
      </w:r>
    </w:p>
    <w:p>
      <w:pPr>
        <w:pStyle w:val="ListParagraph"/>
        <w:numPr>
          <w:ilvl w:val="0"/>
          <w:numId w:val="1"/>
        </w:numPr>
        <w:spacing w:after="65" w:line="280"/>
      </w:pPr>
      <w:r>
        <w:t xml:space="preserve">Existing ProjectBaseline diperluas secara non-destructive; model tersebut tidak diganti atau dihapus.</w:t>
      </w:r>
    </w:p>
    <w:p>
      <w:pPr>
        <w:pStyle w:val="ListParagraph"/>
        <w:numPr>
          <w:ilvl w:val="0"/>
          <w:numId w:val="1"/>
        </w:numPr>
        <w:spacing w:after="65" w:line="280"/>
      </w:pPr>
      <w:r>
        <w:t xml:space="preserve">Exactly-one current baseline menggunakan database enforcement untuk at-most-one dan lifecycle validation untuk at-least-one.</w:t>
      </w:r>
    </w:p>
    <w:p>
      <w:pPr>
        <w:pStyle w:val="ListParagraph"/>
        <w:numPr>
          <w:ilvl w:val="0"/>
          <w:numId w:val="1"/>
        </w:numPr>
        <w:spacing w:after="65" w:line="280"/>
      </w:pPr>
      <w:r>
        <w:t xml:space="preserve">Project.clientId dikunci setelah project dibuat, sementara Client.name tetap dapat dikoreksi.</w:t>
      </w:r>
    </w:p>
    <w:p>
      <w:pPr>
        <w:pStyle w:val="ListParagraph"/>
        <w:numPr>
          <w:ilvl w:val="0"/>
          <w:numId w:val="1"/>
        </w:numPr>
        <w:spacing w:after="65" w:line="280"/>
      </w:pPr>
      <w:r>
        <w:t xml:space="preserve">Implementation dan test evidence tetap dilacak terpisah dan tidak disimpulkan otomatis dari approval dokumen.</w:t>
      </w:r>
    </w:p>
    <w:p>
      <w:pPr>
        <w:pStyle w:val="Heading1"/>
        <w:spacing w:after="100" w:before="240"/>
      </w:pPr>
      <w:r>
        <w:rPr>
          <w:rFonts w:ascii="Aptos Display" w:cs="Aptos Display" w:eastAsia="Aptos Display" w:hAnsi="Aptos Display"/>
          <w:b/>
          <w:bCs/>
          <w:color w:val="17365D"/>
        </w:rPr>
        <w:t xml:space="preserve">Final Status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Review Area</w:t>
            </w:r>
          </w:p>
        </w:tc>
        <w:tc>
          <w:tcPr>
            <w:shd w:fill="17365D" w:val="clear"/>
            <w:tcMar>
              <w:top w:type="dxa" w:w="90"/>
              <w:left w:type="dxa" w:w="100"/>
              <w:bottom w:type="dxa" w:w="90"/>
              <w:right w:type="dxa" w:w="100"/>
            </w:tcMar>
          </w:tcPr>
          <w:p>
            <w:r>
              <w:rPr>
                <w:rFonts w:ascii="Aptos" w:cs="Aptos" w:eastAsia="Aptos" w:hAnsi="Aptos"/>
                <w:b/>
                <w:bCs/>
                <w:color w:val="FFFFFF"/>
                <w:sz w:val="18"/>
                <w:szCs w:val="18"/>
              </w:rPr>
              <w:t xml:space="preserve">Assessment</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Technical architecture</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Business-rule consistency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Code reference examples</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FSD traceability</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Decision/design/implementation/test separation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Source-versus-target distinction</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Baseline promotion to v1.00</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Approved</w:t>
            </w:r>
          </w:p>
        </w:tc>
      </w:tr>
      <w:tr>
        <w:tc>
          <w:tcPr>
            <w:tcMar>
              <w:top w:type="dxa" w:w="90"/>
              <w:left w:type="dxa" w:w="100"/>
              <w:bottom w:type="dxa" w:w="90"/>
              <w:right w:type="dxa" w:w="100"/>
            </w:tcMar>
          </w:tcPr>
          <w:p>
            <w:r>
              <w:rPr>
                <w:rFonts w:ascii="Aptos" w:cs="Aptos" w:eastAsia="Aptos" w:hAnsi="Aptos"/>
                <w:b w:val="false"/>
                <w:bCs w:val="false"/>
                <w:color w:val="1F2937"/>
                <w:sz w:val="18"/>
                <w:szCs w:val="18"/>
              </w:rPr>
              <w:t xml:space="preserve">Additional architecture review</w:t>
            </w:r>
          </w:p>
        </w:tc>
        <w:tc>
          <w:tcPr>
            <w:tcMar>
              <w:top w:type="dxa" w:w="90"/>
              <w:left w:type="dxa" w:w="100"/>
              <w:bottom w:type="dxa" w:w="90"/>
              <w:right w:type="dxa" w:w="100"/>
            </w:tcMar>
          </w:tcPr>
          <w:p>
            <w:r>
              <w:rPr>
                <w:rFonts w:ascii="Aptos" w:cs="Aptos" w:eastAsia="Aptos" w:hAnsi="Aptos"/>
                <w:b w:val="false"/>
                <w:bCs w:val="false"/>
                <w:color w:val="1F2937"/>
                <w:sz w:val="18"/>
                <w:szCs w:val="18"/>
              </w:rPr>
              <w:t xml:space="preserve">Not required</w:t>
            </w:r>
          </w:p>
        </w:tc>
      </w:tr>
    </w:tbl>
    <w:p>
      <w:pPr>
        <w:pStyle w:val="Heading1"/>
        <w:spacing w:after="100" w:before="240"/>
      </w:pPr>
      <w:r>
        <w:rPr>
          <w:rFonts w:ascii="Aptos Display" w:cs="Aptos Display" w:eastAsia="Aptos Display" w:hAnsi="Aptos Display"/>
          <w:b/>
          <w:bCs/>
          <w:color w:val="17365D"/>
        </w:rPr>
        <w:t xml:space="preserve">Final Decision</w:t>
      </w:r>
    </w:p>
    <w:p>
      <w:pPr>
        <w:spacing w:after="130" w:line="300"/>
      </w:pPr>
      <w:r>
        <w:rPr>
          <w:rFonts w:ascii="Aptos" w:cs="Aptos" w:eastAsia="Aptos" w:hAnsi="Aptos"/>
          <w:b/>
          <w:bCs/>
          <w:color w:val="166534"/>
          <w:sz w:val="24"/>
          <w:szCs w:val="24"/>
        </w:rPr>
        <w:t xml:space="preserve">TECHNICALLY APPROVED — APPROVED DECISION BASELINE v1.00</w:t>
      </w:r>
    </w:p>
    <w:p>
      <w:pPr>
        <w:spacing w:after="130" w:line="300"/>
      </w:pPr>
      <w:r>
        <w:rPr>
          <w:rFonts w:ascii="Aptos" w:cs="Aptos" w:eastAsia="Aptos" w:hAnsi="Aptos"/>
          <w:b/>
          <w:bCs/>
          <w:color w:val="17365D"/>
          <w:sz w:val="22"/>
          <w:szCs w:val="22"/>
        </w:rPr>
        <w:t xml:space="preserve">Dokumen dapat digunakan sebagai baseline keputusan dan target design untuk implementation gating. Implementation completion serta test validation tetap menjadi delivery gates yang dilacak secara terpisah. Tidak diperlukan revisi arsitektur tambahan.</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 Approved Decision Baseline v1.00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v1.00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v1.00 Technical Approval Review</dc:title>
  <dc:subject>Final technical validation of the decision and target-design baseline</dc:subject>
  <dc:creator>SecureProfit Hub Review</dc:creator>
  <cp:lastModifiedBy>Un-named</cp:lastModifiedBy>
  <cp:revision>1</cp:revision>
  <dcterms:created xsi:type="dcterms:W3CDTF">2026-09-02T04:13:02.715Z</dcterms:created>
  <dcterms:modified xsi:type="dcterms:W3CDTF">2026-09-02T04:13:02.716Z</dcterms:modified>
</cp:coreProperties>
</file>

<file path=docProps/custom.xml><?xml version="1.0" encoding="utf-8"?>
<Properties xmlns="http://schemas.openxmlformats.org/officeDocument/2006/custom-properties" xmlns:vt="http://schemas.openxmlformats.org/officeDocument/2006/docPropsVTypes"/>
</file>