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1B1B"/>
          <w:sz w:val="22"/>
        </w:rPr>
        <w:t>SECUREPROFIT HUB</w:t>
      </w:r>
    </w:p>
    <w:p>
      <w:pPr>
        <w:jc w:val="center"/>
      </w:pPr>
      <w:r>
        <w:rPr>
          <w:b/>
          <w:color w:val="242E3E"/>
          <w:sz w:val="50"/>
        </w:rPr>
        <w:t>14 DEMO — Dokumen Detail</w:t>
        <w:br/>
        <w:t>Perubahan yang Diminta</w:t>
      </w:r>
    </w:p>
    <w:p>
      <w:pPr>
        <w:jc w:val="center"/>
      </w:pPr>
      <w:r>
        <w:rPr>
          <w:color w:val="5A5A5A"/>
          <w:sz w:val="25"/>
        </w:rPr>
        <w:t>Requirement, Keputusan, Acceptance Criteria, Dampak Teknis, dan Status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Produk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8"/>
              </w:rPr>
              <w:t>SecureProfit Hub</w:t>
            </w:r>
          </w:p>
        </w:tc>
      </w:tr>
      <w:t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Cakupan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8"/>
              </w:rPr>
              <w:t>DEMO-01 sampai DEMO-14</w:t>
            </w:r>
          </w:p>
        </w:tc>
      </w:tr>
      <w:t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Jenis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8"/>
              </w:rPr>
              <w:t>Konsolidasi Perubahan Fungsional dan Teknis</w:t>
            </w:r>
          </w:p>
        </w:tc>
      </w:tr>
      <w:t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8"/>
              </w:rPr>
              <w:t>Bahasa Indonesia</w:t>
            </w:r>
          </w:p>
        </w:tc>
      </w:tr>
      <w:t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8"/>
              </w:rPr>
              <w:t>3 September 2026</w:t>
            </w:r>
          </w:p>
        </w:tc>
      </w:tr>
    </w:tbl>
    <w:p/>
    <w:p>
      <w:pPr>
        <w:jc w:val="center"/>
      </w:pPr>
      <w:r>
        <w:rPr>
          <w:b/>
          <w:color w:val="991B1B"/>
          <w:sz w:val="20"/>
        </w:rPr>
        <w:t>TECHNICAL CONSOLIDATION BASELINE</w:t>
      </w:r>
    </w:p>
    <w:p>
      <w:r>
        <w:br w:type="page"/>
      </w:r>
    </w:p>
    <w:p>
      <w:pPr>
        <w:pStyle w:val="Heading1"/>
      </w:pPr>
      <w:r>
        <w:t>Tujuan dan Prinsip Dokumen</w:t>
      </w:r>
    </w:p>
    <w:p>
      <w:r>
        <w:t>Dokumen ini mengonsolidasikan perubahan yang diminta untuk 14 skenario DEMO SecureProfit Hub. Setiap bagian membedakan dengan jelas requirement dan keputusan desain dari bukti implementasi serta hasil pengujian.</w:t>
      </w:r>
    </w:p>
    <w:p>
      <w:pPr>
        <w:pStyle w:val="ListBullet"/>
      </w:pPr>
      <w:r>
        <w:t>Status keputusan tidak dianggap sebagai bukti bahwa source code telah diimplementasikan.</w:t>
      </w:r>
    </w:p>
    <w:p>
      <w:pPr>
        <w:pStyle w:val="ListBullet"/>
      </w:pPr>
      <w:r>
        <w:t>Status implementasi tidak dianggap lulus sampai didukung oleh perubahan source code dan database yang terverifikasi.</w:t>
      </w:r>
    </w:p>
    <w:p>
      <w:pPr>
        <w:pStyle w:val="ListBullet"/>
      </w:pPr>
      <w:r>
        <w:t>Status pengujian hanya dinyatakan lulus apabila terdapat hasil test yang eksplisit.</w:t>
      </w:r>
    </w:p>
    <w:p>
      <w:pPr>
        <w:pStyle w:val="ListBullet"/>
      </w:pPr>
      <w:r>
        <w:t>DEMO-12 menggunakan keputusan final: Project.clientId dikunci; Client.name tetap dapat diedit.</w:t>
      </w:r>
    </w:p>
    <w:p>
      <w:pPr>
        <w:pStyle w:val="ListBullet"/>
      </w:pPr>
      <w:r>
        <w:t>DEMO-13 dan DEMO-14 dicatat sebagai baseline rekomendasi/klarifikasi teknis dan bukan bukti implementasi.</w:t>
      </w:r>
    </w:p>
    <w:p>
      <w:pPr>
        <w:pStyle w:val="ListBullet"/>
      </w:pPr>
      <w:r>
        <w:t>Dokumen tidak memuat pembahasan ratifikasi atau persetujuan stakeholder dan tidak memuat strategi implementasi tiga fase.</w:t>
      </w:r>
    </w:p>
    <w:p>
      <w:pPr>
        <w:pStyle w:val="Heading1"/>
      </w:pPr>
      <w:r>
        <w:t>Ringkasan 14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303E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303E"/>
          </w:tcPr>
          <w:p>
            <w:r/>
            <w:r>
              <w:rPr>
                <w:b/>
                <w:color w:val="FFFFFF"/>
                <w:sz w:val="15"/>
              </w:rPr>
              <w:t>Topik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303E"/>
          </w:tcPr>
          <w:p>
            <w:r/>
            <w:r>
              <w:rPr>
                <w:b/>
                <w:color w:val="FFFFFF"/>
                <w:sz w:val="15"/>
              </w:rPr>
              <w:t>Perubahan Utama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303E"/>
          </w:tcPr>
          <w:p>
            <w:r/>
            <w:r>
              <w:rPr>
                <w:b/>
                <w:color w:val="FFFFFF"/>
                <w:sz w:val="15"/>
              </w:rPr>
              <w:t>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303E"/>
          </w:tcPr>
          <w:p>
            <w:r/>
            <w:r>
              <w:rPr>
                <w:b/>
                <w:color w:val="FFFFFF"/>
                <w:sz w:val="15"/>
              </w:rPr>
              <w:t>Implementasi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303E"/>
          </w:tcPr>
          <w:p>
            <w:r/>
            <w:r>
              <w:rPr>
                <w:b/>
                <w:color w:val="FFFFFF"/>
                <w:sz w:val="15"/>
              </w:rPr>
              <w:t>Pengujian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DEMO-01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Multi-Industry Selector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Multi-sector Lead + tepat satu primary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DEMO-02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Products &amp; Services Details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Offering dan commercial line terstruktur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DEMO-03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Company Contacts Dropdown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Kontak berbasis perusahaan dan intake dinamis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DEMO-04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BU Intake Routing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Routing Business Unit dan Workstream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DEMO-05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Lead Types &amp; Lineage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Renewal/Upsell/Cross-sell dan lineage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DEMO-06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Lead ID Preview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Preview ID read-only tanpa konsumsi sequence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DEMO-07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Pipedrive Margin Evaluation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Evaluasi margin Deal inbound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DEMO-08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Stage Probability Defaults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Default probability berdasarkan stage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DEMO-09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Presales Project &amp; Cost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Spawning presales project dan cost capture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DEMO-10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/>
                <w:sz w:val="14"/>
              </w:rPr>
              <w:t>Proposal Margin Gate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Budget proposal dan Finance margin gate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DEMO-11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/>
                <w:sz w:val="14"/>
              </w:rPr>
              <w:t>Approved Margin Baseline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Auto-sync approved margin ke baseline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Baseline keputusan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terbukti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/>
            <w:r>
              <w:rPr>
                <w:b w:val="0"/>
                <w:sz w:val="14"/>
              </w:rPr>
              <w:t>Belum lulus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ECFDF3"/>
          </w:tcPr>
          <w:p>
            <w:r/>
            <w:r>
              <w:rPr>
                <w:b/>
                <w:sz w:val="14"/>
              </w:rPr>
              <w:t>DEMO-12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ECFDF3"/>
          </w:tcPr>
          <w:p>
            <w:r/>
            <w:r>
              <w:rPr>
                <w:b/>
                <w:sz w:val="14"/>
              </w:rPr>
              <w:t>Client Attribution Lock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ECFDF3"/>
          </w:tcPr>
          <w:p>
            <w:r/>
            <w:r>
              <w:rPr>
                <w:b w:val="0"/>
                <w:sz w:val="14"/>
              </w:rPr>
              <w:t>Kunci Project.clientId setelah creation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ECFDF3"/>
          </w:tcPr>
          <w:p>
            <w:r/>
            <w:r>
              <w:rPr>
                <w:b w:val="0"/>
                <w:sz w:val="14"/>
              </w:rPr>
              <w:t>Disetujui teknis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ECFDF3"/>
          </w:tcPr>
          <w:p>
            <w:r/>
            <w:r>
              <w:rPr>
                <w:b w:val="0"/>
                <w:sz w:val="14"/>
              </w:rPr>
              <w:t>Phase 1 selesai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ECFDF3"/>
          </w:tcPr>
          <w:p>
            <w:r/>
            <w:r>
              <w:rPr>
                <w:b w:val="0"/>
                <w:sz w:val="14"/>
              </w:rPr>
              <w:t>Phase 1 teruji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E6"/>
          </w:tcPr>
          <w:p>
            <w:r/>
            <w:r>
              <w:rPr>
                <w:b/>
                <w:sz w:val="14"/>
              </w:rPr>
              <w:t>DEMO-13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E6"/>
          </w:tcPr>
          <w:p>
            <w:r/>
            <w:r>
              <w:rPr>
                <w:b/>
                <w:sz w:val="14"/>
              </w:rPr>
              <w:t>RevRec Dual Timeline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E6"/>
          </w:tcPr>
          <w:p>
            <w:r/>
            <w:r>
              <w:rPr>
                <w:b w:val="0"/>
                <w:sz w:val="14"/>
              </w:rPr>
              <w:t>Pisahkan billing dan revenue recognition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E6"/>
          </w:tcPr>
          <w:p>
            <w:r/>
            <w:r>
              <w:rPr>
                <w:b w:val="0"/>
                <w:sz w:val="14"/>
              </w:rPr>
              <w:t>Direkomendasikan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E6"/>
          </w:tcPr>
          <w:p>
            <w:r/>
            <w:r>
              <w:rPr>
                <w:b w:val="0"/>
                <w:sz w:val="14"/>
              </w:rPr>
              <w:t>Belum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E6"/>
          </w:tcPr>
          <w:p>
            <w:r/>
            <w:r>
              <w:rPr>
                <w:b w:val="0"/>
                <w:sz w:val="14"/>
              </w:rPr>
              <w:t>Belum</w:t>
            </w:r>
          </w:p>
        </w:tc>
      </w:tr>
      <w:tr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FFF7E6"/>
          </w:tcPr>
          <w:p>
            <w:r/>
            <w:r>
              <w:rPr>
                <w:b/>
                <w:sz w:val="14"/>
              </w:rPr>
              <w:t>DEMO-14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FFF7E6"/>
          </w:tcPr>
          <w:p>
            <w:r/>
            <w:r>
              <w:rPr>
                <w:b/>
                <w:sz w:val="14"/>
              </w:rPr>
              <w:t>Activation Integrity Gate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FFF7E6"/>
          </w:tcPr>
          <w:p>
            <w:r/>
            <w:r>
              <w:rPr>
                <w:b w:val="0"/>
                <w:sz w:val="14"/>
              </w:rPr>
              <w:t>Konsolidasi shared activation evaluator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FFF7E6"/>
          </w:tcPr>
          <w:p>
            <w:r/>
            <w:r>
              <w:rPr>
                <w:b w:val="0"/>
                <w:sz w:val="14"/>
              </w:rPr>
              <w:t>Direkomendasikan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FFF7E6"/>
          </w:tcPr>
          <w:p>
            <w:r/>
            <w:r>
              <w:rPr>
                <w:b w:val="0"/>
                <w:sz w:val="14"/>
              </w:rPr>
              <w:t>Belum</w:t>
            </w:r>
          </w:p>
        </w:tc>
        <w:tc>
          <w:tcPr>
            <w:tcW w:type="dxa" w:w="16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7F8"/>
            <w:shd w:fill="FFF7E6"/>
          </w:tcPr>
          <w:p>
            <w:r/>
            <w:r>
              <w:rPr>
                <w:b w:val="0"/>
                <w:sz w:val="14"/>
              </w:rPr>
              <w:t>Belum</w:t>
            </w:r>
          </w:p>
        </w:tc>
      </w:tr>
    </w:tbl>
    <w:p>
      <w:r>
        <w:br w:type="page"/>
      </w:r>
    </w:p>
    <w:p>
      <w:pPr>
        <w:pStyle w:val="Title"/>
      </w:pPr>
      <w:r>
        <w:t>Detail Perubahan per DEMO</w:t>
      </w:r>
    </w:p>
    <w:p>
      <w:pPr>
        <w:pStyle w:val="Heading1"/>
      </w:pPr>
      <w:r>
        <w:t>DEMO-01 — Multi-Choice Industry Sector Selector at Lead Creation</w:t>
      </w:r>
    </w:p>
    <w:p>
      <w:r>
        <w:rPr>
          <w:b/>
        </w:rPr>
        <w:t xml:space="preserve">Sumber: </w:t>
      </w:r>
      <w:r>
        <w:t>10-03_Explore-05_WRICEF_Functional_Specification_FSD-DELTA-DEMO-01_Multi_Industry_Selector_v0.03.md (baris 6–18, 22–26).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Lead enterprise yang mencakup beberapa industri tidak dapat dikategorikan akurat bila hanya ada satu industry dropdown; diperlukan segmentasi, analitik, dan staffing yang mendukung multi-sektor (22–25).</w:t>
      </w:r>
    </w:p>
    <w:p>
      <w:pPr>
        <w:pStyle w:val="ListBullet"/>
        <w:spacing w:after="80"/>
      </w:pPr>
      <w:r>
        <w:rPr>
          <w:b/>
        </w:rPr>
        <w:t xml:space="preserve">Perubahan diminta &amp; keputusan diklarifikasi: </w:t>
      </w:r>
      <w:r>
        <w:t>Ganti pemilihan industri menjadi searchable multi-select chip, dengan tepat satu sektor utama. Katalog hanya dikelola role SITE_ADMIN dan MANAGEMENT; go-live memakai daftar flat tetapi model menyimpan parentSectorId. Ganti bobot persentase dengan join LeadSector dan isPrimary; tegakkan satu primary melalui indeks PostgreSQL parsial one_primary_sector_per_lead. Terapkan soft-delete IndustrySector.isActive; pertahankan link historis; pada PUT /api/leads/:id, hitung diff requestedIds \ existingIds dan tolak penambahan sektor inactive; simpan teks “Other” di LeadSector.otherDetail (44–46, 65–70).</w:t>
      </w:r>
    </w:p>
    <w:p>
      <w:pPr>
        <w:pStyle w:val="ListBullet"/>
        <w:spacing w:after="80"/>
      </w:pPr>
      <w:r>
        <w:rPr>
          <w:b/>
        </w:rPr>
        <w:t xml:space="preserve">Kriteria penerimaan: </w:t>
      </w:r>
      <w:r>
        <w:t>TC-DEMO-01-01 Banking + Telecom menghasilkan join records dengan satu primary; TC-DEMO-01-02 tanpa primary memblokir submit dan menampilkan error; TC-DEMO-01-03 penambahan inactive saat update mengembalikan HTTP 400 Bad Request; TC-DEMO-01-04 “Other” + “Aerospace R&amp;D” tersimpan di otherDetail (108–115).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UI di web/src/pages/Leads.tsx, multi-select chip + radio/toggle primary, minimum satu sektor, input kondisional “Other” (25, 65–70). Data: IndustrySector (code, parentSectorId, isActive) dan LeadSector (leadId, sectorId, isPrimary, otherDetail, unique [leadId, sectorId]); indeks parsial one_primary_sector_per_lead (71–104). API: POST /api/leads, PUT /api/leads/:id, validasi diff dan exactly-one-primary (50–59, 99–104).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Bergantung pada PostgreSQL/Prisma, katalog IndustrySector, dan relasi LeadSector; risiko yang ditangani adalah truncation/misklasifikasi multi-sektor, penambahan sektor inactive, serta lebih dari satu primary (33–38, 44–46).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Approved untuk Decision 1.1, 1.2, 1.3; dokumen berstatus Draft (Decision Baseline Synchronized) (16, 42–46).</w:t>
      </w:r>
    </w:p>
    <w:p>
      <w:pPr>
        <w:pStyle w:val="ListBullet"/>
        <w:spacing w:after="80"/>
      </w:pPr>
      <w:r>
        <w:rPr>
          <w:b/>
        </w:rPr>
        <w:t xml:space="preserve">Status implementasi: </w:t>
      </w:r>
      <w:r>
        <w:t>Belum dinyatakan selesai; FSD hanya target/arsitektur dan contoh model, tanpa bukti implementasi (50–104).</w:t>
      </w:r>
    </w:p>
    <w:p>
      <w:pPr>
        <w:pStyle w:val="ListBullet"/>
        <w:spacing w:after="80"/>
      </w:pPr>
      <w:r>
        <w:rPr>
          <w:b/>
        </w:rPr>
        <w:t xml:space="preserve">Status pengujian: </w:t>
      </w:r>
      <w:r>
        <w:t>Belum lulus/tereksekusi; seluruh kolom Pass/Fail [] (108–115).</w:t>
      </w:r>
    </w:p>
    <w:p>
      <w:r>
        <w:br w:type="page"/>
      </w:r>
    </w:p>
    <w:p>
      <w:pPr>
        <w:pStyle w:val="Heading1"/>
      </w:pPr>
      <w:r>
        <w:t>DEMO-02 — Structured Products &amp; Services Details Specification</w:t>
      </w:r>
    </w:p>
    <w:p>
      <w:r>
        <w:rPr>
          <w:b/>
        </w:rPr>
        <w:t xml:space="preserve">Sumber: </w:t>
      </w:r>
      <w:r>
        <w:t>10-03_Explore-05_WRICEF_Functional_Specification_FSD-DELTA-DEMO-02_Products_Services_Details_v0.03.md (6–18, 22–25).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Scope komersial berbentuk free-text sehingga deliverable ambigu dan resource allocation sulit saat handover; Sales AE/Solution Architect perlu memilih offering terstruktur dan menyimpan snapshot harga unit (22–25).</w:t>
      </w:r>
    </w:p>
    <w:p>
      <w:pPr>
        <w:pStyle w:val="ListBullet"/>
        <w:spacing w:after="80"/>
      </w:pPr>
      <w:r>
        <w:rPr>
          <w:b/>
        </w:rPr>
        <w:t xml:space="preserve">Perubahan diminta &amp; keputusan diklarifikasi: </w:t>
      </w:r>
      <w:r>
        <w:t>Buat child line item LeadOffering yang merujuk OfferingCatalog; snapshot harga dan deskripsi pada pembuatan melalui unitPriceAtSnapshot, sehingga perubahan katalog tidak mengubah riwayat; dukung custom item dengan isCustom: true. Saat lead dikonversi menjadi active delivery project, spawn ProjectWorkstream dan pre-populate WBS task templates dari approved LeadOffering (43–44).</w:t>
      </w:r>
    </w:p>
    <w:p>
      <w:pPr>
        <w:pStyle w:val="ListBullet"/>
        <w:spacing w:after="80"/>
      </w:pPr>
      <w:r>
        <w:rPr>
          <w:b/>
        </w:rPr>
        <w:t xml:space="preserve">Kriteria penerimaan: </w:t>
      </w:r>
      <w:r>
        <w:t>TC-DEMO-02-01 harga katalog disalin ke unitPriceAtSnapshot; TC-DEMO-02-02 perubahan harga master tidak mengubah snapshot lama; TC-DEMO-02-03 konversi project membuat ProjectWorkstream yang sesuai active offerings (83–89).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UI/form Lead mengonfigurasi products/services (25). Data OfferingCatalog (code, name, category, basePrice, isActive) dan LeadOffering (offeringCatalogId, customName, unitPriceAtSnapshot, quantity, isCustom) (48–79). Dampak proses konversi: ProjectWorkstream dan task-template WBS (29–37, 50–54); endpoint tidak dispesifikasikan dalam FSD.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Bergantung pada master OfferingCatalog, approved line items, dan mekanisme konversi lead ke delivery project/WBS; risiko utama scope ambigu dan retroactive catalog-price changes (29–37, 43–44).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Approved Decision 2.1 dan 2.2; dokumen Draft (Decision Baseline Synchronized) (16, 41–44).</w:t>
      </w:r>
    </w:p>
    <w:p>
      <w:pPr>
        <w:pStyle w:val="ListBullet"/>
        <w:spacing w:after="80"/>
      </w:pPr>
      <w:r>
        <w:rPr>
          <w:b/>
        </w:rPr>
        <w:t xml:space="preserve">Status implementasi: </w:t>
      </w:r>
      <w:r>
        <w:t>Belum dinyatakan selesai; hanya target schema/alur, tanpa bukti implementasi.</w:t>
      </w:r>
    </w:p>
    <w:p>
      <w:pPr>
        <w:pStyle w:val="ListBullet"/>
        <w:spacing w:after="80"/>
      </w:pPr>
      <w:r>
        <w:rPr>
          <w:b/>
        </w:rPr>
        <w:t xml:space="preserve">Status pengujian: </w:t>
      </w:r>
      <w:r>
        <w:t>Belum lulus/tereksekusi; semua Pass/Fail [] (83–89).</w:t>
      </w:r>
    </w:p>
    <w:p>
      <w:r>
        <w:br w:type="page"/>
      </w:r>
    </w:p>
    <w:p>
      <w:pPr>
        <w:pStyle w:val="Heading1"/>
      </w:pPr>
      <w:r>
        <w:t>DEMO-03 — Company-Originated Contact Dynamic Dropdown &amp; Intake</w:t>
      </w:r>
    </w:p>
    <w:p>
      <w:r>
        <w:rPr>
          <w:b/>
        </w:rPr>
        <w:t xml:space="preserve">Sumber: </w:t>
      </w:r>
      <w:r>
        <w:t>10-03_Explore-05_WRICEF_Functional_Specification_FSD-DELTA-DEMO-03_Company_Contacts_Dropdown_v0.03.md (6–18, 22–25).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Pemilihan company harus memfilter ClientContact terkait agar tidak terjadi cross-company mismatch, sambil menyimpan snapshot untuk audit (22–25).</w:t>
      </w:r>
    </w:p>
    <w:p>
      <w:pPr>
        <w:pStyle w:val="ListBullet"/>
        <w:spacing w:after="80"/>
      </w:pPr>
      <w:r>
        <w:rPr>
          <w:b/>
        </w:rPr>
        <w:t xml:space="preserve">Perubahan diminta &amp; keputusan diklarifikasi: </w:t>
      </w:r>
      <w:r>
        <w:t>Bind contact lead secara dinamis ke company terpilih melalui ClientContact; pada pembuatan Lead simpan contactNameSnapshot, contactEmailSnapshot, contactPhoneSnapshot; pertahankan fallback scalar untuk inbound external yang tidak terstruktur (42–45).</w:t>
      </w:r>
    </w:p>
    <w:p>
      <w:pPr>
        <w:pStyle w:val="ListBullet"/>
        <w:spacing w:after="80"/>
      </w:pPr>
      <w:r>
        <w:rPr>
          <w:b/>
        </w:rPr>
        <w:t xml:space="preserve">Kriteria penerimaan: </w:t>
      </w:r>
      <w:r>
        <w:t>TC-DEMO-03-01 dropdown hanya menampilkan kontak dengan clientId terpilih; TC-DEMO-03-02 detail terpilih disalin ke kolom contact*Snapshot; TC-DEMO-03-03 perubahan master ClientContact tidak mengubah snapshot Lead lama (70–76).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Saat Client berubah, UI Lead form memanggil GET /api/clients/:id/contacts (35–37). Model Lead memiliki optional clientId/clientContactId, relasi Client/ClientContact, tiga snapshot, serta fallback contactPerson, contactEmail, contactPhone (48–65).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Bergantung pada relasi Client–ClientContact dan endpoint kontak; risiko cross-company association dan perubahan master yang merusak histori ditangani dengan filtering/snapshot (29–39).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Approved Decision 3.1; dokumen Draft (Decision Baseline Synchronized) (16, 42–45).</w:t>
      </w:r>
    </w:p>
    <w:p>
      <w:pPr>
        <w:pStyle w:val="ListBullet"/>
        <w:spacing w:after="80"/>
      </w:pPr>
      <w:r>
        <w:rPr>
          <w:b/>
        </w:rPr>
        <w:t xml:space="preserve">Status implementasi: </w:t>
      </w:r>
      <w:r>
        <w:t>Belum dinyatakan selesai; FSD hanya target contract/behavior.</w:t>
      </w:r>
    </w:p>
    <w:p>
      <w:pPr>
        <w:pStyle w:val="ListBullet"/>
        <w:spacing w:after="80"/>
      </w:pPr>
      <w:r>
        <w:rPr>
          <w:b/>
        </w:rPr>
        <w:t xml:space="preserve">Status pengujian: </w:t>
      </w:r>
      <w:r>
        <w:t>Belum lulus/tereksekusi; Pass/Fail seluruhnya [] (70–76).</w:t>
      </w:r>
    </w:p>
    <w:p>
      <w:r>
        <w:br w:type="page"/>
      </w:r>
    </w:p>
    <w:p>
      <w:pPr>
        <w:pStyle w:val="Heading1"/>
      </w:pPr>
      <w:r>
        <w:t>DEMO-04 — Business Unit &amp; Workstream Intake Routing</w:t>
      </w:r>
    </w:p>
    <w:p>
      <w:r>
        <w:rPr>
          <w:b/>
        </w:rPr>
        <w:t xml:space="preserve">Sumber: </w:t>
      </w:r>
      <w:r>
        <w:t>10-03_Explore-05_WRICEF_Functional_Specification_FSD-DELTA-DEMO-04_Business_Unit_Intake_Routing_v0.03.md (6–18, 22–25).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Opportunity harus dirutekan ke Practice Principal/Business Unit Lead yang tepat untuk presales staffing dan review, serta mendukung BU sekunder pada engagement multi-practice (22–25).</w:t>
      </w:r>
    </w:p>
    <w:p>
      <w:pPr>
        <w:pStyle w:val="ListBullet"/>
        <w:spacing w:after="80"/>
      </w:pPr>
      <w:r>
        <w:rPr>
          <w:b/>
        </w:rPr>
        <w:t xml:space="preserve">Perubahan diminta &amp; keputusan diklarifikasi: </w:t>
      </w:r>
      <w:r>
        <w:t>Tetapkan tepat satu Primary BU pada Lead.businessUnitId untuk revenue attribution; simpan satu atau lebih Supporting BU melalui LeadSupportingBusinessUnit; kirim notifikasi ke Practice Principal Primary BU; bila tidak ada principal, fallback otomatis ke MANAGEMENT (41–43).</w:t>
      </w:r>
    </w:p>
    <w:p>
      <w:pPr>
        <w:pStyle w:val="ListBullet"/>
        <w:spacing w:after="80"/>
      </w:pPr>
      <w:r>
        <w:rPr>
          <w:b/>
        </w:rPr>
        <w:t xml:space="preserve">Kriteria penerimaan: </w:t>
      </w:r>
      <w:r>
        <w:t>TC-DEMO-04-01 Primary BU mengirim notifikasi ke principal; TC-DEMO-04-02 Supporting BU membuat junction records dan secondary leads menerima info copy; TC-DEMO-04-03 principal kosong mengalihkan notifikasi ke MANAGEMENT distribution list (64–70).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Model junction LeadSupportingBusinessUnit dengan leadId, businessUnitId, remarks, cascade delete, unique [leadId, businessUnitId] (47–60). Lead intake harus memilih Primary dan Supporting BUs; routing notification otomatis (22–24, 34–38). Endpoint tidak dispesifikasikan.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Bergantung pada master BusinessUnit, assignment Practice Principal, notifikasi/distribution list MANAGEMENT; risiko salah revenue attribution atau routing ditangani dengan single primary dan fallback (34–38, 43).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Approved Decision 4.1; dokumen Draft (Decision Baseline Synchronized) (16, 41–43).</w:t>
      </w:r>
    </w:p>
    <w:p>
      <w:pPr>
        <w:pStyle w:val="ListBullet"/>
        <w:spacing w:after="80"/>
      </w:pPr>
      <w:r>
        <w:rPr>
          <w:b/>
        </w:rPr>
        <w:t xml:space="preserve">Status implementasi: </w:t>
      </w:r>
      <w:r>
        <w:t>Belum dinyatakan selesai; hanya target routing/model.</w:t>
      </w:r>
    </w:p>
    <w:p>
      <w:pPr>
        <w:pStyle w:val="ListBullet"/>
        <w:spacing w:after="80"/>
      </w:pPr>
      <w:r>
        <w:rPr>
          <w:b/>
        </w:rPr>
        <w:t xml:space="preserve">Status pengujian: </w:t>
      </w:r>
      <w:r>
        <w:t>Belum lulus/tereksekusi; semua Pass/Fail [] (64–70).</w:t>
      </w:r>
    </w:p>
    <w:p>
      <w:r>
        <w:br w:type="page"/>
      </w:r>
    </w:p>
    <w:p>
      <w:pPr>
        <w:pStyle w:val="Heading1"/>
      </w:pPr>
      <w:r>
        <w:t>DEMO-05 — Lead Types (Renewal, Up-Sell, Cross-Sell) &amp; Deal Lineage</w:t>
      </w:r>
    </w:p>
    <w:p>
      <w:r>
        <w:rPr>
          <w:b/>
        </w:rPr>
        <w:t xml:space="preserve">Sumber: </w:t>
      </w:r>
      <w:r>
        <w:t>10-03_Explore-05_WRICEF_Functional_Specification_FSD-DELTA-DEMO-05_Lead_Types_Deal_Lineage_v0.03.md (6–18, 22–25).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Untuk NRR, renewal, dan expansion revenue, Lead harus diklasifikasikan NEW_LOGO, RENEWAL, UP_SELL, CROSS_SELL, atau MAINTENANCE dan ditautkan ke delivery project historis (22–24).</w:t>
      </w:r>
    </w:p>
    <w:p>
      <w:pPr>
        <w:pStyle w:val="ListBullet"/>
        <w:spacing w:after="80"/>
      </w:pPr>
      <w:r>
        <w:rPr>
          <w:b/>
        </w:rPr>
        <w:t xml:space="preserve">Perubahan diminta &amp; keputusan diklarifikasi: </w:t>
      </w:r>
      <w:r>
        <w:t>Tambahkan taxonomy LeadType; untuk RENEWAL, UP_SELL, CROSS_SELL, parent hanya boleh existing approved Project, bukan un-won/cancelled Lead; hitung NRR dengan formula cohort ARR: NRR = (Ending ARR + Expansion - Contraction - Churn) / Starting ARR * 100% (41–43).</w:t>
      </w:r>
    </w:p>
    <w:p>
      <w:pPr>
        <w:pStyle w:val="ListBullet"/>
        <w:spacing w:after="80"/>
      </w:pPr>
      <w:r>
        <w:rPr>
          <w:b/>
        </w:rPr>
        <w:t xml:space="preserve">Kriteria penerimaan: </w:t>
      </w:r>
      <w:r>
        <w:t>TC-DEMO-05-01 Renewal mewajibkan valid parentProjectId dan menampilkan project badge; TC-DEMO-05-02 selector parent hanya menampilkan approved Project; TC-DEMO-05-03 agregasi cohort menghitung expansion terhadap starting ARR (68–74).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Enum LeadType dan field optional Lead.parentProjectId dengan relasi ProjectLineage (47–64); UI selector/badge parent project dan validasi tipe; laporan/analytics NRR. Endpoint tidak disebutkan.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Bergantung pada approved Project entities dan data ARR; risiko lineage ke lead invalid serta NRR tidak akurat ditangani dengan project-only anchor dan formula eksplisit (28–37, 41–43).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Approved Decision 5.1; dokumen Draft (Decision Baseline Synchronized) (16, 41–43).</w:t>
      </w:r>
    </w:p>
    <w:p>
      <w:pPr>
        <w:pStyle w:val="ListBullet"/>
        <w:spacing w:after="80"/>
      </w:pPr>
      <w:r>
        <w:rPr>
          <w:b/>
        </w:rPr>
        <w:t xml:space="preserve">Status implementasi: </w:t>
      </w:r>
      <w:r>
        <w:t>Belum dinyatakan selesai; FSD hanya target taxonomy/model/analytics.</w:t>
      </w:r>
    </w:p>
    <w:p>
      <w:pPr>
        <w:pStyle w:val="ListBullet"/>
        <w:spacing w:after="80"/>
      </w:pPr>
      <w:r>
        <w:rPr>
          <w:b/>
        </w:rPr>
        <w:t xml:space="preserve">Status pengujian: </w:t>
      </w:r>
      <w:r>
        <w:t>Belum lulus/tereksekusi; seluruh Pass/Fail [] (68–74).</w:t>
      </w:r>
    </w:p>
    <w:p>
      <w:r>
        <w:br w:type="page"/>
      </w:r>
    </w:p>
    <w:p>
      <w:pPr>
        <w:pStyle w:val="Heading1"/>
      </w:pPr>
      <w:r>
        <w:t>DEMO-06 — Read-Only Sequential Lead ID Preview Form Badge</w:t>
      </w:r>
    </w:p>
    <w:p>
      <w:r>
        <w:rPr>
          <w:b/>
        </w:rPr>
        <w:t xml:space="preserve">Sumber: </w:t>
      </w:r>
      <w:r>
        <w:t>10-03_Explore-05_WRICEF_Functional_Specification_FSD-DELTA-DEMO-06_Lead_ID_Preview_Badge_v0.03.md (6–18, 22–25).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Sales membutuhkan visibilitas segera atas identifier opportunity berformat LEAD/YYYY/NNN, dengan thread safety dan tanpa collision saat concurrency tinggi (22–25).</w:t>
      </w:r>
    </w:p>
    <w:p>
      <w:pPr>
        <w:pStyle w:val="ListBullet"/>
        <w:spacing w:after="80"/>
      </w:pPr>
      <w:r>
        <w:rPr>
          <w:b/>
        </w:rPr>
        <w:t xml:space="preserve">Perubahan diminta &amp; keputusan diklarifikasi: </w:t>
      </w:r>
      <w:r>
        <w:t>Tampilkan read-only prospective Lead ID badge; alokasikan ID atomik dalam transaksi database yang sama dengan tx.lead.create, memakai allocateNextLeadNumber(tx) dan SELECT ... FOR UPDATE; reset tahunan pada tengah malam WIB (UTC+7); gunakan uniqueness-first gap reconciliation (41–44).</w:t>
      </w:r>
    </w:p>
    <w:p>
      <w:pPr>
        <w:pStyle w:val="ListBullet"/>
        <w:spacing w:after="80"/>
      </w:pPr>
      <w:r>
        <w:rPr>
          <w:b/>
        </w:rPr>
        <w:t xml:space="preserve">Kriteria penerimaan: </w:t>
      </w:r>
      <w:r>
        <w:t>TC-DEMO-06-01 menghasilkan LEAD/2026/001, 002, dst.; TC-DEMO-06-02 concurrent submit menghasilkan nomor berbeda tanpa duplikasi; TC-DEMO-06-03 rollover 1 Januari 00:00:00 WIB kembali /001 (64–70).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UI form menampilkan badge read-only. Backend/DB memakai Prisma.TransactionClient, sequenceCounter, upsert key LEAD_${year}, row locking SELECT ... FOR UPDATE, dan format LEAD/${year}/${seq}; alokasi harus berada dalam transaksi tx.lead.create (28–37, 47–59). Endpoint tidak dispesifikasikan.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Bergantung pada transaksi Prisma, PostgreSQL row lock, timezone WIB, dan unique lead identifier; risiko race condition, duplicate ID, dan rollover salah ditangani oleh same-tx locking/reconciliation (29–37, 41–44).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Approved Decision 6.1; dokumen Draft (Decision Baseline Synchronized) (16, 41–44).</w:t>
      </w:r>
    </w:p>
    <w:p>
      <w:pPr>
        <w:pStyle w:val="ListBullet"/>
        <w:spacing w:after="80"/>
      </w:pPr>
      <w:r>
        <w:rPr>
          <w:b/>
        </w:rPr>
        <w:t xml:space="preserve">Status implementasi: </w:t>
      </w:r>
      <w:r>
        <w:t>Belum dinyatakan selesai; yang tersedia hanya contoh implementasi/logika target.</w:t>
      </w:r>
    </w:p>
    <w:p>
      <w:pPr>
        <w:pStyle w:val="ListBullet"/>
        <w:spacing w:after="80"/>
      </w:pPr>
      <w:r>
        <w:rPr>
          <w:b/>
        </w:rPr>
        <w:t xml:space="preserve">Status pengujian: </w:t>
      </w:r>
      <w:r>
        <w:t>Belum lulus/tereksekusi; semua Pass/Fail [] (64–70).</w:t>
      </w:r>
    </w:p>
    <w:p>
      <w:r>
        <w:br w:type="page"/>
      </w:r>
    </w:p>
    <w:p>
      <w:pPr>
        <w:pStyle w:val="Heading1"/>
      </w:pPr>
      <w:r>
        <w:t>DEMO-07 — Pipedrive Inbound Deal Margin Health Evaluator</w:t>
      </w:r>
    </w:p>
    <w:p>
      <w:r>
        <w:rPr>
          <w:b/>
        </w:rPr>
        <w:t xml:space="preserve">Sumber: </w:t>
      </w:r>
      <w:r>
        <w:t>10-03_Explore-05_WRICEF_Functional_Specification_FSD-DELTA-DEMO-07_Pipedrive_Margin_Evaluation_v0.03.md (6–18, 22–25).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Sinkronisasi deal inbound Pipedrive harus mengevaluasi gross-margin health dan memetakan product item eksternal secara akurat; deal dengan margin &lt; 25% harus dikarantina (22–25).</w:t>
      </w:r>
    </w:p>
    <w:p>
      <w:pPr>
        <w:pStyle w:val="ListBullet"/>
        <w:spacing w:after="80"/>
      </w:pPr>
      <w:r>
        <w:rPr>
          <w:b/>
        </w:rPr>
        <w:t xml:space="preserve">Perubahan diminta &amp; keputusan diklarifikasi: </w:t>
      </w:r>
      <w:r>
        <w:t>Ikat webhook ke konfigurasi otoritatif connectionKey = "DEFAULT"; map product CRM ke offering internal melalui PipedriveProductMapping dengan composite uniqueness [connectionKey, pipedriveProductId]; deal dengan mapping hilang atau gross margin &lt; 25% masuk quarantined review queue dan memberi notifikasi Commercial Ops (41–44).</w:t>
      </w:r>
    </w:p>
    <w:p>
      <w:pPr>
        <w:pStyle w:val="ListBullet"/>
        <w:spacing w:after="80"/>
      </w:pPr>
      <w:r>
        <w:rPr>
          <w:b/>
        </w:rPr>
        <w:t xml:space="preserve">Kriteria penerimaan: </w:t>
      </w:r>
      <w:r>
        <w:t>TC-DEMO-07-01 margin &gt;= 25% tersinkron ke active Leads pipeline; TC-DEMO-07-02 margin &lt; 25% ditandai, dikarantina, dan alert dikirim; TC-DEMO-07-03 product unmapped membuat quarantine entry yang meminta mapping (64–70).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Interface webhook inbound Pipedrive dan evaluasi margin; data PipedriveProductMapping (connectionKey default DEFAULT, pipedriveProductId, offeringCatalogId, unique composite [connectionKey, pipedriveProductId]) (47–60). Dampak UI/proses berupa active Leads pipeline, quarantine review queue, dan alert; endpoint webhook spesifik tidak dinamai.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Bergantung pada konfigurasi DEFAULT, katalog OfferingCatalog, mapping product, webhook Pipedrive, serta quarantine/alert workflow; risiko low-margin deal atau produk tak dikenal masuk pipeline aktif ditangani dengan threshold dan karantina (28–38, 41–44).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Approved Decision 7.1; dokumen Draft (Decision Baseline Synchronized) (16, 41–44).</w:t>
      </w:r>
    </w:p>
    <w:p>
      <w:pPr>
        <w:pStyle w:val="ListBullet"/>
        <w:spacing w:after="80"/>
      </w:pPr>
      <w:r>
        <w:rPr>
          <w:b/>
        </w:rPr>
        <w:t xml:space="preserve">Status implementasi: </w:t>
      </w:r>
      <w:r>
        <w:t>Belum dinyatakan selesai; FSD hanya target interface/model/alur.</w:t>
      </w:r>
    </w:p>
    <w:p>
      <w:pPr>
        <w:pStyle w:val="ListBullet"/>
        <w:spacing w:after="80"/>
      </w:pPr>
      <w:r>
        <w:rPr>
          <w:b/>
        </w:rPr>
        <w:t xml:space="preserve">Status pengujian: </w:t>
      </w:r>
      <w:r>
        <w:t>Belum lulus/tereksekusi; seluruh Pass/Fail [] (64–70).</w:t>
      </w:r>
    </w:p>
    <w:p>
      <w:r>
        <w:br w:type="page"/>
      </w:r>
    </w:p>
    <w:p>
      <w:pPr>
        <w:pStyle w:val="Heading1"/>
      </w:pPr>
      <w:r>
        <w:t>DEMO-08 — Stage-Based Default Probability % Automation</w:t>
      </w:r>
    </w:p>
    <w:p>
      <w:pPr>
        <w:pStyle w:val="ListBullet"/>
        <w:spacing w:after="80"/>
      </w:pPr>
      <w:r>
        <w:rPr>
          <w:b/>
        </w:rPr>
        <w:t xml:space="preserve">Judul/ID: </w:t>
      </w:r>
      <w:r>
        <w:t>Stage-Based Default Probability % Automation; SPH-FSD-E-DEMO-08 (Enhancement), Commercial Pipeline &amp; Forecasting, Sprint 2 (2 SP).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Forecast pipeline membutuhkan probabilitas kemenangan standar per tahap dan alasan yang diaudit ketika sales melakukan override.</w:t>
      </w:r>
    </w:p>
    <w:p>
      <w:pPr>
        <w:pStyle w:val="ListBullet"/>
        <w:spacing w:after="80"/>
      </w:pPr>
      <w:r>
        <w:rPr>
          <w:b/>
        </w:rPr>
        <w:t xml:space="preserve">Perubahan &amp; keputusan: </w:t>
      </w:r>
      <w:r>
        <w:t>Kunci 6 tahap canonical dan default: DISCOVERY 10%, QUALIFIED 30%, PROPOSAL 60%, NEGOTIATION 80%, WON 100%, LOST 0%. Transisi tahap otomatis menyinkronkan probability. Sales yang berwenang boleh override hanya dengan probabilityOverrideReason wajib dan tersimpan sebagai audit.</w:t>
      </w:r>
    </w:p>
    <w:p>
      <w:pPr>
        <w:pStyle w:val="ListBullet"/>
        <w:spacing w:after="80"/>
      </w:pPr>
      <w:r>
        <w:rPr>
          <w:b/>
        </w:rPr>
        <w:t xml:space="preserve">Acceptance criteria: </w:t>
      </w:r>
      <w:r>
        <w:t>TC-DEMO-08-01 advance ke PROPOSAL menghasilkan 60%; TC-DEMO-08-02 override beralasan tersimpan beserta probabilityOverrideReason; TC-DEMO-08-03 override tanpa alasan ditolak validasi.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Update stage-transition probability dan validasi audit override; persist field probabilityOverrideReason; UI kemungkinan menampilkan default/override dan field alasan wajib. Weighted-pipeline calculation memakai nilai tersinkron.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Otorisasi sales, model Lead/stage dan pipeline forecasting; risiko override tanpa audit atau stage mapping tidak konsisten.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Baseline keputusan 8.1 [APPROVED]; dokumen Draft (Decision Baseline Synchronized).</w:t>
      </w:r>
    </w:p>
    <w:p>
      <w:pPr>
        <w:pStyle w:val="ListBullet"/>
        <w:spacing w:after="80"/>
      </w:pPr>
      <w:r>
        <w:rPr>
          <w:b/>
        </w:rPr>
        <w:t xml:space="preserve">Status implementasi/test: </w:t>
      </w:r>
      <w:r>
        <w:t>Tidak dinyatakan implemented; seluruh test pada FSD masih [ ].</w:t>
      </w:r>
    </w:p>
    <w:p>
      <w:r>
        <w:br w:type="page"/>
      </w:r>
    </w:p>
    <w:p>
      <w:pPr>
        <w:pStyle w:val="Heading1"/>
      </w:pPr>
      <w:r>
        <w:t>DEMO-09 — Presales Project Auto-Spawning &amp; Cost of Sale Capture</w:t>
      </w:r>
    </w:p>
    <w:p>
      <w:pPr>
        <w:pStyle w:val="ListBullet"/>
        <w:spacing w:after="80"/>
      </w:pPr>
      <w:r>
        <w:rPr>
          <w:b/>
        </w:rPr>
        <w:t xml:space="preserve">Judul/ID: </w:t>
      </w:r>
      <w:r>
        <w:t>Presales Project Auto-Spawning &amp; Cost of Sale Capture; SPH-FSD-W-DEMO-09 (Workflow), Presales Operations &amp; Cost Accounting, Sprint 1 (8 SP).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Jam konsultan dan perjalanan selama presales harus masuk Customer Acquisition Cost (CAC), tetapi tidak boleh mencemari biaya billable delivery/EVM.</w:t>
      </w:r>
    </w:p>
    <w:p>
      <w:pPr>
        <w:pStyle w:val="ListBullet"/>
        <w:spacing w:after="80"/>
      </w:pPr>
      <w:r>
        <w:rPr>
          <w:b/>
        </w:rPr>
        <w:t xml:space="preserve">Perubahan &amp; keputusan: </w:t>
      </w:r>
      <w:r>
        <w:t>Toggle UI opt-in pada tahap QUALIFIED; bila aktif, spawn Project berstatus OBSERVATION dengan WBS standar Scoping, Proposal Drafting, Pitch. Timesheet/expense presales masuk CAC ledger dan hard-isolated dari delivery EVM (lib/evm.ts). Saat lead LOST, workspace menjadi CLOSED dan CAC diringkas.</w:t>
      </w:r>
    </w:p>
    <w:p>
      <w:pPr>
        <w:pStyle w:val="ListBullet"/>
        <w:spacing w:after="80"/>
      </w:pPr>
      <w:r>
        <w:rPr>
          <w:b/>
        </w:rPr>
        <w:t xml:space="preserve">Acceptance criteria: </w:t>
      </w:r>
      <w:r>
        <w:t>TC-DEMO-09-01 toggle di QUALIFIED membuat Project status = OBSERVATION + WBS; TC-DEMO-09-02 timesheet masuk CAC dan tidak masuk EVM actual cost (AC); TC-DEMO-09-03 LOST menutup workspace dan merangkum CAC.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Toggle dan lifecycle lead-to-project; status OBSERVATION/CLOSED; template WBS; routing ledger presales ke CAC dan pengecualian lib/evm.ts; UI toggle bersifat eksplisit.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Lead stage/status, Project/WBS, timesheet/expense, CAC ledger, EVM; risiko biaya bocor ke delivery atau spawn tanpa opt-in.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Baseline keputusan 9.1 [APPROVED]; dokumen draft tersinkron.</w:t>
      </w:r>
    </w:p>
    <w:p>
      <w:pPr>
        <w:pStyle w:val="ListBullet"/>
        <w:spacing w:after="80"/>
      </w:pPr>
      <w:r>
        <w:rPr>
          <w:b/>
        </w:rPr>
        <w:t xml:space="preserve">Status implementasi/test: </w:t>
      </w:r>
      <w:r>
        <w:t>Tidak dinyatakan implemented; TC-DEMO-09-01..03 belum ditandai lulus.</w:t>
      </w:r>
    </w:p>
    <w:p>
      <w:r>
        <w:br w:type="page"/>
      </w:r>
    </w:p>
    <w:p>
      <w:pPr>
        <w:pStyle w:val="Heading1"/>
      </w:pPr>
      <w:r>
        <w:t>DEMO-10 — Proposal Stage Budgeting &amp; Finance Margin Gate</w:t>
      </w:r>
    </w:p>
    <w:p>
      <w:pPr>
        <w:pStyle w:val="ListBullet"/>
        <w:spacing w:after="80"/>
      </w:pPr>
      <w:r>
        <w:rPr>
          <w:b/>
        </w:rPr>
        <w:t xml:space="preserve">Judul/ID: </w:t>
      </w:r>
      <w:r>
        <w:t>Proposal Stage Budgeting &amp; Finance Margin Gate; SPH-FSD-W-DEMO-10 (Workflow), Commercial Gating &amp; Margin Governance, Sprint 2 (5 SP).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Mencegah komitmen kontrak tidak menguntungkan melalui rincian biaya, gross margin berbasis snapshot VAT, dan approval Finance independen (SoD).</w:t>
      </w:r>
    </w:p>
    <w:p>
      <w:pPr>
        <w:pStyle w:val="ListBullet"/>
        <w:spacing w:after="80"/>
      </w:pPr>
      <w:r>
        <w:rPr>
          <w:b/>
        </w:rPr>
        <w:t xml:space="preserve">Perubahan &amp; keputusan: </w:t>
      </w:r>
      <w:r>
        <w:t>Simpan proposal berversi dalam CommercialBudgetRevision; hitung Gross Margin % = ((Contract Value excl. VAT - Baseline Cost) / Contract Value excl. VAT) × 100%; snapshot VAT aktif sebagai Decimal(5, 2) saat submit. Owner/commercial lead tidak boleh self-approve; wajib FINANCE_LEAD. Margin &lt; 20% wajib eskalasi dan co-approval MANAGEMENT.</w:t>
      </w:r>
    </w:p>
    <w:p>
      <w:pPr>
        <w:pStyle w:val="ListBullet"/>
        <w:spacing w:after="80"/>
      </w:pPr>
      <w:r>
        <w:rPr>
          <w:b/>
        </w:rPr>
        <w:t xml:space="preserve">Acceptance criteria: </w:t>
      </w:r>
      <w:r>
        <w:t>TC-DEMO-10-01 margin ≥ 25% diarahkan ke Finance dan dapat approved; TC-DEMO-10-02 self-approval diblokir HTTP 403 Forbidden; TC-DEMO-10-03 margin &lt; 20% menjadi ESCALATED dan mensyaratkan Finance + Management.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Model CommercialBudgetRevision dengan leadId, revisionNumber, estimatedValue, estimatedCost, grossMarginPct, vatRateSnapshot, status PENDING_APPROVAL|APPROVED|REJECTED|ESCALATED, submittedById, approvedById, managementCoApprId; UI budget breakdown, VAT snapshot, status/escalation; RBAC SoD dan approval state machine.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Lead/proposal conversion, konfigurasi VAT, Finance/Management RBAC; risiko pembulatan, VAT berubah setelah submit, dan bypass SoD.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Decisions 10.1a/10.1b [APPROVED]; dokumen draft tersinkron.</w:t>
      </w:r>
    </w:p>
    <w:p>
      <w:pPr>
        <w:pStyle w:val="ListBullet"/>
        <w:spacing w:after="80"/>
      </w:pPr>
      <w:r>
        <w:rPr>
          <w:b/>
        </w:rPr>
        <w:t xml:space="preserve">Status implementasi/test: </w:t>
      </w:r>
      <w:r>
        <w:t>Tidak dinyatakan implemented; ketiga test belum ditandai lulus.</w:t>
      </w:r>
    </w:p>
    <w:p>
      <w:r>
        <w:br w:type="page"/>
      </w:r>
    </w:p>
    <w:p>
      <w:pPr>
        <w:pStyle w:val="Heading1"/>
      </w:pPr>
      <w:r>
        <w:t>DEMO-11 — Approved Margin Project Baseline Auto-Sync Engine</w:t>
      </w:r>
    </w:p>
    <w:p>
      <w:pPr>
        <w:pStyle w:val="ListBullet"/>
        <w:spacing w:after="80"/>
      </w:pPr>
      <w:r>
        <w:rPr>
          <w:b/>
        </w:rPr>
        <w:t xml:space="preserve">Judul/ID: </w:t>
      </w:r>
      <w:r>
        <w:t>Approved Margin Project Baseline Auto-Sync Engine; SPH-FSD-E-DEMO-11 (Enhancement/Workflow), Delivery Financial Control &amp; Baseline Governance, Sprint 2 (5 SP).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Setelah proposal Finance-approved dikonversi menjadi Won, budget komersial harus otomatis menjadi baseline delivery ProjectBaseline dengan presisi decimal dan aman dari race condition.</w:t>
      </w:r>
    </w:p>
    <w:p>
      <w:pPr>
        <w:pStyle w:val="ListBullet"/>
        <w:spacing w:after="80"/>
      </w:pPr>
      <w:r>
        <w:rPr>
          <w:b/>
        </w:rPr>
        <w:t xml:space="preserve">Perubahan &amp; keputusan: </w:t>
      </w:r>
      <w:r>
        <w:t>Pisahkan lifecycle ACTIVATION (inisialisasi otomatis saat Won conversion) dan CHANGE_REQUEST (amandemen v1.01+). Gunakan Decimal(15, 2) untuk nilai uang, discriminated-union validation, idempotent retry ordering, serta PostgreSQL partial unique index one_current_baseline_per_project pada projectId dengan WHERE "isCurrent" = true.</w:t>
      </w:r>
    </w:p>
    <w:p>
      <w:pPr>
        <w:pStyle w:val="ListBullet"/>
        <w:spacing w:after="80"/>
      </w:pPr>
      <w:r>
        <w:rPr>
          <w:b/>
        </w:rPr>
        <w:t xml:space="preserve">Acceptance criteria: </w:t>
      </w:r>
      <w:r>
        <w:t>TC-DEMO-11-01 membuat baseline versionNumber = "v1.00", isCurrent = true; TC-DEMO-11-02 menonaktifkan baseline lama dan membuat v1.01 current; TC-DEMO-11-03 dua current baseline gagal unique constraint.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Model ProjectBaseline (projectId, versionNumber, contractValue, baselineCost, targetMargin, triggerType, isCurrent, approval fields), enum BaselineTriggerType { ACTIVATION, CHANGE_REQUEST }, index database; otomatisasi conversion/change request dan UI baseline/version state.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DEMO-10 approved budget, Won conversion, PostgreSQL transaction/index, EVM; risiko duplicate retry/race dan ketidakakuratan decimal.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Decision 11.1 [APPROVED]; dokumen draft tersinkron.</w:t>
      </w:r>
    </w:p>
    <w:p>
      <w:pPr>
        <w:pStyle w:val="ListBullet"/>
        <w:spacing w:after="80"/>
      </w:pPr>
      <w:r>
        <w:rPr>
          <w:b/>
        </w:rPr>
        <w:t xml:space="preserve">Status implementasi/test: </w:t>
      </w:r>
      <w:r>
        <w:t>Tidak dinyatakan implemented; TC-DEMO-11-01..03 belum ditandai lulus.</w:t>
      </w:r>
    </w:p>
    <w:p>
      <w:r>
        <w:br w:type="page"/>
      </w:r>
    </w:p>
    <w:p>
      <w:pPr>
        <w:pStyle w:val="Heading1"/>
      </w:pPr>
      <w:r>
        <w:t>DEMO-12 — Client Attribution Immutability Lock</w:t>
      </w:r>
    </w:p>
    <w:p>
      <w:pPr>
        <w:pStyle w:val="ListBullet"/>
        <w:spacing w:after="80"/>
      </w:pPr>
      <w:r>
        <w:rPr>
          <w:b/>
        </w:rPr>
        <w:t xml:space="preserve">Judul/ID: </w:t>
      </w:r>
      <w:r>
        <w:t>Client Name Immutability Lock Guard; SPH-FSD-E-DEMO-12 (Enhancement/Governance), PMO Governance &amp; Audit Compliance.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Untuk integritas invoice pajak, BAST, dan kontrak, atribusi klien pada delivery project harus dilindungi dari perubahan tidak sengaja.</w:t>
      </w:r>
    </w:p>
    <w:p>
      <w:pPr>
        <w:pStyle w:val="ListBullet"/>
        <w:spacing w:after="80"/>
      </w:pPr>
      <w:r>
        <w:rPr>
          <w:b/>
        </w:rPr>
        <w:t xml:space="preserve">Perubahan &amp; keputusan (koreksi terkonfirmasi): </w:t>
      </w:r>
      <w:r>
        <w:t>Yang dikunci adalah Project.clientId, bukan Client.name; Client.name tetap editable. Phase 1 hard lock setelah pembuatan: perubahan clientId melalui PUT /api/projects/:id mengembalikan HTTP 409 Conflict, code CLIENT_ATTRIBUTION_LOCKED. Phase 2 adalah target design: ClientAttributionCorrection dengan dual approval MANAGEMENT + FINANCE_LEAD, lalu reassignment dan audit event.</w:t>
      </w:r>
    </w:p>
    <w:p>
      <w:pPr>
        <w:pStyle w:val="ListBullet"/>
        <w:spacing w:after="80"/>
      </w:pPr>
      <w:r>
        <w:rPr>
          <w:b/>
        </w:rPr>
        <w:t xml:space="preserve">Acceptance criteria: </w:t>
      </w:r>
      <w:r>
        <w:t>TC-DEMO-12-01 update berbeda clientId ditolak 409 CLIENT_ATTRIBUTION_LOCKED; TC-DEMO-12-02 request Phase 2 membuat record PENDING_APPROVAL; TC-DEMO-12-03 dual approval mengeksekusi reassignment dan audit. Edit Client.name tidak diblokir oleh lock ini.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Backend guard pada Project.clientId, endpoint PUT /api/projects/:id, error contract 409; UI menonaktifkan field client attribution project, namun field Client.name tetap editable. Target Phase 2 model ClientAttributionCorrection (originalClientId, targetClientId, justification, status, approval IDs, executedAt).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Project/Client relations, audit, PMO/Finance RBAC; risiko salah mengunci nama client atau bypass endpoint.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Decision 12.1 [APPROVED]; Phase 1 implemented dan tested pada commit c7080af; Phase 2 target design.</w:t>
      </w:r>
    </w:p>
    <w:p>
      <w:pPr>
        <w:pStyle w:val="ListBullet"/>
        <w:spacing w:after="80"/>
      </w:pPr>
      <w:r>
        <w:rPr>
          <w:b/>
        </w:rPr>
        <w:t xml:space="preserve">Status implementasi/test: </w:t>
      </w:r>
      <w:r>
        <w:t>Phase 1 sudah dibangun dan diuji; Phase 2 belum diimplementasikan. FSD test matrix belum dicentang, tetapi koreksi baseline menyatakan Phase 1 verified.</w:t>
      </w:r>
    </w:p>
    <w:p>
      <w:r>
        <w:br w:type="page"/>
      </w:r>
    </w:p>
    <w:p>
      <w:pPr>
        <w:pStyle w:val="Heading1"/>
      </w:pPr>
      <w:r>
        <w:t>DEMO-13 — Revenue Recognition Dual-Timeline &amp; Finance Gate Engine</w:t>
      </w:r>
    </w:p>
    <w:p>
      <w:pPr>
        <w:pStyle w:val="ListBullet"/>
        <w:spacing w:after="80"/>
      </w:pPr>
      <w:r>
        <w:rPr>
          <w:b/>
        </w:rPr>
        <w:t xml:space="preserve">Judul/ID: </w:t>
      </w:r>
      <w:r>
        <w:t>Revenue Recognition Dual-Timeline &amp; Finance Gate Engine (PSAK 115 / IFRS 15); SPH-FSD-W-DEMO-13 (Workflow/Enhancement/Interface), Stream 5 — Milestone Billing &amp; Revenue Recognition.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Billing milestone/Terms of Payment dan revenue recognition accrual berjalan pada timeline berbeda; coupling legacy BillingMilestone menghambat pengakuan independen berdasarkan deliverable acceptance dan menimbulkan gap audit.</w:t>
      </w:r>
    </w:p>
    <w:p>
      <w:pPr>
        <w:pStyle w:val="ListBullet"/>
        <w:spacing w:after="80"/>
      </w:pPr>
      <w:r>
        <w:rPr>
          <w:b/>
        </w:rPr>
        <w:t xml:space="preserve">Perubahan &amp; keputusan (koreksi terkonfirmasi): </w:t>
      </w:r>
      <w:r>
        <w:t>Billing dan revenue recognition adalah dua timeline terpisah, bukan satu lifecycle; invoicing (DPP + PPN 11%) tidak bercampur dengan PSAK 115 accrual. Gunakan RevenueRecognitionSchedule; baseline dibuat dan dikunci Finance, evidence diajukan Project Manager, approval Finance. Role aktual FINANCE dan PROJECT_MANAGER (bukan label alternatif). Entry recognized immutable; koreksi memakai reversal/replacement, bukan edit in-place. Posting harus atomic dan idempotent. Backfill historical data memakai inferred-history. Export jurnal Xero direview dulu sebagai Xero journal CSV manual sebelum integrasi otomatis.</w:t>
      </w:r>
    </w:p>
    <w:p>
      <w:pPr>
        <w:pStyle w:val="ListBullet"/>
        <w:spacing w:after="80"/>
      </w:pPr>
      <w:r>
        <w:rPr>
          <w:b/>
        </w:rPr>
        <w:t xml:space="preserve">Acceptance criteria: </w:t>
      </w:r>
      <w:r>
        <w:t>TC-DEMO-13-01 Finance membuat 3 row berstatus PLANNED; TC-DEMO-13-02 PM membuat baseline mendapat 403; TC-DEMO-13-03 PM submit BAST/evidence → PENDING_FINANCE_APPROVAL; TC-DEMO-13-04 PM self-approve mendapat 403; TC-DEMO-13-05 Finance approve → RECOGNIZED, ledger ter-update atomically/idempotently; TC-DEMO-13-06 menghasilkan Xero CSV Debit Unbilled AR/Credit Revenue untuk review.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Model RevenueRecognitionSchedule, enum RevRecTriggerType { FIXED_TERM, DELIVERY_BASED }, status PLANNED|PENDING_FINANCE_APPROVAL|RECOGNIZED|REJECTED|CANCELLED, decimal planned/recognized fields, evidence (evidenceDocId/reportUrl), approval/rejection fields, optional billingMilestoneId. API: POST /api/projects/:id/revrec-schedules (RBAC FINANCE, dengan baseline authority), POST /api/revrec-schedules/:id/evidence (RBAC PROJECT_MANAGER), POST /api/revrec-schedules/:id/approve (Finance). UI terpisah untuk billing vs RevRec, evidence, Finance gate, reversal/replacement, CSV review/export; migration/backfill inferred-history.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Project activation, BillingMilestone, Document, ledger, Xero CSV format, PSAK 115/IFRS 15; risiko timeline tercampur, duplicate posting, immutable correction yang salah, dan kualitas inferensi history.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FSD berstatus Draft; keputusan operasional yang dikonfirmasi mencakup pemisahan timeline, role, immutability/reversal-replacement, atomic idempotency, inferred-history backfill, dan Xero CSV review-first.</w:t>
      </w:r>
    </w:p>
    <w:p>
      <w:pPr>
        <w:pStyle w:val="ListBullet"/>
        <w:spacing w:after="80"/>
      </w:pPr>
      <w:r>
        <w:rPr>
          <w:b/>
        </w:rPr>
        <w:t xml:space="preserve">Status implementasi/test: </w:t>
      </w:r>
      <w:r>
        <w:t>Tidak dinyatakan implemented; seluruh TC-DEMO-13-01..06 masih [ ].</w:t>
      </w:r>
    </w:p>
    <w:p>
      <w:r>
        <w:br w:type="page"/>
      </w:r>
    </w:p>
    <w:p>
      <w:pPr>
        <w:pStyle w:val="Heading1"/>
      </w:pPr>
      <w:r>
        <w:t>DEMO-14 — Project Activation Data Integrity Gate</w:t>
      </w:r>
    </w:p>
    <w:p>
      <w:pPr>
        <w:pStyle w:val="ListBullet"/>
        <w:spacing w:after="80"/>
      </w:pPr>
      <w:r>
        <w:rPr>
          <w:b/>
        </w:rPr>
        <w:t xml:space="preserve">Judul/ID: </w:t>
      </w:r>
      <w:r>
        <w:t>Project Activation Data Integrity Hard-Gate &amp; Contract Line Classification Engine; SPH-FSD-E-DEMO-14 (Enhancement/Workflow), Stream 1/2.</w:t>
      </w:r>
    </w:p>
    <w:p>
      <w:pPr>
        <w:pStyle w:val="ListBullet"/>
        <w:spacing w:after="80"/>
      </w:pPr>
      <w:r>
        <w:rPr>
          <w:b/>
        </w:rPr>
        <w:t xml:space="preserve">Masalah/kebutuhan: </w:t>
      </w:r>
      <w:r>
        <w:t>Audit menemukan 223 historical projects tanpa mandays/tanggal memadai serta negative expense masking. Aktivasi harus non-bypassable dan memvalidasi data sesuai jenis project.</w:t>
      </w:r>
    </w:p>
    <w:p>
      <w:pPr>
        <w:pStyle w:val="ListBullet"/>
        <w:spacing w:after="80"/>
      </w:pPr>
      <w:r>
        <w:rPr>
          <w:b/>
        </w:rPr>
        <w:t xml:space="preserve">Perubahan &amp; keputusan (koreksi terkonfirmasi): </w:t>
      </w:r>
      <w:r>
        <w:t>Ini extends/consolidates existing activation gate, bukan gate baru terpisah. Satu shared evaluator dipakai readiness API dan activation mutation, mengevaluasi effective proposed + persisted state. Do not add/use unrelated ProjectContractLine scope/model for this change. businessUnitId decision unresolved: jangan menjadikannya final must-pass invariant sebelum diputuskan. Gunakan pmId (bukan projectManagerId). Target error HTTP 422 ACTIVATION_GATE_VIOLATION, sambil mempertahankan missing compatibility/error codes seperti MANDAYS_REQUIRED, INVALID_DATE_RANGE, TM_RATE_MISSING. Activation, baseline initialization, dan audit event harus atomic. Rules berbeda menurut project kind (misalnya mandays wajib untuk kind = CLIENT, tidak otomatis semua kind).</w:t>
      </w:r>
    </w:p>
    <w:p>
      <w:pPr>
        <w:pStyle w:val="ListBullet"/>
        <w:spacing w:after="80"/>
      </w:pPr>
      <w:r>
        <w:rPr>
          <w:b/>
        </w:rPr>
        <w:t xml:space="preserve">Acceptance criteria: </w:t>
      </w:r>
      <w:r>
        <w:t>Existing readiness/activation behavior tetap kompatibel; evaluator yang sama dipanggil oleh GET /api/projects/:id/activation-readiness dan PATCH /api/projects/:id status ACTIVE; effective merged state dipakai. Invalid mandays/date/T&amp;M rate ditolak atomic dengan 422 ACTIVATION_GATE_VIOLATION plus compatible detail code; valid project mengaktifkan, menginisialisasi baseline, dan menulis audit dalam satu transaction; pmId divalidasi; business-unit check tetap unresolved/pending decision; tidak ada perubahan unrelated pada ProjectContractLine. FSD examples: zero mandays, reversed dates, unrated T&amp;M, fully compliant project.</w:t>
      </w:r>
    </w:p>
    <w:p>
      <w:pPr>
        <w:pStyle w:val="ListBullet"/>
        <w:spacing w:after="80"/>
      </w:pPr>
      <w:r>
        <w:rPr>
          <w:b/>
        </w:rPr>
        <w:t xml:space="preserve">Dampak teknis/data/API/UI: </w:t>
      </w:r>
      <w:r>
        <w:t>Konsolidasi evaluateActivationReadiness/shared evaluator di lib/projectValidators.ts; GET /api/projects/:id/activation-readiness (200 checklist canActivate, blockerCount, code/detail/targetTab); PATCH /api/projects/:id { "status": "ACTIVE" } target 422 wrapper ACTIVATION_GATE_VIOLATION dengan missing compatibility dipertahankan; evaluator membaca proposed + persisted values; activation→baseline (DEMO-11)→audit transaction; UI activation checklist/redirect tabs memakai hasil yang sama. Hindari model/endpoint ProjectContractLine yang tidak relevan.</w:t>
      </w:r>
    </w:p>
    <w:p>
      <w:pPr>
        <w:pStyle w:val="ListBullet"/>
        <w:spacing w:after="80"/>
      </w:pPr>
      <w:r>
        <w:rPr>
          <w:b/>
        </w:rPr>
        <w:t xml:space="preserve">Dependensi/risiko: </w:t>
      </w:r>
      <w:r>
        <w:t>Existing activation gate, Project kind/status, pmId/user role, dates/mandays, T&amp;M ProjectResourceRate, DEMO-10 margin gate, DEMO-11 baseline, DEMO-12 attribution, audit transaction. Risiko TOCTOU karena evaluator berbeda, partial writes, perubahan aturan per kind, dan unresolved businessUnitId.</w:t>
      </w:r>
    </w:p>
    <w:p>
      <w:pPr>
        <w:pStyle w:val="ListBullet"/>
        <w:spacing w:after="80"/>
      </w:pPr>
      <w:r>
        <w:rPr>
          <w:b/>
        </w:rPr>
        <w:t xml:space="preserve">Status keputusan: </w:t>
      </w:r>
      <w:r>
        <w:t>FSD Draft; target design dikoreksi/diterima pada poin konsolidasi evaluator, effective state, error compatibility, atomicity, pmId, dan scope. businessUnitId masih unresolved.</w:t>
      </w:r>
    </w:p>
    <w:p>
      <w:pPr>
        <w:pStyle w:val="ListBullet"/>
        <w:spacing w:after="80"/>
      </w:pPr>
      <w:r>
        <w:rPr>
          <w:b/>
        </w:rPr>
        <w:t xml:space="preserve">Status implementasi/test: </w:t>
      </w:r>
      <w:r>
        <w:t>Tidak dinyatakan implemented; FSD test cases TC-DEMO-14-01..05 belum ditandai lulus. Target design, bukan bukti implementasi.</w:t>
      </w:r>
    </w:p>
    <w:p>
      <w:r>
        <w:br w:type="page"/>
      </w:r>
    </w:p>
    <w:p>
      <w:pPr>
        <w:pStyle w:val="Heading1"/>
      </w:pPr>
      <w:r>
        <w:t>Kesimpulan Konsolidasi</w:t>
      </w:r>
    </w:p>
    <w:p>
      <w:r>
        <w:t>Keempat belas DEMO membentuk satu rangkaian perubahan dari lead intake, product/service scope, contact dan routing, lineage, Pipedrive evaluation, probability, presales costing, proposal margin approval, project baseline, client attribution, revenue recognition, hingga project activation integrity.</w:t>
      </w:r>
    </w:p>
    <w:p>
      <w:r>
        <w:t>DEMO-01 sampai DEMO-11 merupakan baseline requirement/keputusan dan masih membutuhkan verifikasi implementasi serta pengujian. DEMO-12 Phase 1 telah diimplementasikan dan diuji sesuai keputusan final penguncian Project.clientId. DEMO-13 dan DEMO-14 merupakan baseline rekomendasi teknis yang belum menjadi bukti implementasi atau pengujian.</w:t>
      </w:r>
    </w:p>
    <w:p>
      <w:pPr>
        <w:pStyle w:val="Heading2"/>
      </w:pPr>
      <w:r>
        <w:t>Sumber Dokumen</w:t>
      </w:r>
    </w:p>
    <w:p>
      <w:r>
        <w:t>Paket FSD DELTA SecureProfit Hub yang berisi 14 file Markdown: DEMO-01 sampai DEMO-12 revisi v0.03 serta DEMO-13 dan DEMO-14 revisi v0.01. Koreksi teknis terkonfirmasi untuk DEMO-12, DEMO-13, dan DEMO-14 telah diterapkan dalam konsolidasi ini.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SecureProfit Hub — 14 DEMO Detailed Change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91B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E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42E3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