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FINAL TECHNICAL REVIEW &amp; REQUIRED REVISIONS</w:t>
      </w:r>
    </w:p>
    <w:p>
      <w:pPr>
        <w:jc w:val="center"/>
      </w:pPr>
      <w:r>
        <w:rPr>
          <w:b/>
          <w:i w:val="0"/>
          <w:color w:val="1F2937"/>
          <w:sz w:val="40"/>
        </w:rPr>
        <w:t>SecureProfit Hub — 14 FSD Master Recommendation v1.01</w:t>
      </w:r>
    </w:p>
    <w:p>
      <w:pPr>
        <w:jc w:val="center"/>
      </w:pPr>
      <w:r>
        <w:rPr>
          <w:i/>
          <w:color w:val="5A5A5A"/>
        </w:rPr>
        <w:t>Subject: Final Technical Review Against Current Source Code and 14 Source FSDs</w:t>
      </w:r>
    </w:p>
    <w:p/>
    <w:p>
      <w:pPr>
        <w:pStyle w:val="Heading1"/>
      </w:pPr>
      <w:r>
        <w:t>Executive Verdict</w:t>
      </w:r>
    </w:p>
    <w:p>
      <w:r>
        <w:rPr>
          <w:b/>
          <w:i w:val="0"/>
          <w:color w:val="B91C1C"/>
        </w:rPr>
        <w:t>MAJOR TECHNICAL REVISION REQUIRED — NOT YET READY AS A FINAL TECHNICAL BASELINE</w:t>
      </w:r>
    </w:p>
    <w:p>
      <w:r>
        <w:rPr>
          <w:i w:val="0"/>
        </w:rPr>
        <w:t>Dokumen v1.01 telah menyusun target architecture DEMO-01 sampai DEMO-14 secara cukup komprehensif dan sudah memisahkan implementation status dari test status pada traceability matrix. Namun, hasil verifikasi terhadap current source code menunjukkan masih ada konflik material pada DEMO-08, DEMO-11, DEMO-13, dan DEMO-14. Karena konflik tersebut memengaruhi data model, accounting behavior, activation integrity, dan API contract, koreksinya bukan sekadar editorial minor revision.</w:t>
      </w:r>
    </w:p>
    <w:p>
      <w:r>
        <w:rPr>
          <w:i w:val="0"/>
        </w:rPr>
        <w:t>Kesimpulan paling penting adalah bahwa DEMO-12 Phase 1 memang sudah implemented dan tested, sedangkan DEMO-13 belum implemented dan current behavior masih menganggap milestone PAID sebagai salah satu dasar revenue recognition. DEMO-14 juga baru partially implemented; status update, baseline creation, activity, dan audit belum berada dalam satu atomic transaction.</w:t>
      </w:r>
    </w:p>
    <w:p>
      <w:pPr>
        <w:pStyle w:val="Heading1"/>
      </w:pPr>
      <w:r>
        <w:t>Technical Positions Already Correct</w:t>
      </w:r>
    </w:p>
    <w:p>
      <w:pPr>
        <w:pStyle w:val="ListBullet"/>
        <w:spacing w:after="60"/>
      </w:pPr>
      <w:r>
        <w:t>Decision/design status sudah dipisahkan dari implementation status dan test status.</w:t>
      </w:r>
    </w:p>
    <w:p>
      <w:pPr>
        <w:pStyle w:val="ListBullet"/>
        <w:spacing w:after="60"/>
      </w:pPr>
      <w:r>
        <w:t>DEMO-12 mengunci Project.clientId, bukan Client.name. Client.name tetap editable.</w:t>
      </w:r>
    </w:p>
    <w:p>
      <w:pPr>
        <w:pStyle w:val="ListBullet"/>
        <w:spacing w:after="60"/>
      </w:pPr>
      <w:r>
        <w:t>DEMO-12 membedakan Phase 1 hard lock yang sudah ada dari Phase 2 correction workflow yang masih target design.</w:t>
      </w:r>
    </w:p>
    <w:p>
      <w:pPr>
        <w:pStyle w:val="ListBullet"/>
        <w:spacing w:after="60"/>
      </w:pPr>
      <w:r>
        <w:t>DEMO-13 memisahkan billing timeline dari revenue-recognition timeline dan menyatakan payment tidak boleh otomatis mengenali revenue.</w:t>
      </w:r>
    </w:p>
    <w:p>
      <w:pPr>
        <w:pStyle w:val="ListBullet"/>
        <w:spacing w:after="60"/>
      </w:pPr>
      <w:r>
        <w:t>DEMO-13 memakai prinsip immutable recognized entry; koreksi dilakukan melalui linked reversal dan replacement.</w:t>
      </w:r>
    </w:p>
    <w:p>
      <w:pPr>
        <w:pStyle w:val="ListBullet"/>
        <w:spacing w:after="60"/>
      </w:pPr>
      <w:r>
        <w:t>DEMO-13 menargetkan atomic, idempotent posting dan reviewed Xero journal CSV sebelum direct journal posting.</w:t>
      </w:r>
    </w:p>
    <w:p>
      <w:pPr>
        <w:pStyle w:val="ListBullet"/>
        <w:spacing w:after="60"/>
      </w:pPr>
      <w:r>
        <w:t>DEMO-14 memperluas existing activation gate, bukan membuat activation engine kedua.</w:t>
      </w:r>
    </w:p>
    <w:p>
      <w:pPr>
        <w:pStyle w:val="ListBullet"/>
        <w:spacing w:after="60"/>
      </w:pPr>
      <w:r>
        <w:t>DEMO-14 memakai effective persisted-plus-PATCH state, pmId, ProjectKind-specific rules, dan target HTTP 422 ACTIVATION_GATE_VIOLATION dengan legacy missing compatibility.</w:t>
      </w:r>
    </w:p>
    <w:p>
      <w:pPr>
        <w:pStyle w:val="ListBullet"/>
        <w:spacing w:after="60"/>
      </w:pPr>
      <w:r>
        <w:t>DEMO-11 tetap menggunakan existing ProjectBaseline sebagai model inti, bukan memperkenalkan parallel baseline model.</w:t>
      </w:r>
    </w:p>
    <w:p>
      <w:pPr>
        <w:pStyle w:val="Heading1"/>
      </w:pPr>
      <w:r>
        <w:t>Mandatory Corrections Before Technical Acceptance</w:t>
      </w:r>
    </w:p>
    <w:p>
      <w:pPr>
        <w:pStyle w:val="Heading2"/>
      </w:pPr>
      <w:r>
        <w:t>1. DEMO-13 implementation status dan current behavior harus dikoreksi</w:t>
      </w:r>
    </w:p>
    <w:p>
      <w:r>
        <w:rPr>
          <w:i w:val="0"/>
        </w:rPr>
        <w:t>Dokumen sudah benar secara target design ketika menyatakan bahwa invoice payment tidak sama dengan revenue recognition. Akan tetapi, traceability dan penjelasan current-state belum cukup tegas terhadap konflik source code yang sedang berjalan.</w:t>
      </w:r>
    </w:p>
    <w:p>
      <w:r>
        <w:rPr>
          <w:i w:val="0"/>
        </w:rPr>
        <w:t>Current endpoint revenue-recognition masih menandai BillingMilestone sebagai recognized apabila salah satu kondisi berikut terpenuhi:</w:t>
      </w:r>
    </w:p>
    <w:p>
      <w:pPr>
        <w:pStyle w:val="ListBullet"/>
        <w:spacing w:after="60"/>
      </w:pPr>
      <w:r>
        <w:t>BAST sudah tersedia.</w:t>
      </w:r>
    </w:p>
    <w:p>
      <w:pPr>
        <w:pStyle w:val="ListBullet"/>
        <w:spacing w:after="60"/>
      </w:pPr>
      <w:r>
        <w:t>BillingMilestone berstatus PAID.</w:t>
      </w:r>
    </w:p>
    <w:p>
      <w:pPr>
        <w:pStyle w:val="ListBullet"/>
        <w:spacing w:after="60"/>
      </w:pPr>
      <w:r>
        <w:t>reportUrl sudah tersedia.</w:t>
      </w:r>
    </w:p>
    <w:p>
      <w:r>
        <w:rPr>
          <w:i w:val="0"/>
        </w:rPr>
        <w:t>Dengan demikian, kondisi PAID masih dapat menghasilkan recognized revenue. Ini bertentangan langsung dengan Decision 13.1 dan bukan sekadar fitur yang belum lengkap.</w:t>
      </w:r>
    </w:p>
    <w:p>
      <w:r>
        <w:rPr>
          <w:i w:val="0"/>
        </w:rPr>
        <w:t>Gunakan redaksi implementation status berikut:</w:t>
      </w:r>
    </w:p>
    <w:p>
      <w:pPr>
        <w:spacing w:before="40" w:after="140"/>
        <w:ind w:left="360" w:right="216"/>
        <w:shd w:fill="F3F4F6"/>
      </w:pPr>
      <w:r>
        <w:rPr>
          <w:rFonts w:ascii="Consolas" w:hAnsi="Consolas"/>
          <w:color w:val="1F2937"/>
          <w:sz w:val="17"/>
        </w:rPr>
        <w:t>DEMO-13 implementation status:</w:t>
        <w:br/>
        <w:t>NOT IMPLEMENTED — CURRENT LEGACY BEHAVIOR CONTRADICTS TARGET DESIGN.</w:t>
        <w:br/>
        <w:t>The current BillingMilestone-derived recognition logic must be replaced or deprecated.</w:t>
        <w:br/>
        <w:t>Invoice payment, advance payment, contract signing, and PO receipt must not recognize revenue unless a performance obligation has been fulfilled and approved by FINANCE.</w:t>
      </w:r>
    </w:p>
    <w:p>
      <w:r>
        <w:rPr>
          <w:i w:val="0"/>
        </w:rPr>
        <w:t>Tambahkan acceptance criteria negatif berikut:</w:t>
      </w:r>
    </w:p>
    <w:p>
      <w:pPr>
        <w:spacing w:before="40" w:after="140"/>
        <w:ind w:left="360" w:right="216"/>
        <w:shd w:fill="F3F4F6"/>
      </w:pPr>
      <w:r>
        <w:rPr>
          <w:rFonts w:ascii="Consolas" w:hAnsi="Consolas"/>
          <w:color w:val="1F2937"/>
          <w:sz w:val="17"/>
        </w:rPr>
        <w:t>Given an invoice is PAID</w:t>
        <w:br/>
        <w:t>And no performance obligation has been fulfilled and approved</w:t>
        <w:br/>
        <w:t>When revenue recognition is evaluated</w:t>
        <w:br/>
        <w:t>Then recognized revenue remains zero</w:t>
        <w:br/>
        <w:t>And no RevenueRecognitionEntry is posted.</w:t>
      </w:r>
    </w:p>
    <w:p>
      <w:pPr>
        <w:pStyle w:val="Heading2"/>
      </w:pPr>
      <w:r>
        <w:t>2. DEMO-11 dan DEMO-14 belum menjamin atomic activation</w:t>
      </w:r>
    </w:p>
    <w:p>
      <w:r>
        <w:rPr>
          <w:i w:val="0"/>
        </w:rPr>
        <w:t>Source code saat ini melakukan project update terlebih dahulu. Setelah Project berhasil menjadi ACTIVE, sistem baru menghitung jumlah baseline dan membuat ProjectBaseline apabila belum ada. Activity dan audit juga ditulis setelah operasi tersebut. Seluruh langkah ini tidak berada dalam satu database transaction.</w:t>
      </w:r>
    </w:p>
    <w:p>
      <w:r>
        <w:rPr>
          <w:i w:val="0"/>
        </w:rPr>
        <w:t>Konsekuensinya, kegagalan di tengah proses dapat meninggalkan salah satu kondisi berikut:</w:t>
      </w:r>
    </w:p>
    <w:p>
      <w:pPr>
        <w:pStyle w:val="ListBullet"/>
        <w:spacing w:after="60"/>
      </w:pPr>
      <w:r>
        <w:t>Project berstatus ACTIVE tetapi baseline belum dibuat.</w:t>
      </w:r>
    </w:p>
    <w:p>
      <w:pPr>
        <w:pStyle w:val="ListBullet"/>
        <w:spacing w:after="60"/>
      </w:pPr>
      <w:r>
        <w:t>Baseline sudah dibuat tetapi activity atau audit belum tersimpan.</w:t>
      </w:r>
    </w:p>
    <w:p>
      <w:pPr>
        <w:pStyle w:val="ListBullet"/>
        <w:spacing w:after="60"/>
      </w:pPr>
      <w:r>
        <w:t>Dua request aktivasi paralel bersaing pada count-then-create.</w:t>
      </w:r>
    </w:p>
    <w:p>
      <w:r>
        <w:rPr>
          <w:i w:val="0"/>
        </w:rPr>
        <w:t>Dokumen harus membedakan secara eksplisit:</w:t>
      </w:r>
    </w:p>
    <w:p>
      <w:pPr>
        <w:pStyle w:val="ListBullet"/>
        <w:spacing w:after="60"/>
      </w:pPr>
      <w:r>
        <w:t>Existing: initial activation baseline creation sudah ada.</w:t>
      </w:r>
    </w:p>
    <w:p>
      <w:pPr>
        <w:pStyle w:val="ListBullet"/>
        <w:spacing w:after="60"/>
      </w:pPr>
      <w:r>
        <w:t>Not implemented: atomic readiness re-check, status update, baseline creation, activity, dan audit.</w:t>
      </w:r>
    </w:p>
    <w:p>
      <w:pPr>
        <w:pStyle w:val="ListBullet"/>
        <w:spacing w:after="60"/>
      </w:pPr>
      <w:r>
        <w:t>Not implemented: partial unique index yang memastikan paling banyak satu current baseline.</w:t>
      </w:r>
    </w:p>
    <w:p>
      <w:pPr>
        <w:pStyle w:val="ListBullet"/>
        <w:spacing w:after="60"/>
      </w:pPr>
      <w:r>
        <w:t>Not implemented: Decimal migration dan approved CommercialBudgetRevision linkage.</w:t>
      </w:r>
    </w:p>
    <w:p>
      <w:r>
        <w:rPr>
          <w:i w:val="0"/>
        </w:rPr>
        <w:t>Target transaction boundary yang direkomendasikan:</w:t>
      </w:r>
    </w:p>
    <w:p>
      <w:pPr>
        <w:spacing w:before="40" w:after="140"/>
        <w:ind w:left="360" w:right="216"/>
        <w:shd w:fill="F3F4F6"/>
      </w:pPr>
      <w:r>
        <w:rPr>
          <w:rFonts w:ascii="Consolas" w:hAnsi="Consolas"/>
          <w:color w:val="1F2937"/>
          <w:sz w:val="17"/>
        </w:rPr>
        <w:t>await prisma.$transaction(async (tx) =&gt; {</w:t>
        <w:br/>
        <w:t xml:space="preserve">  await acquireProjectActivationLock(tx, projectId);</w:t>
        <w:br/>
        <w:t xml:space="preserve">  const effectiveState = await loadAndMergeEffectiveState(tx, projectId, patch);</w:t>
        <w:br/>
        <w:t xml:space="preserve">  const readiness = await evaluateActivationReadiness(tx, effectiveState);</w:t>
        <w:br/>
        <w:t xml:space="preserve">  if (!readiness.ready) throw activationGateViolation(readiness);</w:t>
        <w:br/>
        <w:br/>
        <w:t xml:space="preserve">  await updateProjectStatusToActive(tx, projectId, patch);</w:t>
        <w:br/>
        <w:t xml:space="preserve">  await createInitialBaselineIfMissing(tx, projectId);</w:t>
        <w:br/>
        <w:t xml:space="preserve">  await createProjectActivity(tx, projectId);</w:t>
        <w:br/>
        <w:t xml:space="preserve">  await createAuditRecord(tx, projectId);</w:t>
        <w:br/>
        <w:t>});</w:t>
      </w:r>
    </w:p>
    <w:p>
      <w:r>
        <w:rPr>
          <w:i w:val="0"/>
        </w:rPr>
        <w:t>Partial unique index hanya menjamin at most one current baseline. At least one baseline untuk active project harus dijamin oleh atomic lifecycle logic dan reconciliation/backfill.</w:t>
      </w:r>
    </w:p>
    <w:p>
      <w:pPr>
        <w:pStyle w:val="Heading2"/>
      </w:pPr>
      <w:r>
        <w:t>3. DEMO-08 memiliki dua canonical probability policy yang berbeda</w:t>
      </w:r>
    </w:p>
    <w:p>
      <w:r>
        <w:rPr>
          <w:i w:val="0"/>
        </w:rPr>
        <w:t>FSD DEMO-08 v0.03 menetapkan stage berikut:</w:t>
      </w:r>
    </w:p>
    <w:p>
      <w:pPr>
        <w:spacing w:before="40" w:after="140"/>
        <w:ind w:left="360" w:right="216"/>
        <w:shd w:fill="F3F4F6"/>
      </w:pPr>
      <w:r>
        <w:rPr>
          <w:rFonts w:ascii="Consolas" w:hAnsi="Consolas"/>
          <w:color w:val="1F2937"/>
          <w:sz w:val="17"/>
        </w:rPr>
        <w:t>DISCOVERY 10% | QUALIFIED 30% | PROPOSAL 60% | NEGOTIATION 80% | WON 100% | LOST 0%</w:t>
      </w:r>
    </w:p>
    <w:p>
      <w:r>
        <w:rPr>
          <w:i w:val="0"/>
        </w:rPr>
        <w:t>Master Recommendation v1.01 menggunakan:</w:t>
      </w:r>
    </w:p>
    <w:p>
      <w:pPr>
        <w:spacing w:before="40" w:after="140"/>
        <w:ind w:left="360" w:right="216"/>
        <w:shd w:fill="F3F4F6"/>
      </w:pPr>
      <w:r>
        <w:rPr>
          <w:rFonts w:ascii="Consolas" w:hAnsi="Consolas"/>
          <w:color w:val="1F2937"/>
          <w:sz w:val="17"/>
        </w:rPr>
        <w:t>NEW 20% | QUALIFIED 40% | PROPOSAL 60% | NEGOTIATION 80% | WON 100% | LOST 0%</w:t>
      </w:r>
    </w:p>
    <w:p>
      <w:r>
        <w:rPr>
          <w:i w:val="0"/>
        </w:rPr>
        <w:t>Current source code menggunakan enum NEW, QUALIFIED, PROPOSAL, NEGOTIATION, WON, LOST dan default probability 20%. Akan tetapi, CSV import menggunakan default yang berbeda, Pipedrive mapping menggunakan stage defaults, dan stage transition belum konsisten melakukan automatic reset maupun menyimpan probabilityOverrideReason.</w:t>
      </w:r>
    </w:p>
    <w:p>
      <w:r>
        <w:rPr>
          <w:i w:val="0"/>
        </w:rPr>
        <w:t>Pilih satu policy canonical. Setelah dipilih, sinkronkan secara bersamaan:</w:t>
      </w:r>
    </w:p>
    <w:p>
      <w:pPr>
        <w:pStyle w:val="ListBullet"/>
        <w:spacing w:after="60"/>
      </w:pPr>
      <w:r>
        <w:t>DEMO-08 source FSD.</w:t>
      </w:r>
    </w:p>
    <w:p>
      <w:pPr>
        <w:pStyle w:val="ListBullet"/>
        <w:spacing w:after="60"/>
      </w:pPr>
      <w:r>
        <w:t>Master Recommendation decision table.</w:t>
      </w:r>
    </w:p>
    <w:p>
      <w:pPr>
        <w:pStyle w:val="ListBullet"/>
        <w:spacing w:after="60"/>
      </w:pPr>
      <w:r>
        <w:t>Prisma LeadStage enum dan default probability.</w:t>
      </w:r>
    </w:p>
    <w:p>
      <w:pPr>
        <w:pStyle w:val="ListBullet"/>
        <w:spacing w:after="60"/>
      </w:pPr>
      <w:r>
        <w:t>Manual lead creation, CSV import, dan Pipedrive mapping.</w:t>
      </w:r>
    </w:p>
    <w:p>
      <w:pPr>
        <w:pStyle w:val="ListBullet"/>
        <w:spacing w:after="60"/>
      </w:pPr>
      <w:r>
        <w:t>Stage-transition service dan probability override audit.</w:t>
      </w:r>
    </w:p>
    <w:p>
      <w:pPr>
        <w:pStyle w:val="ListBullet"/>
        <w:spacing w:after="60"/>
      </w:pPr>
      <w:r>
        <w:t>Acceptance tests untuk setiap transition dan override.</w:t>
      </w:r>
    </w:p>
    <w:p>
      <w:r>
        <w:rPr>
          <w:i w:val="0"/>
        </w:rPr>
        <w:t>Sampai policy tersebut tunggal dan konsisten, DEMO-08 harus berstatus PARTIALLY IMPLEMENTED — REQUIREMENT CONFLICT OPEN.</w:t>
      </w:r>
    </w:p>
    <w:p>
      <w:pPr>
        <w:pStyle w:val="Heading2"/>
      </w:pPr>
      <w:r>
        <w:t>4. DEMO-14 shared evaluator dan API contract masih target design</w:t>
      </w:r>
    </w:p>
    <w:p>
      <w:r>
        <w:rPr>
          <w:i w:val="0"/>
        </w:rPr>
        <w:t>Existing route sudah memiliki basic activation checks, menghitung effective PATCH state untuk sejumlah field, dan membedakan sebagian aturan commercial CLIENT dari non-commercial project. Hal ini layak dicatat sebagai partial implementation.</w:t>
      </w:r>
    </w:p>
    <w:p>
      <w:r>
        <w:rPr>
          <w:i w:val="0"/>
        </w:rPr>
        <w:t>Namun, komponen berikut belum terbukti tersedia:</w:t>
      </w:r>
    </w:p>
    <w:p>
      <w:pPr>
        <w:pStyle w:val="ListBullet"/>
        <w:spacing w:after="60"/>
      </w:pPr>
      <w:r>
        <w:t>GET /projects/:id/activation-readiness.</w:t>
      </w:r>
    </w:p>
    <w:p>
      <w:pPr>
        <w:pStyle w:val="ListBullet"/>
        <w:spacing w:after="60"/>
      </w:pPr>
      <w:r>
        <w:t>Satu shared evaluator yang dipakai readiness endpoint dan status transition.</w:t>
      </w:r>
    </w:p>
    <w:p>
      <w:pPr>
        <w:pStyle w:val="ListBullet"/>
        <w:spacing w:after="60"/>
      </w:pPr>
      <w:r>
        <w:t>Structured checklist per invariant.</w:t>
      </w:r>
    </w:p>
    <w:p>
      <w:pPr>
        <w:pStyle w:val="ListBullet"/>
        <w:spacing w:after="60"/>
      </w:pPr>
      <w:r>
        <w:t>HTTP 422 dengan code ACTIVATION_GATE_VIOLATION.</w:t>
      </w:r>
    </w:p>
    <w:p>
      <w:pPr>
        <w:pStyle w:val="ListBullet"/>
        <w:spacing w:after="60"/>
      </w:pPr>
      <w:r>
        <w:t>Approved/current CommercialBudgetRevision check.</w:t>
      </w:r>
    </w:p>
    <w:p>
      <w:pPr>
        <w:pStyle w:val="ListBullet"/>
        <w:spacing w:after="60"/>
      </w:pPr>
      <w:r>
        <w:t>T&amp;M resource-rate completeness check.</w:t>
      </w:r>
    </w:p>
    <w:p>
      <w:pPr>
        <w:pStyle w:val="ListBullet"/>
        <w:spacing w:after="60"/>
      </w:pPr>
      <w:r>
        <w:t>Explicit canonical Project primary BU check.</w:t>
      </w:r>
    </w:p>
    <w:p>
      <w:pPr>
        <w:pStyle w:val="ListBullet"/>
        <w:spacing w:after="60"/>
      </w:pPr>
      <w:r>
        <w:t>endDate &gt;= startDate validation.</w:t>
      </w:r>
    </w:p>
    <w:p>
      <w:pPr>
        <w:pStyle w:val="ListBullet"/>
        <w:spacing w:after="60"/>
      </w:pPr>
      <w:r>
        <w:t>Atomic activation transaction.</w:t>
      </w:r>
    </w:p>
    <w:p>
      <w:r>
        <w:rPr>
          <w:i w:val="0"/>
        </w:rPr>
        <w:t>Current activation failure masih menggunakan HTTP 400 dan ACTIVATION_REQUIREMENTS_INCOMPLETE. Karena itu, target response berikut tidak boleh ditulis sebagai current API behavior:</w:t>
      </w:r>
    </w:p>
    <w:p>
      <w:pPr>
        <w:spacing w:before="40" w:after="140"/>
        <w:ind w:left="360" w:right="216"/>
        <w:shd w:fill="F3F4F6"/>
      </w:pPr>
      <w:r>
        <w:rPr>
          <w:rFonts w:ascii="Consolas" w:hAnsi="Consolas"/>
          <w:color w:val="1F2937"/>
          <w:sz w:val="17"/>
        </w:rPr>
        <w:t>{</w:t>
        <w:br/>
        <w:t xml:space="preserve">  "code": "ACTIVATION_GATE_VIOLATION",</w:t>
        <w:br/>
        <w:t xml:space="preserve">  "message": "Project cannot be activated",</w:t>
        <w:br/>
        <w:t xml:space="preserve">  "missing": ["..."],</w:t>
        <w:br/>
        <w:t xml:space="preserve">  "checklist": [{ "key": "...", "passed": false }]</w:t>
        <w:br/>
        <w:t>}</w:t>
      </w:r>
    </w:p>
    <w:p>
      <w:r>
        <w:rPr>
          <w:i w:val="0"/>
        </w:rPr>
        <w:t>Gunakan label TARGET API CONTRACT sampai route, shared evaluator, dan integration tests tersedia.</w:t>
      </w:r>
    </w:p>
    <w:p>
      <w:pPr>
        <w:pStyle w:val="Heading2"/>
      </w:pPr>
      <w:r>
        <w:t>5. ProjectKind matrix harus eksplisit dan tidak boleh digeneralisasi</w:t>
      </w:r>
    </w:p>
    <w:p>
      <w:r>
        <w:rPr>
          <w:i w:val="0"/>
        </w:rPr>
        <w:t>Dokumen sudah benar bahwa rules berbeda menurut Project kind. Namun, beberapa penjelasan masih berisiko dibaca seolah seluruh project wajib mempunyai client, commercial approval, billing milestones, dan positive planned mandays dengan aturan yang identik.</w:t>
      </w:r>
    </w:p>
    <w:p>
      <w:r>
        <w:rPr>
          <w:i w:val="0"/>
        </w:rPr>
        <w:t>Gunakan matrix eksplisit, misalnya:</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24303E"/>
            <w:tcMar>
              <w:top w:w="90" w:type="dxa"/>
              <w:start w:w="90" w:type="dxa"/>
              <w:bottom w:w="90" w:type="dxa"/>
              <w:end w:w="90" w:type="dxa"/>
            </w:tcMar>
          </w:tcPr>
          <w:p>
            <w:r/>
            <w:r>
              <w:rPr>
                <w:b/>
                <w:color w:val="FFFFFF"/>
                <w:sz w:val="17"/>
              </w:rPr>
              <w:t>Kind</w:t>
            </w:r>
          </w:p>
        </w:tc>
        <w:tc>
          <w:tcPr>
            <w:tcW w:type="dxa" w:w="1958"/>
            <w:vAlign w:val="center"/>
            <w:shd w:fill="24303E"/>
            <w:tcMar>
              <w:top w:w="90" w:type="dxa"/>
              <w:start w:w="90" w:type="dxa"/>
              <w:bottom w:w="90" w:type="dxa"/>
              <w:end w:w="90" w:type="dxa"/>
            </w:tcMar>
          </w:tcPr>
          <w:p>
            <w:r/>
            <w:r>
              <w:rPr>
                <w:b/>
                <w:color w:val="FFFFFF"/>
                <w:sz w:val="17"/>
              </w:rPr>
              <w:t>Client</w:t>
            </w:r>
          </w:p>
        </w:tc>
        <w:tc>
          <w:tcPr>
            <w:tcW w:type="dxa" w:w="1958"/>
            <w:vAlign w:val="center"/>
            <w:shd w:fill="24303E"/>
            <w:tcMar>
              <w:top w:w="90" w:type="dxa"/>
              <w:start w:w="90" w:type="dxa"/>
              <w:bottom w:w="90" w:type="dxa"/>
              <w:end w:w="90" w:type="dxa"/>
            </w:tcMar>
          </w:tcPr>
          <w:p>
            <w:r/>
            <w:r>
              <w:rPr>
                <w:b/>
                <w:color w:val="FFFFFF"/>
                <w:sz w:val="17"/>
              </w:rPr>
              <w:t>Commercial approval</w:t>
            </w:r>
          </w:p>
        </w:tc>
        <w:tc>
          <w:tcPr>
            <w:tcW w:type="dxa" w:w="1958"/>
            <w:vAlign w:val="center"/>
            <w:shd w:fill="24303E"/>
            <w:tcMar>
              <w:top w:w="90" w:type="dxa"/>
              <w:start w:w="90" w:type="dxa"/>
              <w:bottom w:w="90" w:type="dxa"/>
              <w:end w:w="90" w:type="dxa"/>
            </w:tcMar>
          </w:tcPr>
          <w:p>
            <w:r/>
            <w:r>
              <w:rPr>
                <w:b/>
                <w:color w:val="FFFFFF"/>
                <w:sz w:val="17"/>
              </w:rPr>
              <w:t>Billing milestones</w:t>
            </w:r>
          </w:p>
        </w:tc>
        <w:tc>
          <w:tcPr>
            <w:tcW w:type="dxa" w:w="1958"/>
            <w:vAlign w:val="center"/>
            <w:shd w:fill="24303E"/>
            <w:tcMar>
              <w:top w:w="90" w:type="dxa"/>
              <w:start w:w="90" w:type="dxa"/>
              <w:bottom w:w="90" w:type="dxa"/>
              <w:end w:w="90" w:type="dxa"/>
            </w:tcMar>
          </w:tcPr>
          <w:p>
            <w:r/>
            <w:r>
              <w:rPr>
                <w:b/>
                <w:color w:val="FFFFFF"/>
                <w:sz w:val="17"/>
              </w:rPr>
              <w:t>Delivery readiness</w:t>
            </w:r>
          </w:p>
        </w:tc>
      </w:tr>
      <w:tr>
        <w:tc>
          <w:tcPr>
            <w:tcW w:type="dxa" w:w="1958"/>
            <w:vAlign w:val="center"/>
            <w:shd w:fill="FFFFFF"/>
            <w:tcMar>
              <w:top w:w="90" w:type="dxa"/>
              <w:start w:w="90" w:type="dxa"/>
              <w:bottom w:w="90" w:type="dxa"/>
              <w:end w:w="90" w:type="dxa"/>
            </w:tcMar>
          </w:tcPr>
          <w:p>
            <w:r/>
            <w:r>
              <w:rPr>
                <w:b w:val="0"/>
                <w:sz w:val="17"/>
              </w:rPr>
              <w:t>CLIENT</w:t>
            </w:r>
          </w:p>
        </w:tc>
        <w:tc>
          <w:tcPr>
            <w:tcW w:type="dxa" w:w="1958"/>
            <w:vAlign w:val="center"/>
            <w:shd w:fill="FFFFFF"/>
            <w:tcMar>
              <w:top w:w="90" w:type="dxa"/>
              <w:start w:w="90" w:type="dxa"/>
              <w:bottom w:w="90" w:type="dxa"/>
              <w:end w:w="90" w:type="dxa"/>
            </w:tcMar>
          </w:tcPr>
          <w:p>
            <w:r/>
            <w:r>
              <w:rPr>
                <w:b w:val="0"/>
                <w:sz w:val="17"/>
              </w:rPr>
              <w:t>Required</w:t>
            </w:r>
          </w:p>
        </w:tc>
        <w:tc>
          <w:tcPr>
            <w:tcW w:type="dxa" w:w="1958"/>
            <w:vAlign w:val="center"/>
            <w:shd w:fill="FFFFFF"/>
            <w:tcMar>
              <w:top w:w="90" w:type="dxa"/>
              <w:start w:w="90" w:type="dxa"/>
              <w:bottom w:w="90" w:type="dxa"/>
              <w:end w:w="90" w:type="dxa"/>
            </w:tcMar>
          </w:tcPr>
          <w:p>
            <w:r/>
            <w:r>
              <w:rPr>
                <w:b w:val="0"/>
                <w:sz w:val="17"/>
              </w:rPr>
              <w:t>Required</w:t>
            </w:r>
          </w:p>
        </w:tc>
        <w:tc>
          <w:tcPr>
            <w:tcW w:type="dxa" w:w="1958"/>
            <w:vAlign w:val="center"/>
            <w:shd w:fill="FFFFFF"/>
            <w:tcMar>
              <w:top w:w="90" w:type="dxa"/>
              <w:start w:w="90" w:type="dxa"/>
              <w:bottom w:w="90" w:type="dxa"/>
              <w:end w:w="90" w:type="dxa"/>
            </w:tcMar>
          </w:tcPr>
          <w:p>
            <w:r/>
            <w:r>
              <w:rPr>
                <w:b w:val="0"/>
                <w:sz w:val="17"/>
              </w:rPr>
              <w:t>Required sesuai model billing</w:t>
            </w:r>
          </w:p>
        </w:tc>
        <w:tc>
          <w:tcPr>
            <w:tcW w:type="dxa" w:w="1958"/>
            <w:vAlign w:val="center"/>
            <w:shd w:fill="FFFFFF"/>
            <w:tcMar>
              <w:top w:w="90" w:type="dxa"/>
              <w:start w:w="90" w:type="dxa"/>
              <w:bottom w:w="90" w:type="dxa"/>
              <w:end w:w="90" w:type="dxa"/>
            </w:tcMar>
          </w:tcPr>
          <w:p>
            <w:r/>
            <w:r>
              <w:rPr>
                <w:b w:val="0"/>
                <w:sz w:val="17"/>
              </w:rPr>
              <w:t>Required</w:t>
            </w:r>
          </w:p>
        </w:tc>
      </w:tr>
      <w:tr>
        <w:tc>
          <w:tcPr>
            <w:tcW w:type="dxa" w:w="1958"/>
            <w:vAlign w:val="center"/>
            <w:shd w:fill="F7F7F8"/>
            <w:tcMar>
              <w:top w:w="90" w:type="dxa"/>
              <w:start w:w="90" w:type="dxa"/>
              <w:bottom w:w="90" w:type="dxa"/>
              <w:end w:w="90" w:type="dxa"/>
            </w:tcMar>
          </w:tcPr>
          <w:p>
            <w:r/>
            <w:r>
              <w:rPr>
                <w:b w:val="0"/>
                <w:sz w:val="17"/>
              </w:rPr>
              <w:t>INTERNAL</w:t>
            </w:r>
          </w:p>
        </w:tc>
        <w:tc>
          <w:tcPr>
            <w:tcW w:type="dxa" w:w="1958"/>
            <w:vAlign w:val="center"/>
            <w:shd w:fill="F7F7F8"/>
            <w:tcMar>
              <w:top w:w="90" w:type="dxa"/>
              <w:start w:w="90" w:type="dxa"/>
              <w:bottom w:w="90" w:type="dxa"/>
              <w:end w:w="90" w:type="dxa"/>
            </w:tcMar>
          </w:tcPr>
          <w:p>
            <w:r/>
            <w:r>
              <w:rPr>
                <w:b w:val="0"/>
                <w:sz w:val="17"/>
              </w:rPr>
              <w:t>Not commercial requirement</w:t>
            </w:r>
          </w:p>
        </w:tc>
        <w:tc>
          <w:tcPr>
            <w:tcW w:type="dxa" w:w="1958"/>
            <w:vAlign w:val="center"/>
            <w:shd w:fill="F7F7F8"/>
            <w:tcMar>
              <w:top w:w="90" w:type="dxa"/>
              <w:start w:w="90" w:type="dxa"/>
              <w:bottom w:w="90" w:type="dxa"/>
              <w:end w:w="90" w:type="dxa"/>
            </w:tcMar>
          </w:tcPr>
          <w:p>
            <w:r/>
            <w:r>
              <w:rPr>
                <w:b w:val="0"/>
                <w:sz w:val="17"/>
              </w:rPr>
              <w:t>Exempt</w:t>
            </w:r>
          </w:p>
        </w:tc>
        <w:tc>
          <w:tcPr>
            <w:tcW w:type="dxa" w:w="1958"/>
            <w:vAlign w:val="center"/>
            <w:shd w:fill="F7F7F8"/>
            <w:tcMar>
              <w:top w:w="90" w:type="dxa"/>
              <w:start w:w="90" w:type="dxa"/>
              <w:bottom w:w="90" w:type="dxa"/>
              <w:end w:w="90" w:type="dxa"/>
            </w:tcMar>
          </w:tcPr>
          <w:p>
            <w:r/>
            <w:r>
              <w:rPr>
                <w:b w:val="0"/>
                <w:sz w:val="17"/>
              </w:rPr>
              <w:t>Exempt</w:t>
            </w:r>
          </w:p>
        </w:tc>
        <w:tc>
          <w:tcPr>
            <w:tcW w:type="dxa" w:w="1958"/>
            <w:vAlign w:val="center"/>
            <w:shd w:fill="F7F7F8"/>
            <w:tcMar>
              <w:top w:w="90" w:type="dxa"/>
              <w:start w:w="90" w:type="dxa"/>
              <w:bottom w:w="90" w:type="dxa"/>
              <w:end w:w="90" w:type="dxa"/>
            </w:tcMar>
          </w:tcPr>
          <w:p>
            <w:r/>
            <w:r>
              <w:rPr>
                <w:b w:val="0"/>
                <w:sz w:val="17"/>
              </w:rPr>
              <w:t>Kind-specific</w:t>
            </w:r>
          </w:p>
        </w:tc>
      </w:tr>
      <w:tr>
        <w:tc>
          <w:tcPr>
            <w:tcW w:type="dxa" w:w="1958"/>
            <w:vAlign w:val="center"/>
            <w:shd w:fill="FFFFFF"/>
            <w:tcMar>
              <w:top w:w="90" w:type="dxa"/>
              <w:start w:w="90" w:type="dxa"/>
              <w:bottom w:w="90" w:type="dxa"/>
              <w:end w:w="90" w:type="dxa"/>
            </w:tcMar>
          </w:tcPr>
          <w:p>
            <w:r/>
            <w:r>
              <w:rPr>
                <w:b w:val="0"/>
                <w:sz w:val="17"/>
              </w:rPr>
              <w:t>PRESALES</w:t>
            </w:r>
          </w:p>
        </w:tc>
        <w:tc>
          <w:tcPr>
            <w:tcW w:type="dxa" w:w="1958"/>
            <w:vAlign w:val="center"/>
            <w:shd w:fill="FFFFFF"/>
            <w:tcMar>
              <w:top w:w="90" w:type="dxa"/>
              <w:start w:w="90" w:type="dxa"/>
              <w:bottom w:w="90" w:type="dxa"/>
              <w:end w:w="90" w:type="dxa"/>
            </w:tcMar>
          </w:tcPr>
          <w:p>
            <w:r/>
            <w:r>
              <w:rPr>
                <w:b w:val="0"/>
                <w:sz w:val="17"/>
              </w:rPr>
              <w:t>Not commercial requirement</w:t>
            </w:r>
          </w:p>
        </w:tc>
        <w:tc>
          <w:tcPr>
            <w:tcW w:type="dxa" w:w="1958"/>
            <w:vAlign w:val="center"/>
            <w:shd w:fill="FFFFFF"/>
            <w:tcMar>
              <w:top w:w="90" w:type="dxa"/>
              <w:start w:w="90" w:type="dxa"/>
              <w:bottom w:w="90" w:type="dxa"/>
              <w:end w:w="90" w:type="dxa"/>
            </w:tcMar>
          </w:tcPr>
          <w:p>
            <w:r/>
            <w:r>
              <w:rPr>
                <w:b w:val="0"/>
                <w:sz w:val="17"/>
              </w:rPr>
              <w:t>Exempt dari delivery contract gate</w:t>
            </w:r>
          </w:p>
        </w:tc>
        <w:tc>
          <w:tcPr>
            <w:tcW w:type="dxa" w:w="1958"/>
            <w:vAlign w:val="center"/>
            <w:shd w:fill="FFFFFF"/>
            <w:tcMar>
              <w:top w:w="90" w:type="dxa"/>
              <w:start w:w="90" w:type="dxa"/>
              <w:bottom w:w="90" w:type="dxa"/>
              <w:end w:w="90" w:type="dxa"/>
            </w:tcMar>
          </w:tcPr>
          <w:p>
            <w:r/>
            <w:r>
              <w:rPr>
                <w:b w:val="0"/>
                <w:sz w:val="17"/>
              </w:rPr>
              <w:t>Exempt</w:t>
            </w:r>
          </w:p>
        </w:tc>
        <w:tc>
          <w:tcPr>
            <w:tcW w:type="dxa" w:w="1958"/>
            <w:vAlign w:val="center"/>
            <w:shd w:fill="FFFFFF"/>
            <w:tcMar>
              <w:top w:w="90" w:type="dxa"/>
              <w:start w:w="90" w:type="dxa"/>
              <w:bottom w:w="90" w:type="dxa"/>
              <w:end w:w="90" w:type="dxa"/>
            </w:tcMar>
          </w:tcPr>
          <w:p>
            <w:r/>
            <w:r>
              <w:rPr>
                <w:b w:val="0"/>
                <w:sz w:val="17"/>
              </w:rPr>
              <w:t>Presales-specific</w:t>
            </w:r>
          </w:p>
        </w:tc>
      </w:tr>
      <w:tr>
        <w:tc>
          <w:tcPr>
            <w:tcW w:type="dxa" w:w="1958"/>
            <w:vAlign w:val="center"/>
            <w:shd w:fill="F7F7F8"/>
            <w:tcMar>
              <w:top w:w="90" w:type="dxa"/>
              <w:start w:w="90" w:type="dxa"/>
              <w:bottom w:w="90" w:type="dxa"/>
              <w:end w:w="90" w:type="dxa"/>
            </w:tcMar>
          </w:tcPr>
          <w:p>
            <w:r/>
            <w:r>
              <w:rPr>
                <w:b w:val="0"/>
                <w:sz w:val="17"/>
              </w:rPr>
              <w:t>TRAINING</w:t>
            </w:r>
          </w:p>
        </w:tc>
        <w:tc>
          <w:tcPr>
            <w:tcW w:type="dxa" w:w="1958"/>
            <w:vAlign w:val="center"/>
            <w:shd w:fill="F7F7F8"/>
            <w:tcMar>
              <w:top w:w="90" w:type="dxa"/>
              <w:start w:w="90" w:type="dxa"/>
              <w:bottom w:w="90" w:type="dxa"/>
              <w:end w:w="90" w:type="dxa"/>
            </w:tcMar>
          </w:tcPr>
          <w:p>
            <w:r/>
            <w:r>
              <w:rPr>
                <w:b w:val="0"/>
                <w:sz w:val="17"/>
              </w:rPr>
              <w:t>Not commercial requirement</w:t>
            </w:r>
          </w:p>
        </w:tc>
        <w:tc>
          <w:tcPr>
            <w:tcW w:type="dxa" w:w="1958"/>
            <w:vAlign w:val="center"/>
            <w:shd w:fill="F7F7F8"/>
            <w:tcMar>
              <w:top w:w="90" w:type="dxa"/>
              <w:start w:w="90" w:type="dxa"/>
              <w:bottom w:w="90" w:type="dxa"/>
              <w:end w:w="90" w:type="dxa"/>
            </w:tcMar>
          </w:tcPr>
          <w:p>
            <w:r/>
            <w:r>
              <w:rPr>
                <w:b w:val="0"/>
                <w:sz w:val="17"/>
              </w:rPr>
              <w:t>Exempt</w:t>
            </w:r>
          </w:p>
        </w:tc>
        <w:tc>
          <w:tcPr>
            <w:tcW w:type="dxa" w:w="1958"/>
            <w:vAlign w:val="center"/>
            <w:shd w:fill="F7F7F8"/>
            <w:tcMar>
              <w:top w:w="90" w:type="dxa"/>
              <w:start w:w="90" w:type="dxa"/>
              <w:bottom w:w="90" w:type="dxa"/>
              <w:end w:w="90" w:type="dxa"/>
            </w:tcMar>
          </w:tcPr>
          <w:p>
            <w:r/>
            <w:r>
              <w:rPr>
                <w:b w:val="0"/>
                <w:sz w:val="17"/>
              </w:rPr>
              <w:t>Exempt</w:t>
            </w:r>
          </w:p>
        </w:tc>
        <w:tc>
          <w:tcPr>
            <w:tcW w:type="dxa" w:w="1958"/>
            <w:vAlign w:val="center"/>
            <w:shd w:fill="F7F7F8"/>
            <w:tcMar>
              <w:top w:w="90" w:type="dxa"/>
              <w:start w:w="90" w:type="dxa"/>
              <w:bottom w:w="90" w:type="dxa"/>
              <w:end w:w="90" w:type="dxa"/>
            </w:tcMar>
          </w:tcPr>
          <w:p>
            <w:r/>
            <w:r>
              <w:rPr>
                <w:b w:val="0"/>
                <w:sz w:val="17"/>
              </w:rPr>
              <w:t>Training-specific</w:t>
            </w:r>
          </w:p>
        </w:tc>
      </w:tr>
    </w:tbl>
    <w:p>
      <w:r>
        <w:rPr>
          <w:i w:val="0"/>
        </w:rPr>
        <w:t>Nilai final setiap invariant harus ditetapkan di satu ProjectKind policy table dan dikonsumsi oleh shared evaluator. Jangan menduplikasi if/else matrix pada route berbeda.</w:t>
      </w:r>
    </w:p>
    <w:p>
      <w:pPr>
        <w:pStyle w:val="Heading2"/>
      </w:pPr>
      <w:r>
        <w:t>6. DEMO-12 API method harus mengikuti route yang sebenarnya</w:t>
      </w:r>
    </w:p>
    <w:p>
      <w:r>
        <w:rPr>
          <w:i w:val="0"/>
        </w:rPr>
        <w:t>Project.clientId hard lock terverifikasi. Request dengan clientId berbeda menghasilkan HTTP 409 dan CLIENT_ATTRIBUTION_LOCKED; request dengan identical clientId tetap diterima untuk compatibility. Regression test juga tersedia.</w:t>
      </w:r>
    </w:p>
    <w:p>
      <w:r>
        <w:rPr>
          <w:i w:val="0"/>
        </w:rPr>
        <w:t>Namun, dokumen berulang kali menyebut PUT /api/projects/:id. Route aktif menggunakan PATCH /projects/:id.</w:t>
      </w:r>
    </w:p>
    <w:p>
      <w:r>
        <w:rPr>
          <w:i w:val="0"/>
        </w:rPr>
        <w:t>Gunakan redaksi:</w:t>
      </w:r>
    </w:p>
    <w:p>
      <w:pPr>
        <w:spacing w:before="40" w:after="140"/>
        <w:ind w:left="360" w:right="216"/>
        <w:shd w:fill="F3F4F6"/>
      </w:pPr>
      <w:r>
        <w:rPr>
          <w:rFonts w:ascii="Consolas" w:hAnsi="Consolas"/>
          <w:color w:val="1F2937"/>
          <w:sz w:val="17"/>
        </w:rPr>
        <w:t>PATCH /api/projects/:id</w:t>
        <w:br/>
        <w:t>HTTP 409 Conflict</w:t>
        <w:br/>
        <w:t>{</w:t>
        <w:br/>
        <w:t xml:space="preserve">  "error": "CLIENT_ATTRIBUTION_LOCKED",</w:t>
        <w:br/>
        <w:t xml:space="preserve">  "message": "Client attribution cannot be changed after project creation."</w:t>
        <w:br/>
        <w:t>}</w:t>
      </w:r>
    </w:p>
    <w:p>
      <w:r>
        <w:rPr>
          <w:i w:val="0"/>
        </w:rPr>
        <w:t>Jika PUT memang akan ditambahkan sebagai target API baru, nyatakan sebagai separate target. Jangan menyebut PUT sebagai current implementation evidence.</w:t>
      </w:r>
    </w:p>
    <w:p>
      <w:pPr>
        <w:pStyle w:val="Heading2"/>
      </w:pPr>
      <w:r>
        <w:t>7. Referensi commit harus membedakan historical baseline dan current verification baseline</w:t>
      </w:r>
    </w:p>
    <w:p>
      <w:r>
        <w:rPr>
          <w:i w:val="0"/>
        </w:rPr>
        <w:t>Commit c7080af valid sebagai historical source reference dan memang sudah memuat DEMO-12 Phase 1. Namun, current source code yang diperiksa berada pada HEAD aa3425a76bf66b40000d521fe071c87b463a006d.</w:t>
      </w:r>
    </w:p>
    <w:p>
      <w:r>
        <w:rPr>
          <w:i w:val="0"/>
        </w:rPr>
        <w:t>Ganti label yang terlalu kuat seperti Current Deployed Model atau current codebase c7080af menjadi:</w:t>
      </w:r>
    </w:p>
    <w:p>
      <w:pPr>
        <w:spacing w:before="40" w:after="140"/>
        <w:ind w:left="360" w:right="216"/>
        <w:shd w:fill="F3F4F6"/>
      </w:pPr>
      <w:r>
        <w:rPr>
          <w:rFonts w:ascii="Consolas" w:hAnsi="Consolas"/>
          <w:color w:val="1F2937"/>
          <w:sz w:val="17"/>
        </w:rPr>
        <w:t>Historical Referenced Source Baseline: c7080af</w:t>
        <w:br/>
        <w:t>Current Technical Verification Baseline: aa3425a76bf66b40000d521fe071c87b463a006d</w:t>
        <w:br/>
        <w:t>Production deployment/schema status: Not assessed in this technical review</w:t>
      </w:r>
    </w:p>
    <w:p>
      <w:r>
        <w:rPr>
          <w:i w:val="0"/>
        </w:rPr>
        <w:t>Implementation matrix harus menggunakan satu verification baseline yang sama. Jangan menggabungkan model dari c7080af, target schema, dan current HEAD dalam satu kolom tanpa label.</w:t>
      </w:r>
    </w:p>
    <w:p>
      <w:pPr>
        <w:pStyle w:val="Heading2"/>
      </w:pPr>
      <w:r>
        <w:t>8. Contoh TypeScript dan SQL masih invalid secara literal</w:t>
      </w:r>
    </w:p>
    <w:p>
      <w:r>
        <w:rPr>
          <w:i w:val="0"/>
        </w:rPr>
        <w:t>Pemeriksaan terhadap isi DOCX menunjukkan beberapa karakter backtick hilang. Ini bukan sekadar masalah tampilan text extraction karena pola invalid muncul pada isi dokumen.</w:t>
      </w:r>
    </w:p>
    <w:p>
      <w:r>
        <w:rPr>
          <w:i w:val="0"/>
        </w:rPr>
        <w:t>Contoh yang harus diperbaiki:</w:t>
      </w:r>
    </w:p>
    <w:p>
      <w:pPr>
        <w:spacing w:before="40" w:after="140"/>
        <w:ind w:left="360" w:right="216"/>
        <w:shd w:fill="F3F4F6"/>
      </w:pPr>
      <w:r>
        <w:rPr>
          <w:rFonts w:ascii="Consolas" w:hAnsi="Consolas"/>
          <w:color w:val="1F2937"/>
          <w:sz w:val="17"/>
        </w:rPr>
        <w:t>await tx.$executeRaw`SELECT pg_advisory_xact_lock(hashtext(${projectId}))`;</w:t>
        <w:br/>
        <w:br/>
        <w:t>return `LEAD-${jakartaYear}-${String(counter.currentSequence).padStart(4, "0")}`;</w:t>
        <w:br/>
        <w:br/>
        <w:t>scopeSummary: `Auto-synced from Commercial Budget Revision v${budgetRevision.version}`,</w:t>
      </w:r>
    </w:p>
    <w:p>
      <w:r>
        <w:rPr>
          <w:i w:val="0"/>
        </w:rPr>
        <w:t>Pastikan fenced code block menyimpan backtick sebagai literal Word text. Lakukan parse/typecheck terhadap semua contoh TypeScript dan prisma validate terhadap seluruh contoh schema sebelum versi berikut diterbitkan.</w:t>
      </w:r>
    </w:p>
    <w:p>
      <w:pPr>
        <w:pStyle w:val="Heading2"/>
      </w:pPr>
      <w:r>
        <w:t>9. Role dan field identifiers harus konsisten dengan source code</w:t>
      </w:r>
    </w:p>
    <w:p>
      <w:r>
        <w:rPr>
          <w:i w:val="0"/>
        </w:rPr>
        <w:t>Role aktual yang relevan adalah FINANCE, PROJECT_MANAGER, MANAGEMENT, dan SITE_ADMIN. Field project manager adalah pmId. Tidak ada enum FINANCE_LEAD, DELIVERY_LEAD, atau field projectManagerId pada source baseline yang diperiksa.</w:t>
      </w:r>
    </w:p>
    <w:p>
      <w:r>
        <w:rPr>
          <w:i w:val="0"/>
        </w:rPr>
        <w:t>Jika istilah Finance Lead digunakan sebagai business display label, tuliskan mapping secara eksplisit:</w:t>
      </w:r>
    </w:p>
    <w:p>
      <w:pPr>
        <w:spacing w:before="40" w:after="140"/>
        <w:ind w:left="360" w:right="216"/>
        <w:shd w:fill="F3F4F6"/>
      </w:pPr>
      <w:r>
        <w:rPr>
          <w:rFonts w:ascii="Consolas" w:hAnsi="Consolas"/>
          <w:color w:val="1F2937"/>
          <w:sz w:val="17"/>
        </w:rPr>
        <w:t>Business label: Finance Lead</w:t>
        <w:br/>
        <w:t>Authorization role: FINANCE</w:t>
      </w:r>
    </w:p>
    <w:p>
      <w:r>
        <w:rPr>
          <w:i w:val="0"/>
        </w:rPr>
        <w:t>Jangan memperkenalkan enum role kedua hanya untuk menyamai istilah prose FSD. Sinkronkan DEMO-10, DEMO-12, DEMO-13, DEMO-14, traceability matrix, dan authorization examples.</w:t>
      </w:r>
    </w:p>
    <w:p>
      <w:pPr>
        <w:pStyle w:val="Heading2"/>
      </w:pPr>
      <w:r>
        <w:t>10. Jumlah decision records dan document scope belum konsisten</w:t>
      </w:r>
    </w:p>
    <w:p>
      <w:r>
        <w:rPr>
          <w:i w:val="0"/>
        </w:rPr>
        <w:t>Executive Summary masih menyebut 21 open business and architectural decisions, sementara dokumen mencakup Question 1 sampai 30 dan menambah Decisions 13.x serta 14.x.</w:t>
      </w:r>
    </w:p>
    <w:p>
      <w:r>
        <w:rPr>
          <w:i w:val="0"/>
        </w:rPr>
        <w:t>Gunakan salah satu bentuk berikut:</w:t>
      </w:r>
    </w:p>
    <w:p>
      <w:pPr>
        <w:pStyle w:val="ListBullet"/>
        <w:spacing w:after="60"/>
      </w:pPr>
      <w:r>
        <w:t>30 clarification questions/decision records untuk keseluruhan dokumen; atau</w:t>
      </w:r>
    </w:p>
    <w:p>
      <w:pPr>
        <w:pStyle w:val="ListBullet"/>
        <w:spacing w:after="60"/>
      </w:pPr>
      <w:r>
        <w:t>21 original decisions ditambah 9 extension decisions, dengan subtotal yang dijelaskan.</w:t>
      </w:r>
    </w:p>
    <w:p>
      <w:r>
        <w:rPr>
          <w:i w:val="0"/>
        </w:rPr>
        <w:t>Perbarui executive summary, revision history, decision register, dan traceability matrix agar angka yang sama digunakan di seluruh bagian.</w:t>
      </w:r>
    </w:p>
    <w:p>
      <w:pPr>
        <w:pStyle w:val="Heading2"/>
      </w:pPr>
      <w:r>
        <w:t>11. Technical review harus bebas dari approval dan sign-off assertions</w:t>
      </w:r>
    </w:p>
    <w:p>
      <w:r>
        <w:rPr>
          <w:i w:val="0"/>
        </w:rPr>
        <w:t>Versi technical review tidak memerlukan penilaian terhadap stakeholder approval, ratification, author sign-off, formal promotion, atau GO/NO-GO approval. Materi tersebut harus dipisahkan dari fakta design, implementation, dan test.</w:t>
      </w:r>
    </w:p>
    <w:p>
      <w:r>
        <w:rPr>
          <w:i w:val="0"/>
        </w:rPr>
        <w:t>Struktur technical baseline yang direkomendasikan:</w:t>
      </w:r>
    </w:p>
    <w:p>
      <w:pPr>
        <w:pStyle w:val="ListBullet"/>
        <w:spacing w:after="60"/>
      </w:pPr>
      <w:r>
        <w:t>Decision status.</w:t>
      </w:r>
    </w:p>
    <w:p>
      <w:pPr>
        <w:pStyle w:val="ListBullet"/>
        <w:spacing w:after="60"/>
      </w:pPr>
      <w:r>
        <w:t>Target technical behavior.</w:t>
      </w:r>
    </w:p>
    <w:p>
      <w:pPr>
        <w:pStyle w:val="ListBullet"/>
        <w:spacing w:after="60"/>
      </w:pPr>
      <w:r>
        <w:t>Current implementation evidence.</w:t>
      </w:r>
    </w:p>
    <w:p>
      <w:pPr>
        <w:pStyle w:val="ListBullet"/>
        <w:spacing w:after="60"/>
      </w:pPr>
      <w:r>
        <w:t>Test evidence.</w:t>
      </w:r>
    </w:p>
    <w:p>
      <w:pPr>
        <w:pStyle w:val="ListBullet"/>
        <w:spacing w:after="60"/>
      </w:pPr>
      <w:r>
        <w:t>Gap and required revision.</w:t>
      </w:r>
    </w:p>
    <w:p>
      <w:pPr>
        <w:pStyle w:val="ListBullet"/>
        <w:spacing w:after="60"/>
      </w:pPr>
      <w:r>
        <w:t>Verification baseline commit.</w:t>
      </w:r>
    </w:p>
    <w:p>
      <w:r>
        <w:rPr>
          <w:i w:val="0"/>
        </w:rPr>
        <w:t>Koreksi ini hanya membersihkan ruang lingkup pemeriksaan teknis dan tidak menyimpulkan apakah proses persetujuan organisasi telah atau belum terjadi.</w:t>
      </w:r>
    </w:p>
    <w:p>
      <w:pPr>
        <w:pStyle w:val="Heading1"/>
      </w:pPr>
      <w:r>
        <w:t>Recommended Technical Refinements</w:t>
      </w:r>
    </w:p>
    <w:p>
      <w:pPr>
        <w:pStyle w:val="Heading2"/>
      </w:pPr>
      <w:r>
        <w:t>Decimal serialization</w:t>
      </w:r>
    </w:p>
    <w:p>
      <w:r>
        <w:rPr>
          <w:i w:val="0"/>
        </w:rPr>
        <w:t>Nilai moneter authoritative sebaiknya tidak dikirim sebagai JavaScript floating-point number. Gunakan canonical decimal string atau integer minor units sesuai kontrak API.</w:t>
      </w:r>
    </w:p>
    <w:p>
      <w:pPr>
        <w:spacing w:before="40" w:after="140"/>
        <w:ind w:left="360" w:right="216"/>
        <w:shd w:fill="F3F4F6"/>
      </w:pPr>
      <w:r>
        <w:rPr>
          <w:rFonts w:ascii="Consolas" w:hAnsi="Consolas"/>
          <w:color w:val="1F2937"/>
          <w:sz w:val="17"/>
        </w:rPr>
        <w:t>"contractValue": "125000000.00"</w:t>
        <w:br/>
        <w:t>"recognizedAmount": "31250000.00"</w:t>
      </w:r>
    </w:p>
    <w:p>
      <w:pPr>
        <w:pStyle w:val="Heading2"/>
      </w:pPr>
      <w:r>
        <w:t>Historical revenue-recognition backfill</w:t>
      </w:r>
    </w:p>
    <w:p>
      <w:r>
        <w:rPr>
          <w:i w:val="0"/>
        </w:rPr>
        <w:t>Backfill harus diberi flag inferred dan tidak boleh menciptakan bukti seolah-olah approval historis pernah terjadi. Simpan source, inference rule, run identifier, timestamp, dan reviewer confirmation secara terpisah.</w:t>
      </w:r>
    </w:p>
    <w:p>
      <w:pPr>
        <w:pStyle w:val="Heading2"/>
      </w:pPr>
      <w:r>
        <w:t>Legacy baseline reconciliation</w:t>
      </w:r>
    </w:p>
    <w:p>
      <w:pPr>
        <w:pStyle w:val="ListBullet"/>
        <w:spacing w:after="60"/>
      </w:pPr>
      <w:r>
        <w:t>Backfill baseline untuk eligible active projects yang belum mempunyai current baseline.</w:t>
      </w:r>
    </w:p>
    <w:p>
      <w:pPr>
        <w:pStyle w:val="ListBullet"/>
        <w:spacing w:after="60"/>
      </w:pPr>
      <w:r>
        <w:t>Deteksi dan perbaiki multiple-current legacy rows sebelum partial unique index dibuat.</w:t>
      </w:r>
    </w:p>
    <w:p>
      <w:pPr>
        <w:pStyle w:val="ListBullet"/>
        <w:spacing w:after="60"/>
      </w:pPr>
      <w:r>
        <w:t>Validasi projectId pada Change Request dan cegah satu Change Request menghasilkan baseline lebih dari sekali.</w:t>
      </w:r>
    </w:p>
    <w:p>
      <w:pPr>
        <w:pStyle w:val="Heading2"/>
      </w:pPr>
      <w:r>
        <w:t>Negative and concurrency testing</w:t>
      </w:r>
    </w:p>
    <w:p>
      <w:pPr>
        <w:pStyle w:val="ListBullet"/>
        <w:spacing w:after="60"/>
      </w:pPr>
      <w:r>
        <w:t>Dua request aktivasi paralel hanya menghasilkan satu ProjectBaseline v1.</w:t>
      </w:r>
    </w:p>
    <w:p>
      <w:pPr>
        <w:pStyle w:val="ListBullet"/>
        <w:spacing w:after="60"/>
      </w:pPr>
      <w:r>
        <w:t>Kegagalan audit menyebabkan seluruh aktivasi rollback.</w:t>
      </w:r>
    </w:p>
    <w:p>
      <w:pPr>
        <w:pStyle w:val="ListBullet"/>
        <w:spacing w:after="60"/>
      </w:pPr>
      <w:r>
        <w:t>PAID invoice tanpa fulfilled obligation tidak menghasilkan recognized revenue.</w:t>
      </w:r>
    </w:p>
    <w:p>
      <w:pPr>
        <w:pStyle w:val="ListBullet"/>
        <w:spacing w:after="60"/>
      </w:pPr>
      <w:r>
        <w:t>Idempotency key yang sama tidak menghasilkan duplicate ledger entry.</w:t>
      </w:r>
    </w:p>
    <w:p>
      <w:pPr>
        <w:pStyle w:val="ListBullet"/>
        <w:spacing w:after="60"/>
      </w:pPr>
      <w:r>
        <w:t>Reversal tidak mengubah entry recognized yang asli.</w:t>
      </w:r>
    </w:p>
    <w:p>
      <w:pPr>
        <w:pStyle w:val="Heading1"/>
      </w:pPr>
      <w:r>
        <w:t>Status Summary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24303E"/>
            <w:tcMar>
              <w:top w:w="90" w:type="dxa"/>
              <w:start w:w="90" w:type="dxa"/>
              <w:bottom w:w="90" w:type="dxa"/>
              <w:end w:w="90" w:type="dxa"/>
            </w:tcMar>
          </w:tcPr>
          <w:p>
            <w:r/>
            <w:r>
              <w:rPr>
                <w:b/>
                <w:color w:val="FFFFFF"/>
                <w:sz w:val="17"/>
              </w:rPr>
              <w:t>Area</w:t>
            </w:r>
          </w:p>
        </w:tc>
        <w:tc>
          <w:tcPr>
            <w:tcW w:type="dxa" w:w="4896"/>
            <w:vAlign w:val="center"/>
            <w:shd w:fill="24303E"/>
            <w:tcMar>
              <w:top w:w="90" w:type="dxa"/>
              <w:start w:w="90" w:type="dxa"/>
              <w:bottom w:w="90" w:type="dxa"/>
              <w:end w:w="90" w:type="dxa"/>
            </w:tcMar>
          </w:tcPr>
          <w:p>
            <w:r/>
            <w:r>
              <w:rPr>
                <w:b/>
                <w:color w:val="FFFFFF"/>
                <w:sz w:val="17"/>
              </w:rPr>
              <w:t>Assessment</w:t>
            </w:r>
          </w:p>
        </w:tc>
      </w:tr>
      <w:tr>
        <w:tc>
          <w:tcPr>
            <w:tcW w:type="dxa" w:w="4896"/>
            <w:vAlign w:val="center"/>
            <w:shd w:fill="FFFFFF"/>
            <w:tcMar>
              <w:top w:w="90" w:type="dxa"/>
              <w:start w:w="90" w:type="dxa"/>
              <w:bottom w:w="90" w:type="dxa"/>
              <w:end w:w="90" w:type="dxa"/>
            </w:tcMar>
          </w:tcPr>
          <w:p>
            <w:r/>
            <w:r>
              <w:rPr>
                <w:b w:val="0"/>
                <w:sz w:val="17"/>
              </w:rPr>
              <w:t>DEMO-01/02/05/06/10</w:t>
            </w:r>
          </w:p>
        </w:tc>
        <w:tc>
          <w:tcPr>
            <w:tcW w:type="dxa" w:w="4896"/>
            <w:vAlign w:val="center"/>
            <w:shd w:fill="FFFFFF"/>
            <w:tcMar>
              <w:top w:w="90" w:type="dxa"/>
              <w:start w:w="90" w:type="dxa"/>
              <w:bottom w:w="90" w:type="dxa"/>
              <w:end w:w="90" w:type="dxa"/>
            </w:tcMar>
          </w:tcPr>
          <w:p>
            <w:r/>
            <w:r>
              <w:rPr>
                <w:b w:val="0"/>
                <w:sz w:val="17"/>
              </w:rPr>
              <w:t>Target design — not implemented</w:t>
            </w:r>
          </w:p>
        </w:tc>
      </w:tr>
      <w:tr>
        <w:tc>
          <w:tcPr>
            <w:tcW w:type="dxa" w:w="4896"/>
            <w:vAlign w:val="center"/>
            <w:shd w:fill="F7F7F8"/>
            <w:tcMar>
              <w:top w:w="90" w:type="dxa"/>
              <w:start w:w="90" w:type="dxa"/>
              <w:bottom w:w="90" w:type="dxa"/>
              <w:end w:w="90" w:type="dxa"/>
            </w:tcMar>
          </w:tcPr>
          <w:p>
            <w:r/>
            <w:r>
              <w:rPr>
                <w:b w:val="0"/>
                <w:sz w:val="17"/>
              </w:rPr>
              <w:t>DEMO-03/04/07/09</w:t>
            </w:r>
          </w:p>
        </w:tc>
        <w:tc>
          <w:tcPr>
            <w:tcW w:type="dxa" w:w="4896"/>
            <w:vAlign w:val="center"/>
            <w:shd w:fill="F7F7F8"/>
            <w:tcMar>
              <w:top w:w="90" w:type="dxa"/>
              <w:start w:w="90" w:type="dxa"/>
              <w:bottom w:w="90" w:type="dxa"/>
              <w:end w:w="90" w:type="dxa"/>
            </w:tcMar>
          </w:tcPr>
          <w:p>
            <w:r/>
            <w:r>
              <w:rPr>
                <w:b w:val="0"/>
                <w:sz w:val="17"/>
              </w:rPr>
              <w:t>Partial foundation; target workflow not complete</w:t>
            </w:r>
          </w:p>
        </w:tc>
      </w:tr>
      <w:tr>
        <w:tc>
          <w:tcPr>
            <w:tcW w:type="dxa" w:w="4896"/>
            <w:vAlign w:val="center"/>
            <w:shd w:fill="FFFFFF"/>
            <w:tcMar>
              <w:top w:w="90" w:type="dxa"/>
              <w:start w:w="90" w:type="dxa"/>
              <w:bottom w:w="90" w:type="dxa"/>
              <w:end w:w="90" w:type="dxa"/>
            </w:tcMar>
          </w:tcPr>
          <w:p>
            <w:r/>
            <w:r>
              <w:rPr>
                <w:b w:val="0"/>
                <w:sz w:val="17"/>
              </w:rPr>
              <w:t>DEMO-08</w:t>
            </w:r>
          </w:p>
        </w:tc>
        <w:tc>
          <w:tcPr>
            <w:tcW w:type="dxa" w:w="4896"/>
            <w:vAlign w:val="center"/>
            <w:shd w:fill="FFFFFF"/>
            <w:tcMar>
              <w:top w:w="90" w:type="dxa"/>
              <w:start w:w="90" w:type="dxa"/>
              <w:bottom w:w="90" w:type="dxa"/>
              <w:end w:w="90" w:type="dxa"/>
            </w:tcMar>
          </w:tcPr>
          <w:p>
            <w:r/>
            <w:r>
              <w:rPr>
                <w:b w:val="0"/>
                <w:sz w:val="17"/>
              </w:rPr>
              <w:t>Partial implementation; canonical policy conflict</w:t>
            </w:r>
          </w:p>
        </w:tc>
      </w:tr>
      <w:tr>
        <w:tc>
          <w:tcPr>
            <w:tcW w:type="dxa" w:w="4896"/>
            <w:vAlign w:val="center"/>
            <w:shd w:fill="F7F7F8"/>
            <w:tcMar>
              <w:top w:w="90" w:type="dxa"/>
              <w:start w:w="90" w:type="dxa"/>
              <w:bottom w:w="90" w:type="dxa"/>
              <w:end w:w="90" w:type="dxa"/>
            </w:tcMar>
          </w:tcPr>
          <w:p>
            <w:r/>
            <w:r>
              <w:rPr>
                <w:b w:val="0"/>
                <w:sz w:val="17"/>
              </w:rPr>
              <w:t>DEMO-11</w:t>
            </w:r>
          </w:p>
        </w:tc>
        <w:tc>
          <w:tcPr>
            <w:tcW w:type="dxa" w:w="4896"/>
            <w:vAlign w:val="center"/>
            <w:shd w:fill="F7F7F8"/>
            <w:tcMar>
              <w:top w:w="90" w:type="dxa"/>
              <w:start w:w="90" w:type="dxa"/>
              <w:bottom w:w="90" w:type="dxa"/>
              <w:end w:w="90" w:type="dxa"/>
            </w:tcMar>
          </w:tcPr>
          <w:p>
            <w:r/>
            <w:r>
              <w:rPr>
                <w:b w:val="0"/>
                <w:sz w:val="17"/>
              </w:rPr>
              <w:t>Partial implementation; atomicity and uniqueness gaps</w:t>
            </w:r>
          </w:p>
        </w:tc>
      </w:tr>
      <w:tr>
        <w:tc>
          <w:tcPr>
            <w:tcW w:type="dxa" w:w="4896"/>
            <w:vAlign w:val="center"/>
            <w:shd w:fill="FFFFFF"/>
            <w:tcMar>
              <w:top w:w="90" w:type="dxa"/>
              <w:start w:w="90" w:type="dxa"/>
              <w:bottom w:w="90" w:type="dxa"/>
              <w:end w:w="90" w:type="dxa"/>
            </w:tcMar>
          </w:tcPr>
          <w:p>
            <w:r/>
            <w:r>
              <w:rPr>
                <w:b w:val="0"/>
                <w:sz w:val="17"/>
              </w:rPr>
              <w:t>DEMO-12 Phase 1</w:t>
            </w:r>
          </w:p>
        </w:tc>
        <w:tc>
          <w:tcPr>
            <w:tcW w:type="dxa" w:w="4896"/>
            <w:vAlign w:val="center"/>
            <w:shd w:fill="FFFFFF"/>
            <w:tcMar>
              <w:top w:w="90" w:type="dxa"/>
              <w:start w:w="90" w:type="dxa"/>
              <w:bottom w:w="90" w:type="dxa"/>
              <w:end w:w="90" w:type="dxa"/>
            </w:tcMar>
          </w:tcPr>
          <w:p>
            <w:r/>
            <w:r>
              <w:rPr>
                <w:b w:val="0"/>
                <w:sz w:val="17"/>
              </w:rPr>
              <w:t>Implemented and tested; API method wording correction required</w:t>
            </w:r>
          </w:p>
        </w:tc>
      </w:tr>
      <w:tr>
        <w:tc>
          <w:tcPr>
            <w:tcW w:type="dxa" w:w="4896"/>
            <w:vAlign w:val="center"/>
            <w:shd w:fill="F7F7F8"/>
            <w:tcMar>
              <w:top w:w="90" w:type="dxa"/>
              <w:start w:w="90" w:type="dxa"/>
              <w:bottom w:w="90" w:type="dxa"/>
              <w:end w:w="90" w:type="dxa"/>
            </w:tcMar>
          </w:tcPr>
          <w:p>
            <w:r/>
            <w:r>
              <w:rPr>
                <w:b w:val="0"/>
                <w:sz w:val="17"/>
              </w:rPr>
              <w:t>DEMO-12 Phase 2</w:t>
            </w:r>
          </w:p>
        </w:tc>
        <w:tc>
          <w:tcPr>
            <w:tcW w:type="dxa" w:w="4896"/>
            <w:vAlign w:val="center"/>
            <w:shd w:fill="F7F7F8"/>
            <w:tcMar>
              <w:top w:w="90" w:type="dxa"/>
              <w:start w:w="90" w:type="dxa"/>
              <w:bottom w:w="90" w:type="dxa"/>
              <w:end w:w="90" w:type="dxa"/>
            </w:tcMar>
          </w:tcPr>
          <w:p>
            <w:r/>
            <w:r>
              <w:rPr>
                <w:b w:val="0"/>
                <w:sz w:val="17"/>
              </w:rPr>
              <w:t>Target design — not implemented</w:t>
            </w:r>
          </w:p>
        </w:tc>
      </w:tr>
      <w:tr>
        <w:tc>
          <w:tcPr>
            <w:tcW w:type="dxa" w:w="4896"/>
            <w:vAlign w:val="center"/>
            <w:shd w:fill="FFFFFF"/>
            <w:tcMar>
              <w:top w:w="90" w:type="dxa"/>
              <w:start w:w="90" w:type="dxa"/>
              <w:bottom w:w="90" w:type="dxa"/>
              <w:end w:w="90" w:type="dxa"/>
            </w:tcMar>
          </w:tcPr>
          <w:p>
            <w:r/>
            <w:r>
              <w:rPr>
                <w:b w:val="0"/>
                <w:sz w:val="17"/>
              </w:rPr>
              <w:t>DEMO-13</w:t>
            </w:r>
          </w:p>
        </w:tc>
        <w:tc>
          <w:tcPr>
            <w:tcW w:type="dxa" w:w="4896"/>
            <w:vAlign w:val="center"/>
            <w:shd w:fill="FFFFFF"/>
            <w:tcMar>
              <w:top w:w="90" w:type="dxa"/>
              <w:start w:w="90" w:type="dxa"/>
              <w:bottom w:w="90" w:type="dxa"/>
              <w:end w:w="90" w:type="dxa"/>
            </w:tcMar>
          </w:tcPr>
          <w:p>
            <w:r/>
            <w:r>
              <w:rPr>
                <w:b w:val="0"/>
                <w:sz w:val="17"/>
              </w:rPr>
              <w:t>Not implemented; current behavior contradicts target</w:t>
            </w:r>
          </w:p>
        </w:tc>
      </w:tr>
      <w:tr>
        <w:tc>
          <w:tcPr>
            <w:tcW w:type="dxa" w:w="4896"/>
            <w:vAlign w:val="center"/>
            <w:shd w:fill="F7F7F8"/>
            <w:tcMar>
              <w:top w:w="90" w:type="dxa"/>
              <w:start w:w="90" w:type="dxa"/>
              <w:bottom w:w="90" w:type="dxa"/>
              <w:end w:w="90" w:type="dxa"/>
            </w:tcMar>
          </w:tcPr>
          <w:p>
            <w:r/>
            <w:r>
              <w:rPr>
                <w:b w:val="0"/>
                <w:sz w:val="17"/>
              </w:rPr>
              <w:t>DEMO-14</w:t>
            </w:r>
          </w:p>
        </w:tc>
        <w:tc>
          <w:tcPr>
            <w:tcW w:type="dxa" w:w="4896"/>
            <w:vAlign w:val="center"/>
            <w:shd w:fill="F7F7F8"/>
            <w:tcMar>
              <w:top w:w="90" w:type="dxa"/>
              <w:start w:w="90" w:type="dxa"/>
              <w:bottom w:w="90" w:type="dxa"/>
              <w:end w:w="90" w:type="dxa"/>
            </w:tcMar>
          </w:tcPr>
          <w:p>
            <w:r/>
            <w:r>
              <w:rPr>
                <w:b w:val="0"/>
                <w:sz w:val="17"/>
              </w:rPr>
              <w:t>Partially implemented; shared evaluator/422/atomicity not implemented</w:t>
            </w:r>
          </w:p>
        </w:tc>
      </w:tr>
      <w:tr>
        <w:tc>
          <w:tcPr>
            <w:tcW w:type="dxa" w:w="4896"/>
            <w:vAlign w:val="center"/>
            <w:shd w:fill="FFFFFF"/>
            <w:tcMar>
              <w:top w:w="90" w:type="dxa"/>
              <w:start w:w="90" w:type="dxa"/>
              <w:bottom w:w="90" w:type="dxa"/>
              <w:end w:w="90" w:type="dxa"/>
            </w:tcMar>
          </w:tcPr>
          <w:p>
            <w:r/>
            <w:r>
              <w:rPr>
                <w:b w:val="0"/>
                <w:sz w:val="17"/>
              </w:rPr>
              <w:t>Code examples</w:t>
            </w:r>
          </w:p>
        </w:tc>
        <w:tc>
          <w:tcPr>
            <w:tcW w:type="dxa" w:w="4896"/>
            <w:vAlign w:val="center"/>
            <w:shd w:fill="FFFFFF"/>
            <w:tcMar>
              <w:top w:w="90" w:type="dxa"/>
              <w:start w:w="90" w:type="dxa"/>
              <w:bottom w:w="90" w:type="dxa"/>
              <w:end w:w="90" w:type="dxa"/>
            </w:tcMar>
          </w:tcPr>
          <w:p>
            <w:r/>
            <w:r>
              <w:rPr>
                <w:b w:val="0"/>
                <w:sz w:val="17"/>
              </w:rPr>
              <w:t>Literal syntax corrections required</w:t>
            </w:r>
          </w:p>
        </w:tc>
      </w:tr>
      <w:tr>
        <w:tc>
          <w:tcPr>
            <w:tcW w:type="dxa" w:w="4896"/>
            <w:vAlign w:val="center"/>
            <w:shd w:fill="F7F7F8"/>
            <w:tcMar>
              <w:top w:w="90" w:type="dxa"/>
              <w:start w:w="90" w:type="dxa"/>
              <w:bottom w:w="90" w:type="dxa"/>
              <w:end w:w="90" w:type="dxa"/>
            </w:tcMar>
          </w:tcPr>
          <w:p>
            <w:r/>
            <w:r>
              <w:rPr>
                <w:b w:val="0"/>
                <w:sz w:val="17"/>
              </w:rPr>
              <w:t>Role and field identifiers</w:t>
            </w:r>
          </w:p>
        </w:tc>
        <w:tc>
          <w:tcPr>
            <w:tcW w:type="dxa" w:w="4896"/>
            <w:vAlign w:val="center"/>
            <w:shd w:fill="F7F7F8"/>
            <w:tcMar>
              <w:top w:w="90" w:type="dxa"/>
              <w:start w:w="90" w:type="dxa"/>
              <w:bottom w:w="90" w:type="dxa"/>
              <w:end w:w="90" w:type="dxa"/>
            </w:tcMar>
          </w:tcPr>
          <w:p>
            <w:r/>
            <w:r>
              <w:rPr>
                <w:b w:val="0"/>
                <w:sz w:val="17"/>
              </w:rPr>
              <w:t>Minor consistency corrections required</w:t>
            </w:r>
          </w:p>
        </w:tc>
      </w:tr>
      <w:tr>
        <w:tc>
          <w:tcPr>
            <w:tcW w:type="dxa" w:w="4896"/>
            <w:vAlign w:val="center"/>
            <w:shd w:fill="FFFFFF"/>
            <w:tcMar>
              <w:top w:w="90" w:type="dxa"/>
              <w:start w:w="90" w:type="dxa"/>
              <w:bottom w:w="90" w:type="dxa"/>
              <w:end w:w="90" w:type="dxa"/>
            </w:tcMar>
          </w:tcPr>
          <w:p>
            <w:r/>
            <w:r>
              <w:rPr>
                <w:b w:val="0"/>
                <w:sz w:val="17"/>
              </w:rPr>
              <w:t>Technical-only document scope</w:t>
            </w:r>
          </w:p>
        </w:tc>
        <w:tc>
          <w:tcPr>
            <w:tcW w:type="dxa" w:w="4896"/>
            <w:vAlign w:val="center"/>
            <w:shd w:fill="FFFFFF"/>
            <w:tcMar>
              <w:top w:w="90" w:type="dxa"/>
              <w:start w:w="90" w:type="dxa"/>
              <w:bottom w:w="90" w:type="dxa"/>
              <w:end w:w="90" w:type="dxa"/>
            </w:tcMar>
          </w:tcPr>
          <w:p>
            <w:r/>
            <w:r>
              <w:rPr>
                <w:b w:val="0"/>
                <w:sz w:val="17"/>
              </w:rPr>
              <w:t>Approval/sign-off assertions must be removed</w:t>
            </w:r>
          </w:p>
        </w:tc>
      </w:tr>
    </w:tbl>
    <w:p>
      <w:pPr>
        <w:pStyle w:val="Heading1"/>
      </w:pPr>
      <w:r>
        <w:t>Final Assessment</w:t>
      </w:r>
    </w:p>
    <w:p>
      <w:r>
        <w:rPr>
          <w:b/>
        </w:rPr>
        <w:t xml:space="preserve">Rekomendasi status: </w:t>
      </w:r>
      <w:r>
        <w:rPr>
          <w:i w:val="0"/>
        </w:rPr>
        <w:t>MAJOR TECHNICAL REVISION REQUIRED — NOT YET READY AS A FINAL TECHNICAL BASELINE.</w:t>
      </w:r>
    </w:p>
    <w:p>
      <w:r>
        <w:rPr>
          <w:i w:val="0"/>
        </w:rPr>
        <w:t>Versi revisi dapat diterima untuk technical re-review setelah empat blocker utama diselesaikan: canonical probability DEMO-08, atomic baseline/activation DEMO-11 dan DEMO-14, penghentian PAID-based revenue recognition pada DEMO-13, serta sinkronisasi implementation claims terhadap current verification baseline.</w:t>
      </w:r>
    </w:p>
    <w:p>
      <w:r>
        <w:rPr>
          <w:i w:val="0"/>
        </w:rPr>
        <w:t>DEMO-12 Phase 1 tidak perlu didesain ulang. Pertahankan implementasi Project.clientId lock yang ada, koreksi method menjadi PATCH, dan tetap tandai Phase 2 sebagai target design.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SecureProfit Hub — 14 FSD Final Technical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91B1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