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F4E79"/>
          <w:sz w:val="44"/>
        </w:rPr>
        <w:t>Master Recommendation Clarification &amp; Go/No-Go Coverage Record</w:t>
      </w:r>
    </w:p>
    <w:p>
      <w:pPr>
        <w:spacing w:before="40" w:after="80" w:line="276" w:lineRule="auto"/>
      </w:pPr>
      <w:r>
        <w:rPr>
          <w:rFonts w:ascii="Calibri" w:hAnsi="Calibri"/>
          <w:b/>
          <w:color w:val="24292E"/>
          <w:sz w:val="22"/>
        </w:rPr>
        <w:t>Document Title</w:t>
      </w:r>
      <w:r>
        <w:rPr>
          <w:rFonts w:ascii="Calibri" w:hAnsi="Calibri"/>
          <w:color w:val="24292E"/>
          <w:sz w:val="22"/>
        </w:rPr>
        <w:t xml:space="preserve">: SecureProfit Hub (SPH) — 14 FSD Master Recommendation Clarification &amp; Go/No-Go Verification  </w:t>
      </w:r>
    </w:p>
    <w:p>
      <w:pPr>
        <w:spacing w:before="40" w:after="80" w:line="276" w:lineRule="auto"/>
      </w:pPr>
      <w:r>
        <w:rPr>
          <w:rFonts w:ascii="Calibri" w:hAnsi="Calibri"/>
          <w:b/>
          <w:color w:val="24292E"/>
          <w:sz w:val="22"/>
        </w:rPr>
        <w:t>Artifact ID</w:t>
      </w:r>
      <w:r>
        <w:rPr>
          <w:rFonts w:ascii="Calibri" w:hAnsi="Calibri"/>
          <w:color w:val="24292E"/>
          <w:sz w:val="22"/>
        </w:rPr>
        <w:t xml:space="preserve">: </w:t>
      </w:r>
      <w:r>
        <w:rPr>
          <w:rFonts w:ascii="Consolas" w:hAnsi="Consolas"/>
          <w:color w:val="032F62"/>
          <w:sz w:val="21"/>
        </w:rPr>
        <w:t>SPH-REC-CLARIF-01</w:t>
      </w:r>
      <w:r>
        <w:rPr>
          <w:rFonts w:ascii="Calibri" w:hAnsi="Calibri"/>
          <w:color w:val="24292E"/>
          <w:sz w:val="22"/>
        </w:rPr>
        <w:t xml:space="preserve">  </w:t>
      </w:r>
    </w:p>
    <w:p>
      <w:pPr>
        <w:spacing w:before="40" w:after="80" w:line="276" w:lineRule="auto"/>
      </w:pPr>
      <w:r>
        <w:rPr>
          <w:rFonts w:ascii="Calibri" w:hAnsi="Calibri"/>
          <w:b/>
          <w:color w:val="24292E"/>
          <w:sz w:val="22"/>
        </w:rPr>
        <w:t>Current Version</w:t>
      </w:r>
      <w:r>
        <w:rPr>
          <w:rFonts w:ascii="Calibri" w:hAnsi="Calibri"/>
          <w:color w:val="24292E"/>
          <w:sz w:val="22"/>
        </w:rPr>
        <w:t xml:space="preserve">: </w:t>
      </w:r>
      <w:r>
        <w:rPr>
          <w:rFonts w:ascii="Consolas" w:hAnsi="Consolas"/>
          <w:color w:val="032F62"/>
          <w:sz w:val="21"/>
        </w:rPr>
        <w:t>v1.01</w:t>
      </w:r>
      <w:r>
        <w:rPr>
          <w:rFonts w:ascii="Calibri" w:hAnsi="Calibri"/>
          <w:color w:val="24292E"/>
          <w:sz w:val="22"/>
        </w:rPr>
        <w:t xml:space="preserve"> (Approved 14-FSD Decision Baseline)  </w:t>
      </w:r>
    </w:p>
    <w:p>
      <w:pPr>
        <w:spacing w:before="40" w:after="80" w:line="276" w:lineRule="auto"/>
      </w:pPr>
      <w:r>
        <w:rPr>
          <w:rFonts w:ascii="Calibri" w:hAnsi="Calibri"/>
          <w:b/>
          <w:color w:val="24292E"/>
          <w:sz w:val="22"/>
        </w:rPr>
        <w:t>Status</w:t>
      </w:r>
      <w:r>
        <w:rPr>
          <w:rFonts w:ascii="Calibri" w:hAnsi="Calibri"/>
          <w:color w:val="24292E"/>
          <w:sz w:val="22"/>
        </w:rPr>
        <w:t xml:space="preserve">: </w:t>
      </w:r>
      <w:r>
        <w:rPr>
          <w:rFonts w:ascii="Consolas" w:hAnsi="Consolas"/>
          <w:color w:val="032F62"/>
          <w:sz w:val="21"/>
        </w:rPr>
        <w:t>Approved Decision Baseline — Formally Locked for Implementation Gating</w:t>
      </w:r>
      <w:r>
        <w:rPr>
          <w:rFonts w:ascii="Calibri" w:hAnsi="Calibri"/>
          <w:color w:val="24292E"/>
          <w:sz w:val="22"/>
        </w:rPr>
        <w:t xml:space="preserve">  </w:t>
      </w:r>
    </w:p>
    <w:p>
      <w:pPr>
        <w:spacing w:before="40" w:after="80" w:line="276" w:lineRule="auto"/>
      </w:pPr>
      <w:r>
        <w:rPr>
          <w:rFonts w:ascii="Calibri" w:hAnsi="Calibri"/>
          <w:b/>
          <w:color w:val="24292E"/>
          <w:sz w:val="22"/>
        </w:rPr>
        <w:t>Source Baseline Reference</w:t>
      </w:r>
      <w:r>
        <w:rPr>
          <w:rFonts w:ascii="Calibri" w:hAnsi="Calibri"/>
          <w:color w:val="24292E"/>
          <w:sz w:val="22"/>
        </w:rPr>
        <w:t xml:space="preserve">: </w:t>
      </w:r>
      <w:r>
        <w:rPr>
          <w:rFonts w:ascii="Consolas" w:hAnsi="Consolas"/>
          <w:color w:val="032F62"/>
          <w:sz w:val="21"/>
        </w:rPr>
        <w:t>Knowledge repository (read-only)/SecureProfitHub/Source code - 20 Aug 2026</w:t>
      </w:r>
      <w:r>
        <w:rPr>
          <w:rFonts w:ascii="Calibri" w:hAnsi="Calibri"/>
          <w:color w:val="24292E"/>
          <w:sz w:val="22"/>
        </w:rPr>
        <w:t xml:space="preserve"> (Commit </w:t>
      </w:r>
      <w:r>
        <w:rPr>
          <w:rFonts w:ascii="Consolas" w:hAnsi="Consolas"/>
          <w:color w:val="032F62"/>
          <w:sz w:val="21"/>
        </w:rPr>
        <w:t>c7080af</w:t>
      </w:r>
      <w:r>
        <w:rPr>
          <w:rFonts w:ascii="Calibri" w:hAnsi="Calibri"/>
          <w:color w:val="24292E"/>
          <w:sz w:val="22"/>
        </w:rPr>
        <w:t xml:space="preserve">)  </w:t>
      </w:r>
    </w:p>
    <w:p>
      <w:pPr>
        <w:spacing w:before="40" w:after="80" w:line="276" w:lineRule="auto"/>
      </w:pPr>
      <w:r>
        <w:rPr>
          <w:rFonts w:ascii="Calibri" w:hAnsi="Calibri"/>
          <w:b/>
          <w:color w:val="24292E"/>
          <w:sz w:val="22"/>
        </w:rPr>
        <w:t>Primary Master Audit</w:t>
      </w:r>
      <w:r>
        <w:rPr>
          <w:rFonts w:ascii="Calibri" w:hAnsi="Calibri"/>
          <w:color w:val="24292E"/>
          <w:sz w:val="22"/>
        </w:rPr>
        <w:t xml:space="preserve">: </w:t>
      </w:r>
      <w:r>
        <w:rPr>
          <w:rFonts w:ascii="Consolas" w:hAnsi="Consolas"/>
          <w:color w:val="032F62"/>
          <w:sz w:val="21"/>
        </w:rPr>
        <w:t>SecureProfit-Hub-Master-Recommendation-All-12-FSD-ID-2026-08.docx</w:t>
      </w:r>
      <w:r>
        <w:rPr>
          <w:rFonts w:ascii="Calibri" w:hAnsi="Calibri"/>
          <w:color w:val="24292E"/>
          <w:sz w:val="22"/>
        </w:rPr>
        <w:t xml:space="preserve"> (Version 2.0, 30 August 2026)  </w:t>
      </w:r>
    </w:p>
    <w:p>
      <w:pPr>
        <w:spacing w:before="40" w:after="80" w:line="276" w:lineRule="auto"/>
      </w:pPr>
      <w:r>
        <w:rPr>
          <w:rFonts w:ascii="Calibri" w:hAnsi="Calibri"/>
          <w:b/>
          <w:color w:val="24292E"/>
          <w:sz w:val="22"/>
        </w:rPr>
        <w:t>Author Review 1 Feedback</w:t>
      </w:r>
      <w:r>
        <w:rPr>
          <w:rFonts w:ascii="Calibri" w:hAnsi="Calibri"/>
          <w:color w:val="24292E"/>
          <w:sz w:val="22"/>
        </w:rPr>
        <w:t xml:space="preserve">: </w:t>
      </w:r>
      <w:r>
        <w:rPr>
          <w:rFonts w:ascii="Consolas" w:hAnsi="Consolas"/>
          <w:color w:val="032F62"/>
          <w:sz w:val="21"/>
        </w:rPr>
        <w:t>SPH-12-FSD-Required-Revisions-Response-ID.docx</w:t>
      </w:r>
      <w:r>
        <w:rPr>
          <w:rFonts w:ascii="Calibri" w:hAnsi="Calibri"/>
          <w:color w:val="24292E"/>
          <w:sz w:val="22"/>
        </w:rPr>
        <w:t xml:space="preserve"> (Dated 31 August 2026)  </w:t>
      </w:r>
    </w:p>
    <w:p>
      <w:pPr>
        <w:spacing w:before="40" w:after="80" w:line="276" w:lineRule="auto"/>
      </w:pPr>
      <w:r>
        <w:rPr>
          <w:rFonts w:ascii="Calibri" w:hAnsi="Calibri"/>
          <w:b/>
          <w:color w:val="24292E"/>
          <w:sz w:val="22"/>
        </w:rPr>
        <w:t>Author Review 2 Feedback</w:t>
      </w:r>
      <w:r>
        <w:rPr>
          <w:rFonts w:ascii="Calibri" w:hAnsi="Calibri"/>
          <w:color w:val="24292E"/>
          <w:sz w:val="22"/>
        </w:rPr>
        <w:t xml:space="preserve">: </w:t>
      </w:r>
      <w:r>
        <w:rPr>
          <w:rFonts w:ascii="Consolas" w:hAnsi="Consolas"/>
          <w:color w:val="032F62"/>
          <w:sz w:val="21"/>
        </w:rPr>
        <w:t>SPH-12-FSD-v0.06-Review-and-Remaining-Revisions-ID -2.docx</w:t>
      </w:r>
      <w:r>
        <w:rPr>
          <w:rFonts w:ascii="Calibri" w:hAnsi="Calibri"/>
          <w:color w:val="24292E"/>
          <w:sz w:val="22"/>
        </w:rPr>
        <w:t xml:space="preserve"> (Dated 1 September 2026)  </w:t>
      </w:r>
    </w:p>
    <w:p>
      <w:pPr>
        <w:spacing w:before="40" w:after="80" w:line="276" w:lineRule="auto"/>
      </w:pPr>
      <w:r>
        <w:rPr>
          <w:rFonts w:ascii="Calibri" w:hAnsi="Calibri"/>
          <w:b/>
          <w:color w:val="24292E"/>
          <w:sz w:val="22"/>
        </w:rPr>
        <w:t>Author Review 3 Feedback</w:t>
      </w:r>
      <w:r>
        <w:rPr>
          <w:rFonts w:ascii="Calibri" w:hAnsi="Calibri"/>
          <w:color w:val="24292E"/>
          <w:sz w:val="22"/>
        </w:rPr>
        <w:t xml:space="preserve">: </w:t>
      </w:r>
      <w:r>
        <w:rPr>
          <w:rFonts w:ascii="Consolas" w:hAnsi="Consolas"/>
          <w:color w:val="032F62"/>
          <w:sz w:val="21"/>
        </w:rPr>
        <w:t>SPH-12-FSD-v0.07-Final-Pre-Signoff-Review-ID.docx</w:t>
      </w:r>
      <w:r>
        <w:rPr>
          <w:rFonts w:ascii="Calibri" w:hAnsi="Calibri"/>
          <w:color w:val="24292E"/>
          <w:sz w:val="22"/>
        </w:rPr>
        <w:t xml:space="preserve"> (Dated 1 September 2026)  </w:t>
      </w:r>
    </w:p>
    <w:p>
      <w:pPr>
        <w:spacing w:before="40" w:after="80" w:line="276" w:lineRule="auto"/>
      </w:pPr>
      <w:r>
        <w:rPr>
          <w:rFonts w:ascii="Calibri" w:hAnsi="Calibri"/>
          <w:b/>
          <w:color w:val="24292E"/>
          <w:sz w:val="22"/>
        </w:rPr>
        <w:t>Author Review 4 Feedback</w:t>
      </w:r>
      <w:r>
        <w:rPr>
          <w:rFonts w:ascii="Calibri" w:hAnsi="Calibri"/>
          <w:color w:val="24292E"/>
          <w:sz w:val="22"/>
        </w:rPr>
        <w:t xml:space="preserve">: </w:t>
      </w:r>
      <w:r>
        <w:rPr>
          <w:rFonts w:ascii="Consolas" w:hAnsi="Consolas"/>
          <w:color w:val="032F62"/>
          <w:sz w:val="21"/>
        </w:rPr>
        <w:t>SPH-12-FSD-v0.08-Review-and-Required-Revisions-ID.docx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Review 5 Feedback</w:t>
      </w:r>
      <w:r>
        <w:rPr>
          <w:rFonts w:ascii="Calibri" w:hAnsi="Calibri"/>
          <w:color w:val="24292E"/>
          <w:sz w:val="22"/>
        </w:rPr>
        <w:t xml:space="preserve">: </w:t>
      </w:r>
      <w:r>
        <w:rPr>
          <w:rFonts w:ascii="Consolas" w:hAnsi="Consolas"/>
          <w:color w:val="032F62"/>
          <w:sz w:val="21"/>
        </w:rPr>
        <w:t>SPH-12-FSD-v0.09-Final-Review-and-Minor-Revisions-ID.docx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Review 6 Feedback</w:t>
      </w:r>
      <w:r>
        <w:rPr>
          <w:rFonts w:ascii="Calibri" w:hAnsi="Calibri"/>
          <w:color w:val="24292E"/>
          <w:sz w:val="22"/>
        </w:rPr>
        <w:t xml:space="preserve">: </w:t>
      </w:r>
      <w:r>
        <w:rPr>
          <w:rFonts w:ascii="Consolas" w:hAnsi="Consolas"/>
          <w:color w:val="032F62"/>
          <w:sz w:val="21"/>
        </w:rPr>
        <w:t>SPH-12-FSD-v0.10-Final-Acceptance-and-Minor-Edits-ID.docx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Final Sign-Off</w:t>
      </w:r>
      <w:r>
        <w:rPr>
          <w:rFonts w:ascii="Calibri" w:hAnsi="Calibri"/>
          <w:color w:val="24292E"/>
          <w:sz w:val="22"/>
        </w:rPr>
        <w:t xml:space="preserve">: </w:t>
      </w:r>
      <w:r>
        <w:rPr>
          <w:rFonts w:ascii="Consolas" w:hAnsi="Consolas"/>
          <w:color w:val="032F62"/>
          <w:sz w:val="21"/>
        </w:rPr>
        <w:t>SPH-12-FSD-v0.11-Final-Approval-for-Stakeholder-Sign-Off-ID (1).docx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Review 7 Feedback (DEMO-13 &amp; 14)</w:t>
      </w:r>
      <w:r>
        <w:rPr>
          <w:rFonts w:ascii="Calibri" w:hAnsi="Calibri"/>
          <w:color w:val="24292E"/>
          <w:sz w:val="22"/>
        </w:rPr>
        <w:t xml:space="preserve">: </w:t>
      </w:r>
      <w:r>
        <w:rPr>
          <w:rFonts w:ascii="Consolas" w:hAnsi="Consolas"/>
          <w:color w:val="032F62"/>
          <w:sz w:val="21"/>
        </w:rPr>
        <w:t>SPH-DEMO-13-14-Baseline-Rekomendasi-dan-Klarifikasi-ID.docx</w:t>
      </w:r>
      <w:r>
        <w:rPr>
          <w:rFonts w:ascii="Calibri" w:hAnsi="Calibri"/>
          <w:color w:val="24292E"/>
          <w:sz w:val="22"/>
        </w:rPr>
        <w:t xml:space="preserve"> (Dated 3 September 2026)  </w:t>
      </w:r>
    </w:p>
    <w:p>
      <w:pPr>
        <w:spacing w:before="40" w:after="80" w:line="276" w:lineRule="auto"/>
      </w:pPr>
      <w:r>
        <w:rPr>
          <w:rFonts w:ascii="Calibri" w:hAnsi="Calibri"/>
          <w:b/>
          <w:color w:val="24292E"/>
          <w:sz w:val="22"/>
        </w:rPr>
        <w:t>Target Working Artifacts Location</w:t>
      </w:r>
      <w:r>
        <w:rPr>
          <w:rFonts w:ascii="Calibri" w:hAnsi="Calibri"/>
          <w:color w:val="24292E"/>
          <w:sz w:val="22"/>
        </w:rPr>
        <w:t xml:space="preserve">: </w:t>
      </w:r>
      <w:r>
        <w:rPr>
          <w:rFonts w:ascii="Consolas" w:hAnsi="Consolas"/>
          <w:color w:val="032F62"/>
          <w:sz w:val="21"/>
        </w:rPr>
        <w:t>SAP Activate artifacts/Activate - SPH/10_Working Artifacts/</w:t>
      </w:r>
      <w:r>
        <w:rPr>
          <w:rFonts w:ascii="Calibri" w:hAnsi="Calibri"/>
          <w:color w:val="24292E"/>
          <w:sz w:val="22"/>
        </w:rPr>
        <w:t xml:space="preserve">  </w:t>
      </w:r>
    </w:p>
    <w:p>
      <w:pPr>
        <w:spacing w:before="40" w:after="80" w:line="276" w:lineRule="auto"/>
      </w:pPr>
      <w:r>
        <w:rPr>
          <w:rFonts w:ascii="Calibri" w:hAnsi="Calibri"/>
          <w:b/>
          <w:color w:val="24292E"/>
          <w:sz w:val="22"/>
        </w:rPr>
        <w:t>Date</w:t>
      </w:r>
      <w:r>
        <w:rPr>
          <w:rFonts w:ascii="Calibri" w:hAnsi="Calibri"/>
          <w:color w:val="24292E"/>
          <w:sz w:val="22"/>
        </w:rPr>
        <w:t xml:space="preserve">: 3 September 2026  </w:t>
      </w:r>
    </w:p>
    <w:p>
      <w:pPr>
        <w:spacing w:before="120" w:after="120"/>
        <w:pBdr>
          <w:bottom w:val="single" w:sz="6" w:space="1" w:color="E1E4E8"/>
        </w:pBdr>
      </w:pPr>
    </w:p>
    <w:p>
      <w:pPr>
        <w:keepNext/>
        <w:spacing w:before="280" w:after="120"/>
      </w:pPr>
      <w:r>
        <w:rPr>
          <w:rFonts w:ascii="Calibri" w:hAnsi="Calibri"/>
          <w:b/>
          <w:color w:val="2E75B6"/>
          <w:sz w:val="32"/>
        </w:rPr>
        <w:t>📜 Document Control &amp; Revision History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spacing w:before="40" w:after="40"/>
            </w:pPr>
            <w:r>
              <w:rPr>
                <w:rFonts w:ascii="Calibri" w:hAnsi="Calibri"/>
                <w:b/>
                <w:color w:val="FFFFFF"/>
                <w:sz w:val="20"/>
              </w:rPr>
              <w:t>Version</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Release Date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Author / Role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Summary of Changes / Evolution &amp; Source Reference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Status</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Initial synthesis of all 21 Open Clarification Questions from Section 16 of the Master Rec document with Bahasa Indonesia source, English translations, simplest-term summaries, best-practice resolutions, and Go/No-Go coverage matrix. </w:t>
            </w:r>
            <w:r>
              <w:rPr>
                <w:rFonts w:ascii="Calibri" w:hAnsi="Calibri"/>
                <w:i/>
                <w:color w:val="24292E"/>
                <w:sz w:val="19"/>
              </w:rPr>
              <w:t>(Source: Master Rec Document v2.0)</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`v0.02`</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Deep architectural expansion adding Prisma DDL models, Express API contracts, HTTP error codes, KaTeX mathematical formulas (PPN 11%, Gross Margin %, NRR, EVM), and Separation of Duties (SoD) rules. </w:t>
            </w:r>
            <w:r>
              <w:rPr>
                <w:rFonts w:ascii="Calibri" w:hAnsi="Calibri"/>
                <w:i/>
                <w:color w:val="24292E"/>
                <w:sz w:val="19"/>
              </w:rPr>
              <w:t>(Source: Codebase c7080af Audit)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`v0.03`</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Introduced dedicated, prominent </w:t>
            </w:r>
            <w:r>
              <w:rPr>
                <w:rFonts w:ascii="Calibri" w:hAnsi="Calibri"/>
                <w:b/>
                <w:color w:val="24292E"/>
                <w:sz w:val="19"/>
              </w:rPr>
              <w:t>"Proposed Decision &amp; Business Rationale"</w:t>
            </w:r>
            <w:r>
              <w:rPr>
                <w:rFonts w:ascii="Calibri" w:hAnsi="Calibri"/>
                <w:color w:val="24292E"/>
                <w:sz w:val="19"/>
              </w:rPr>
              <w:t xml:space="preserve"> blocks (Decisions 1.1 to 9.1) with narrative plain-English descriptions preceding all technical specifications. </w:t>
            </w:r>
            <w:r>
              <w:rPr>
                <w:rFonts w:ascii="Calibri" w:hAnsi="Calibri"/>
                <w:i/>
                <w:color w:val="24292E"/>
                <w:sz w:val="19"/>
              </w:rPr>
              <w:t>(Source: Stakeholder Design Directives)</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`v0.04`</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Explicitly designated all technical sections as </w:t>
            </w:r>
            <w:r>
              <w:rPr>
                <w:rFonts w:ascii="Calibri" w:hAnsi="Calibri"/>
                <w:b/>
                <w:color w:val="24292E"/>
                <w:sz w:val="19"/>
              </w:rPr>
              <w:t>`(Optional / Reference Example)`</w:t>
            </w:r>
            <w:r>
              <w:rPr>
                <w:rFonts w:ascii="Calibri" w:hAnsi="Calibri"/>
                <w:color w:val="24292E"/>
                <w:sz w:val="19"/>
              </w:rPr>
              <w:t xml:space="preserve">, clarifying that code snippets and schemas are illustrative reference patterns for the author/implementer. </w:t>
            </w:r>
            <w:r>
              <w:rPr>
                <w:rFonts w:ascii="Calibri" w:hAnsi="Calibri"/>
                <w:i/>
                <w:color w:val="24292E"/>
                <w:sz w:val="19"/>
              </w:rPr>
              <w:t>(Source: Stakeholder Alignment)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`v0.05`</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Integrated dedicated </w:t>
            </w:r>
            <w:r>
              <w:rPr>
                <w:rFonts w:ascii="Calibri" w:hAnsi="Calibri"/>
                <w:b/>
                <w:color w:val="24292E"/>
                <w:sz w:val="19"/>
              </w:rPr>
              <w:t>`Operational Ambiguity &amp; Resolved Edge Case`</w:t>
            </w:r>
            <w:r>
              <w:rPr>
                <w:rFonts w:ascii="Calibri" w:hAnsi="Calibri"/>
                <w:color w:val="24292E"/>
                <w:sz w:val="19"/>
              </w:rPr>
              <w:t xml:space="preserve"> blocks across all 21 items. </w:t>
            </w:r>
            <w:r>
              <w:rPr>
                <w:rFonts w:ascii="Calibri" w:hAnsi="Calibri"/>
                <w:i/>
                <w:color w:val="24292E"/>
                <w:sz w:val="19"/>
              </w:rPr>
              <w:t>(Source: Operational Risk Audit)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Decision Baseline Candidate incorporating 14 major revisions: status split, DEMO-12 Phase 1 vs Phase 2 split, dual PMO/Finance approvals, invoice financial states, actual roles, primary sector, join otherDetail, normalized secondary BU, Pipedrive mapping, configurable VAT snapshot. </w:t>
            </w:r>
            <w:r>
              <w:rPr>
                <w:rFonts w:ascii="Calibri" w:hAnsi="Calibri"/>
                <w:i/>
                <w:color w:val="24292E"/>
                <w:sz w:val="19"/>
              </w:rPr>
              <w:t>(Source: Author Review 1)</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`v0.07`</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Pre-Signoff Candidate: status harmonization (</w:t>
            </w:r>
            <w:r>
              <w:rPr>
                <w:rFonts w:ascii="Consolas" w:hAnsi="Consolas"/>
                <w:color w:val="032F62"/>
                <w:sz w:val="18"/>
              </w:rPr>
              <w:t>PROPOSED</w:t>
            </w:r>
            <w:r>
              <w:rPr>
                <w:rFonts w:ascii="Calibri" w:hAnsi="Calibri"/>
                <w:color w:val="24292E"/>
                <w:sz w:val="19"/>
              </w:rPr>
              <w:t>/</w:t>
            </w:r>
            <w:r>
              <w:rPr>
                <w:rFonts w:ascii="Consolas" w:hAnsi="Consolas"/>
                <w:color w:val="032F62"/>
                <w:sz w:val="18"/>
              </w:rPr>
              <w:t>PENDING APPROVAL</w:t>
            </w:r>
            <w:r>
              <w:rPr>
                <w:rFonts w:ascii="Calibri" w:hAnsi="Calibri"/>
                <w:color w:val="24292E"/>
                <w:sz w:val="19"/>
              </w:rPr>
              <w:t xml:space="preserve">), FSD Traceability Matrix (DEMO-01 to 12), dedicated DEMO-11 section, partial unique index for primary sector, dual-status state machine, connectionKey for Pipedrive, portable relative paths. </w:t>
            </w:r>
            <w:r>
              <w:rPr>
                <w:rFonts w:ascii="Calibri" w:hAnsi="Calibri"/>
                <w:i/>
                <w:color w:val="24292E"/>
                <w:sz w:val="19"/>
              </w:rPr>
              <w:t>(Source: Author Review 2)</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`v0.08`</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Applied 4 mandatory corrections: same-tx lead creation, aligned inactive sector logic, baseline partial index, and granular DEMO-07/11 traceability. </w:t>
            </w:r>
            <w:r>
              <w:rPr>
                <w:rFonts w:ascii="Calibri" w:hAnsi="Calibri"/>
                <w:i/>
                <w:color w:val="24292E"/>
                <w:sz w:val="19"/>
              </w:rPr>
              <w:t>(Source: Author Review 3)</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`v0.09`</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Applied 7 corrections: inactive sector diff logic on replacement PUT, non-destructive target extension, exactly-one invariant architecture, realistic lead numbering wording, v1.00 governance definition. </w:t>
            </w:r>
            <w:r>
              <w:rPr>
                <w:rFonts w:ascii="Calibri" w:hAnsi="Calibri"/>
                <w:i/>
                <w:color w:val="24292E"/>
                <w:sz w:val="19"/>
              </w:rPr>
              <w:t>(Source: Author Review 4)</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`v0.10`</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Applied final technical adjustments: discriminated union for DEMO-11, verbatim TypeScript template syntax, relabeled c7080af source baseline model heading, corrected matrix references, decimal serialization policy. </w:t>
            </w:r>
            <w:r>
              <w:rPr>
                <w:rFonts w:ascii="Calibri" w:hAnsi="Calibri"/>
                <w:i/>
                <w:color w:val="24292E"/>
                <w:sz w:val="19"/>
              </w:rPr>
              <w:t>(Source: Author Review 5)</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`v0.11`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Applied 3 minor edits: preserved idempotent retry ordering for Change Requests, exact source baseline model comment, and precise DEMO-01 acceptance criteria wording. </w:t>
            </w:r>
            <w:r>
              <w:rPr>
                <w:rFonts w:ascii="Calibri" w:hAnsi="Calibri"/>
                <w:i/>
                <w:color w:val="24292E"/>
                <w:sz w:val="19"/>
              </w:rPr>
              <w:t>(Source: Author Review 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`v1.00`</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 / Stakeholders</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[OFFICIAL BASELINE PROMOTION]</w:t>
            </w:r>
            <w:r>
              <w:rPr>
                <w:rFonts w:ascii="Calibri" w:hAnsi="Calibri"/>
                <w:color w:val="24292E"/>
                <w:sz w:val="19"/>
              </w:rPr>
              <w:t xml:space="preserve"> </w:t>
            </w:r>
            <w:r>
              <w:rPr>
                <w:rFonts w:ascii="Calibri" w:hAnsi="Calibri"/>
                <w:b/>
                <w:color w:val="24292E"/>
                <w:sz w:val="19"/>
              </w:rPr>
              <w:t>Approved Decision Baseline</w:t>
            </w:r>
            <w:r>
              <w:rPr>
                <w:rFonts w:ascii="Calibri" w:hAnsi="Calibri"/>
                <w:color w:val="24292E"/>
                <w:sz w:val="19"/>
              </w:rPr>
              <w:t>: Formally promoted following unconditional author approval (</w:t>
            </w:r>
            <w:r>
              <w:rPr>
                <w:rFonts w:ascii="Consolas" w:hAnsi="Consolas"/>
                <w:color w:val="032F62"/>
                <w:sz w:val="18"/>
              </w:rPr>
              <w:t>SPH-12-FSD-v0.11-Final-Approval-for-Stakeholder-Sign-Off-ID (1).docx</w:t>
            </w:r>
            <w:r>
              <w:rPr>
                <w:rFonts w:ascii="Calibri" w:hAnsi="Calibri"/>
                <w:color w:val="24292E"/>
                <w:sz w:val="19"/>
              </w:rPr>
              <w:t xml:space="preserve">). All 21 architectural decisions, schema models, invariant rules, and the 12 FSD Traceability Matrix locked for Explore Phase delivery cascading. </w:t>
            </w:r>
            <w:r>
              <w:rPr>
                <w:rFonts w:ascii="Calibri" w:hAnsi="Calibri"/>
                <w:i/>
                <w:color w:val="24292E"/>
                <w:sz w:val="19"/>
              </w:rPr>
              <w:t>(Source: Final Author &amp; Stakeholder Sign-Off)</w:t>
            </w:r>
          </w:p>
        </w:tc>
        <w:tc>
          <w:tcPr>
            <w:tcW w:type="dxa" w:w="1872"/>
            <w:shd w:fill="F8F9FA"/>
            <w:tcMar>
              <w:top w:w="100" w:type="dxa"/>
              <w:bottom w:w="100" w:type="dxa"/>
              <w:left w:w="150" w:type="dxa"/>
              <w:right w:w="150" w:type="dxa"/>
            </w:tcMar>
          </w:tcPr>
          <w:p>
            <w:pPr>
              <w:spacing w:before="40" w:after="40"/>
            </w:pPr>
            <w:r>
              <w:rPr>
                <w:rFonts w:ascii="Calibri" w:hAnsi="Calibri"/>
                <w:b/>
                <w:color w:val="24292E"/>
                <w:sz w:val="19"/>
              </w:rPr>
              <w:t>APPROVED BASELINE</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`v1.01`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 / Stakeholders</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[14-FSD BASELINE EXTENSION]</w:t>
            </w:r>
            <w:r>
              <w:rPr>
                <w:rFonts w:ascii="Calibri" w:hAnsi="Calibri"/>
                <w:color w:val="24292E"/>
                <w:sz w:val="19"/>
              </w:rPr>
              <w:t xml:space="preserve"> </w:t>
            </w:r>
            <w:r>
              <w:rPr>
                <w:rFonts w:ascii="Calibri" w:hAnsi="Calibri"/>
                <w:b/>
                <w:color w:val="24292E"/>
                <w:sz w:val="19"/>
              </w:rPr>
              <w:t>Approved 14-FSD Decision Baseline</w:t>
            </w:r>
            <w:r>
              <w:rPr>
                <w:rFonts w:ascii="Calibri" w:hAnsi="Calibri"/>
                <w:color w:val="24292E"/>
                <w:sz w:val="19"/>
              </w:rPr>
              <w:t xml:space="preserve">: Incorporated DEMO-13 (Decisions 13.1–13.7: RevRec Dual-Timeline, Performance Obligation Triggers, Immutable Reversal-Based Entries, Controlled Legacy Backfill, Reviewed Xero CSV Export) and DEMO-14 (Decisions 14.1–14.7: Single Shared Activation Evaluator, Effective-State Validation, Approved Commercial Snapshot, Explicit ProjectKind Matrix, Canonical Primary BU, Atomic Activation). Expanded FSD Traceability Matrix from 12 to 14 FSDs. </w:t>
            </w:r>
            <w:r>
              <w:rPr>
                <w:rFonts w:ascii="Calibri" w:hAnsi="Calibri"/>
                <w:i/>
                <w:color w:val="24292E"/>
                <w:sz w:val="19"/>
              </w:rPr>
              <w:t>(Source: SPH-DEMO-13-14-Baseline-Rekomendasi-dan-Klarifikasi-ID.docx)</w:t>
            </w:r>
          </w:p>
        </w:tc>
        <w:tc>
          <w:tcPr>
            <w:tcW w:type="dxa" w:w="1872"/>
            <w:shd w:fill="FFFFFF"/>
            <w:tcMar>
              <w:top w:w="100" w:type="dxa"/>
              <w:bottom w:w="100" w:type="dxa"/>
              <w:left w:w="150" w:type="dxa"/>
              <w:right w:w="150" w:type="dxa"/>
            </w:tcMar>
          </w:tcPr>
          <w:p>
            <w:pPr>
              <w:spacing w:before="40" w:after="40"/>
            </w:pPr>
            <w:r>
              <w:rPr>
                <w:rFonts w:ascii="Calibri" w:hAnsi="Calibri"/>
                <w:b/>
                <w:color w:val="24292E"/>
                <w:sz w:val="19"/>
              </w:rPr>
              <w:t>APPROVED BASELINE</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1. Executive Summary &amp; Context</w:t>
      </w:r>
    </w:p>
    <w:p>
      <w:pPr>
        <w:spacing w:before="40" w:after="80" w:line="276" w:lineRule="auto"/>
      </w:pPr>
      <w:r>
        <w:rPr>
          <w:rFonts w:ascii="Calibri" w:hAnsi="Calibri"/>
          <w:color w:val="24292E"/>
          <w:sz w:val="22"/>
        </w:rPr>
        <w:t xml:space="preserve">This artifact establishes the formal technical baseline, </w:t>
      </w:r>
      <w:r>
        <w:rPr>
          <w:rFonts w:ascii="Calibri" w:hAnsi="Calibri"/>
          <w:b/>
          <w:color w:val="24292E"/>
          <w:sz w:val="22"/>
        </w:rPr>
        <w:t>approved business decisions</w:t>
      </w:r>
      <w:r>
        <w:rPr>
          <w:rFonts w:ascii="Calibri" w:hAnsi="Calibri"/>
          <w:color w:val="24292E"/>
          <w:sz w:val="22"/>
        </w:rPr>
        <w:t xml:space="preserve">, </w:t>
      </w:r>
      <w:r>
        <w:rPr>
          <w:rFonts w:ascii="Calibri" w:hAnsi="Calibri"/>
          <w:b/>
          <w:color w:val="24292E"/>
          <w:sz w:val="22"/>
        </w:rPr>
        <w:t>resolved operational ambiguities</w:t>
      </w:r>
      <w:r>
        <w:rPr>
          <w:rFonts w:ascii="Calibri" w:hAnsi="Calibri"/>
          <w:color w:val="24292E"/>
          <w:sz w:val="22"/>
        </w:rPr>
        <w:t xml:space="preserve">, </w:t>
      </w:r>
      <w:r>
        <w:rPr>
          <w:rFonts w:ascii="Calibri" w:hAnsi="Calibri"/>
          <w:b/>
          <w:color w:val="24292E"/>
          <w:sz w:val="22"/>
        </w:rPr>
        <w:t>reference implementation specifications</w:t>
      </w:r>
      <w:r>
        <w:rPr>
          <w:rFonts w:ascii="Calibri" w:hAnsi="Calibri"/>
          <w:color w:val="24292E"/>
          <w:sz w:val="22"/>
        </w:rPr>
        <w:t xml:space="preserve">, and a </w:t>
      </w:r>
      <w:r>
        <w:rPr>
          <w:rFonts w:ascii="Calibri" w:hAnsi="Calibri"/>
          <w:b/>
          <w:color w:val="24292E"/>
          <w:sz w:val="22"/>
        </w:rPr>
        <w:t>comprehensive FSD traceability matrix</w:t>
      </w:r>
      <w:r>
        <w:rPr>
          <w:rFonts w:ascii="Calibri" w:hAnsi="Calibri"/>
          <w:color w:val="24292E"/>
          <w:sz w:val="22"/>
        </w:rPr>
        <w:t xml:space="preserve"> for all </w:t>
      </w:r>
      <w:r>
        <w:rPr>
          <w:rFonts w:ascii="Calibri" w:hAnsi="Calibri"/>
          <w:b/>
          <w:color w:val="24292E"/>
          <w:sz w:val="22"/>
        </w:rPr>
        <w:t>21 Open Business &amp; Architectural Decisions</w:t>
      </w:r>
      <w:r>
        <w:rPr>
          <w:rFonts w:ascii="Calibri" w:hAnsi="Calibri"/>
          <w:color w:val="24292E"/>
          <w:sz w:val="22"/>
        </w:rPr>
        <w:t xml:space="preserve"> identified in Section 16 of the </w:t>
      </w:r>
      <w:r>
        <w:rPr>
          <w:rFonts w:ascii="Calibri" w:hAnsi="Calibri"/>
          <w:i/>
          <w:color w:val="24292E"/>
          <w:sz w:val="22"/>
        </w:rPr>
        <w:t>Master Recommendation Document (v2.0, 30 August 2026)</w:t>
      </w:r>
      <w:r>
        <w:rPr>
          <w:rFonts w:ascii="Calibri" w:hAnsi="Calibri"/>
          <w:color w:val="24292E"/>
          <w:sz w:val="22"/>
        </w:rPr>
        <w:t xml:space="preserve"> for the 14 WRICEF Functional Specification Documents (</w:t>
      </w:r>
      <w:r>
        <w:rPr>
          <w:rFonts w:ascii="Consolas" w:hAnsi="Consolas"/>
          <w:color w:val="032F62"/>
          <w:sz w:val="21"/>
        </w:rPr>
        <w:t>DEMO-01</w:t>
      </w:r>
      <w:r>
        <w:rPr>
          <w:rFonts w:ascii="Calibri" w:hAnsi="Calibri"/>
          <w:color w:val="24292E"/>
          <w:sz w:val="22"/>
        </w:rPr>
        <w:t xml:space="preserve"> through </w:t>
      </w:r>
      <w:r>
        <w:rPr>
          <w:rFonts w:ascii="Consolas" w:hAnsi="Consolas"/>
          <w:color w:val="032F62"/>
          <w:sz w:val="21"/>
        </w:rPr>
        <w:t>DEMO-14</w:t>
      </w:r>
      <w:r>
        <w:rPr>
          <w:rFonts w:ascii="Calibri" w:hAnsi="Calibri"/>
          <w:color w:val="24292E"/>
          <w:sz w:val="22"/>
        </w:rPr>
        <w:t>).</w:t>
      </w:r>
    </w:p>
    <w:p>
      <w:pPr>
        <w:spacing w:before="40" w:after="80" w:line="276" w:lineRule="auto"/>
      </w:pPr>
      <w:r>
        <w:rPr>
          <w:rFonts w:ascii="Calibri" w:hAnsi="Calibri"/>
          <w:color w:val="24292E"/>
          <w:sz w:val="22"/>
        </w:rPr>
        <w:t xml:space="preserve">It strictly fulfills all requirements from </w:t>
      </w:r>
      <w:r>
        <w:rPr>
          <w:rFonts w:ascii="Calibri" w:hAnsi="Calibri"/>
          <w:b/>
          <w:color w:val="24292E"/>
          <w:sz w:val="22"/>
        </w:rPr>
        <w:t>Author Final Sign-Off</w:t>
      </w:r>
      <w:r>
        <w:rPr>
          <w:rFonts w:ascii="Calibri" w:hAnsi="Calibri"/>
          <w:color w:val="24292E"/>
          <w:sz w:val="22"/>
        </w:rPr>
        <w:t xml:space="preserve"> (</w:t>
      </w:r>
      <w:r>
        <w:rPr>
          <w:rFonts w:ascii="Consolas" w:hAnsi="Consolas"/>
          <w:color w:val="032F62"/>
          <w:sz w:val="21"/>
        </w:rPr>
        <w:t>SPH-12-FSD-v0.11-Final-Approval-for-Stakeholder-Sign-Off-ID (1).docx</w:t>
      </w:r>
      <w:r>
        <w:rPr>
          <w:rFonts w:ascii="Calibri" w:hAnsi="Calibri"/>
          <w:color w:val="24292E"/>
          <w:sz w:val="22"/>
        </w:rPr>
        <w:t xml:space="preserve">), establishing a crystal-clear distinction between the </w:t>
      </w:r>
      <w:r>
        <w:rPr>
          <w:rFonts w:ascii="Calibri" w:hAnsi="Calibri"/>
          <w:b/>
          <w:color w:val="24292E"/>
          <w:sz w:val="22"/>
        </w:rPr>
        <w:t>source baseline in the referenced codebase (`c7080af`)</w:t>
      </w:r>
      <w:r>
        <w:rPr>
          <w:rFonts w:ascii="Calibri" w:hAnsi="Calibri"/>
          <w:color w:val="24292E"/>
          <w:sz w:val="22"/>
        </w:rPr>
        <w:t xml:space="preserve"> and the </w:t>
      </w:r>
      <w:r>
        <w:rPr>
          <w:rFonts w:ascii="Calibri" w:hAnsi="Calibri"/>
          <w:b/>
          <w:color w:val="24292E"/>
          <w:sz w:val="22"/>
        </w:rPr>
        <w:t>approved target design architecture</w:t>
      </w:r>
      <w:r>
        <w:rPr>
          <w:rFonts w:ascii="Calibri" w:hAnsi="Calibri"/>
          <w:color w:val="24292E"/>
          <w:sz w:val="22"/>
        </w:rPr>
        <w:t>.</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flowchart LR</w:t>
              <w:br/>
              <w:t xml:space="preserve">    subgraph Intake ["1. Commercial Intake &amp; Lineage"]</w:t>
              <w:br/>
              <w:t xml:space="preserve">        direction TB</w:t>
              <w:br/>
              <w:t xml:space="preserve">        D01["DEMO-01: Industry Sector (Normalized + Partial Index)"]</w:t>
              <w:br/>
              <w:t xml:space="preserve">        D03["DEMO-03: Client Contacts (Point-in-Time Snapshot)"]</w:t>
              <w:br/>
              <w:t xml:space="preserve">        D04["DEMO-04: BU &amp; Principal Mapping (MANAGEMENT Authority)"]</w:t>
              <w:br/>
              <w:t xml:space="preserve">        D05["DEMO-05: Deal Lineage &amp; NRR (Project-Only Anchor)"]</w:t>
              <w:br/>
              <w:t xml:space="preserve">        D06["DEMO-06: Atomic Lead ID (Same-Tx with Lead.create)"]</w:t>
              <w:br/>
              <w:t xml:space="preserve">    end</w:t>
              <w:br/>
              <w:br/>
              <w:t xml:space="preserve">    subgraph Governance ["2. Presales &amp; Margin Governance"]</w:t>
              <w:br/>
              <w:t xml:space="preserve">        direction TB</w:t>
              <w:br/>
              <w:t xml:space="preserve">        D09["DEMO-09: Opt-In Presales CAC (Isolated from Delivery EVM)"]</w:t>
              <w:br/>
              <w:t xml:space="preserve">        D08["DEMO-08: Stage Probability Policy (Audited Overrides)"]</w:t>
              <w:br/>
              <w:t xml:space="preserve">        D02["DEMO-02: Offering Catalog Snapshots (Immutable Lines)"]</w:t>
              <w:br/>
              <w:t xml:space="preserve">        D07["DEMO-07: Inbound CRM Sync (PipedriveProductMapping)"]</w:t>
              <w:br/>
              <w:t xml:space="preserve">        D10["DEMO-10: Versioned Finance Gate (Decimal VAT Snapshot)"]</w:t>
              <w:br/>
              <w:t xml:space="preserve">    end</w:t>
              <w:br/>
              <w:br/>
              <w:t xml:space="preserve">    subgraph Delivery ["3. Delivery &amp; Baseline Control"]</w:t>
              <w:br/>
              <w:t xml:space="preserve">        direction TB</w:t>
              <w:br/>
              <w:t xml:space="preserve">        D11["DEMO-11: Baseline Auto-Sync (ACTIVATION vs CR + Partial Index)"]</w:t>
              <w:br/>
              <w:t xml:space="preserve">        D12P1["DEMO-12 Phase 1: Hard Lock (BUILT in c7080af)"]</w:t>
              <w:br/>
              <w:t xml:space="preserve">        D12P2["DEMO-12 Phase 2: Dual Approval Workflow (TARGET DESIGN)"]</w:t>
              <w:br/>
              <w:t xml:space="preserve">    end</w:t>
              <w:br/>
              <w:br/>
              <w:t xml:space="preserve">    subgraph ExecutionControl ["4. RevRec &amp; Activation Integrity"]</w:t>
              <w:br/>
              <w:t xml:space="preserve">        direction TB</w:t>
              <w:br/>
              <w:t xml:space="preserve">        D13["DEMO-13: RevRec Dual-Timeline (PSAK 115, Ledger Reversals, Xero Export)"]</w:t>
              <w:br/>
              <w:t xml:space="preserve">        D14["DEMO-14: Project Activation Hard-Gate (Effective State, Kind Matrix, Atomic Baseline)"]</w:t>
              <w:br/>
              <w:t xml:space="preserve">    end</w:t>
              <w:br/>
              <w:br/>
              <w:t xml:space="preserve">    Intake --&gt; Governance --&gt; Delivery --&gt; ExecutionControl</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2. Approved Decisions, Resolved Ambiguities &amp; Technical Specifications (Questions 1 to 30)</w:t>
      </w:r>
    </w:p>
    <w:p>
      <w:pPr>
        <w:spacing w:before="120" w:after="120"/>
        <w:pBdr>
          <w:bottom w:val="single" w:sz="6" w:space="1" w:color="E1E4E8"/>
        </w:pBdr>
      </w:pPr>
    </w:p>
    <w:p>
      <w:pPr>
        <w:keepNext/>
        <w:spacing w:before="200" w:after="80"/>
      </w:pPr>
      <w:r>
        <w:rPr>
          <w:rFonts w:ascii="Calibri" w:hAnsi="Calibri"/>
          <w:b/>
          <w:color w:val="1F4E79"/>
          <w:sz w:val="26"/>
        </w:rPr>
        <w:t>🏷️ Category 1: Industry Sector Classification (</w:t>
      </w:r>
      <w:r>
        <w:rPr>
          <w:rFonts w:ascii="Consolas" w:hAnsi="Consolas"/>
          <w:color w:val="032F62"/>
          <w:sz w:val="25"/>
        </w:rPr>
        <w:t>DEMO-01</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 Catalog Governance &amp; Hierarchy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"Siapa pemilik catalog sektor dan apakah hierarchy/sub-sector diperlukan?"</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owns the sector catalog, and is a hierarchy/sub-sector structure required?"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Only Admins can manage the master list of sectors. We start with a clean flat list of sectors, but design the database table with an optional parent ID so sub-sectors can be added later without schema migrations.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Centralize catalog administration exclusively under </w:t>
      </w:r>
      <w:r>
        <w:rPr>
          <w:rFonts w:ascii="Consolas" w:hAnsi="Consolas"/>
          <w:color w:val="032F62"/>
          <w:sz w:val="21"/>
        </w:rPr>
        <w:t>SITE_ADMIN</w:t>
      </w:r>
      <w:r>
        <w:rPr>
          <w:rFonts w:ascii="Calibri" w:hAnsi="Calibri"/>
          <w:color w:val="24292E"/>
          <w:sz w:val="22"/>
        </w:rPr>
        <w:t xml:space="preserve"> and </w:t>
      </w:r>
      <w:r>
        <w:rPr>
          <w:rFonts w:ascii="Consolas" w:hAnsi="Consolas"/>
          <w:color w:val="032F62"/>
          <w:sz w:val="21"/>
        </w:rPr>
        <w:t>MANAGEMENT</w:t>
      </w:r>
      <w:r>
        <w:rPr>
          <w:rFonts w:ascii="Calibri" w:hAnsi="Calibri"/>
          <w:color w:val="24292E"/>
          <w:sz w:val="22"/>
        </w:rPr>
        <w:t xml:space="preserve"> roles. Implement a flat operational list of sectors for initial go-live while incorporating a self-referencing </w:t>
      </w:r>
      <w:r>
        <w:rPr>
          <w:rFonts w:ascii="Consolas" w:hAnsi="Consolas"/>
          <w:color w:val="032F62"/>
          <w:sz w:val="21"/>
        </w:rPr>
        <w:t>parentSectorId</w:t>
      </w:r>
      <w:r>
        <w:rPr>
          <w:rFonts w:ascii="Calibri" w:hAnsi="Calibri"/>
          <w:color w:val="24292E"/>
          <w:sz w:val="22"/>
        </w:rPr>
        <w:t xml:space="preserve"> column in the database model. </w:t>
      </w:r>
      <w:r>
        <w:rPr>
          <w:rFonts w:ascii="Calibri" w:hAnsi="Calibri"/>
          <w:i/>
          <w:color w:val="24292E"/>
          <w:sz w:val="22"/>
        </w:rPr>
        <w:t>(Source: Master Rec Doc Section 16 &amp; Author Review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Ungoverned sector creation leads to messy duplicates (e.g., "Fintech" vs "Financial Technology"). Building the parent-child relationship into the data model now allows future sub-sector rollouts without disruptive database migrations.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If an admin creates sub-sectors in the future (e.g. </w:t>
      </w:r>
      <w:r>
        <w:rPr>
          <w:rFonts w:ascii="Consolas" w:hAnsi="Consolas"/>
          <w:color w:val="032F62"/>
          <w:sz w:val="20"/>
        </w:rPr>
        <w:t>Financial Services</w:t>
      </w:r>
      <w:r>
        <w:rPr>
          <w:rFonts w:ascii="Calibri" w:hAnsi="Calibri"/>
          <w:color w:val="24292E"/>
          <w:sz w:val="21"/>
        </w:rPr>
        <w:t xml:space="preserve"> $\rightarrow$ </w:t>
      </w:r>
      <w:r>
        <w:rPr>
          <w:rFonts w:ascii="Consolas" w:hAnsi="Consolas"/>
          <w:color w:val="032F62"/>
          <w:sz w:val="20"/>
        </w:rPr>
        <w:t>Digital Banking</w:t>
      </w:r>
      <w:r>
        <w:rPr>
          <w:rFonts w:ascii="Calibri" w:hAnsi="Calibri"/>
          <w:color w:val="24292E"/>
          <w:sz w:val="21"/>
        </w:rPr>
        <w:t>), can users select both a parent and child sector on the same lead?</w:t>
      </w:r>
    </w:p>
    <w:p>
      <w:pPr>
        <w:pStyle w:val="ListBullet"/>
        <w:spacing w:before="20" w:after="40"/>
        <w:ind w:left="720"/>
      </w:pPr>
      <w:r>
        <w:rPr>
          <w:rFonts w:ascii="Calibri" w:hAnsi="Calibri"/>
          <w:i/>
          <w:color w:val="24292E"/>
          <w:sz w:val="21"/>
        </w:rPr>
        <w:t>Resolved Policy</w:t>
      </w:r>
      <w:r>
        <w:rPr>
          <w:rFonts w:ascii="Calibri" w:hAnsi="Calibri"/>
          <w:color w:val="24292E"/>
          <w:sz w:val="21"/>
        </w:rPr>
        <w:t>: If a sub-sector exists, selecting the child automatically tags the deal with the parent for roll-up reporting. Users cannot create redundant double entries for both parent and child.</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Schema DDL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model IndustrySector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code           String           @unique // e.g. "FIN_BANKING", "GOV_PUBLIC"</w:t>
      </w:r>
    </w:p>
    <w:p>
      <w:pPr>
        <w:spacing w:before="40" w:after="80" w:line="276" w:lineRule="auto"/>
      </w:pPr>
      <w:r>
        <w:rPr>
          <w:rFonts w:ascii="Calibri" w:hAnsi="Calibri"/>
          <w:color w:val="24292E"/>
          <w:sz w:val="22"/>
        </w:rPr>
        <w:t xml:space="preserve">      name           String           // e.g. "Banking &amp; Financial Services"</w:t>
      </w:r>
    </w:p>
    <w:p>
      <w:pPr>
        <w:spacing w:before="40" w:after="80" w:line="276" w:lineRule="auto"/>
      </w:pPr>
      <w:r>
        <w:rPr>
          <w:rFonts w:ascii="Calibri" w:hAnsi="Calibri"/>
          <w:color w:val="24292E"/>
          <w:sz w:val="22"/>
        </w:rPr>
        <w:t xml:space="preserve">      description    String?</w:t>
      </w:r>
    </w:p>
    <w:p>
      <w:pPr>
        <w:spacing w:before="40" w:after="80" w:line="276" w:lineRule="auto"/>
      </w:pPr>
      <w:r>
        <w:rPr>
          <w:rFonts w:ascii="Calibri" w:hAnsi="Calibri"/>
          <w:color w:val="24292E"/>
          <w:sz w:val="22"/>
        </w:rPr>
        <w:t xml:space="preserve">      isActive       Boolean          @default(true)</w:t>
      </w:r>
    </w:p>
    <w:p>
      <w:pPr>
        <w:spacing w:before="40" w:after="80" w:line="276" w:lineRule="auto"/>
      </w:pPr>
      <w:r>
        <w:rPr>
          <w:rFonts w:ascii="Calibri" w:hAnsi="Calibri"/>
          <w:color w:val="24292E"/>
          <w:sz w:val="22"/>
        </w:rPr>
        <w:t xml:space="preserve">      sortOrder      Int              @default(0)</w:t>
      </w:r>
    </w:p>
    <w:p>
      <w:pPr>
        <w:spacing w:before="40" w:after="80" w:line="276" w:lineRule="auto"/>
      </w:pPr>
      <w:r>
        <w:rPr>
          <w:rFonts w:ascii="Calibri" w:hAnsi="Calibri"/>
          <w:color w:val="24292E"/>
          <w:sz w:val="22"/>
        </w:rPr>
        <w:t xml:space="preserve">      parentSectorId String?</w:t>
      </w:r>
    </w:p>
    <w:p>
      <w:pPr>
        <w:spacing w:before="40" w:after="80" w:line="276" w:lineRule="auto"/>
      </w:pPr>
      <w:r>
        <w:rPr>
          <w:rFonts w:ascii="Calibri" w:hAnsi="Calibri"/>
          <w:color w:val="24292E"/>
          <w:sz w:val="22"/>
        </w:rPr>
        <w:t xml:space="preserve">      parentSector   IndustrySector?  @relation("SectorHierarchy", fields: [parentSectorId], references: [id])</w:t>
      </w:r>
    </w:p>
    <w:p>
      <w:pPr>
        <w:spacing w:before="40" w:after="80" w:line="276" w:lineRule="auto"/>
      </w:pPr>
      <w:r>
        <w:rPr>
          <w:rFonts w:ascii="Calibri" w:hAnsi="Calibri"/>
          <w:color w:val="24292E"/>
          <w:sz w:val="22"/>
        </w:rPr>
        <w:t xml:space="preserve">      subSectors     IndustrySector[] @relation("SectorHierarchy")</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updatedAt      DateTime         @updatedAt</w:t>
      </w:r>
    </w:p>
    <w:p>
      <w:pPr>
        <w:spacing w:before="40" w:after="80" w:line="276" w:lineRule="auto"/>
      </w:pPr>
      <w:r>
        <w:rPr>
          <w:rFonts w:ascii="Calibri" w:hAnsi="Calibri"/>
          <w:color w:val="24292E"/>
          <w:sz w:val="22"/>
        </w:rPr>
        <w:t xml:space="preserve">      leadSectors    LeadSector[]</w:t>
      </w:r>
    </w:p>
    <w:p>
      <w:pPr>
        <w:spacing w:before="40" w:after="80" w:line="276" w:lineRule="auto"/>
      </w:pPr>
      <w:r>
        <w:rPr>
          <w:rFonts w:ascii="Calibri" w:hAnsi="Calibri"/>
          <w:color w:val="24292E"/>
          <w:sz w:val="22"/>
        </w:rPr>
        <w:t xml:space="preserve">      clientSectors  ClientSector[]</w:t>
      </w:r>
    </w:p>
    <w:p>
      <w:pPr>
        <w:spacing w:before="40" w:after="80" w:line="276" w:lineRule="auto"/>
      </w:pPr>
      <w:r>
        <w:rPr>
          <w:rFonts w:ascii="Calibri" w:hAnsi="Calibri"/>
          <w:color w:val="24292E"/>
          <w:sz w:val="22"/>
        </w:rPr>
        <w:t xml:space="preserve">      @@index([isActive, sortOrder])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2: Mandatory Stage Enforcement &amp; Replacement Diff Validation Logic</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"Pada stage apa 1–5 sektor menjadi mandatory?"</w:t>
      </w:r>
    </w:p>
    <w:p>
      <w:pPr>
        <w:pStyle w:val="ListBullet"/>
        <w:spacing w:before="20" w:after="40"/>
        <w:ind w:left="360"/>
      </w:pPr>
      <w:r>
        <w:rPr>
          <w:rFonts w:ascii="Calibri" w:hAnsi="Calibri"/>
          <w:b/>
          <w:color w:val="24292E"/>
          <w:sz w:val="21"/>
        </w:rPr>
        <w:t>English Translation</w:t>
      </w:r>
      <w:r>
        <w:rPr>
          <w:rFonts w:ascii="Calibri" w:hAnsi="Calibri"/>
          <w:color w:val="24292E"/>
          <w:sz w:val="21"/>
        </w:rPr>
        <w:t>: "At what stage does selecting 1–5 sectors become mandatory?"</w:t>
      </w:r>
    </w:p>
    <w:p>
      <w:pPr>
        <w:pStyle w:val="ListBullet"/>
        <w:spacing w:before="20" w:after="40"/>
        <w:ind w:left="360"/>
      </w:pPr>
      <w:r>
        <w:rPr>
          <w:rFonts w:ascii="Calibri" w:hAnsi="Calibri"/>
          <w:b/>
          <w:color w:val="24292E"/>
          <w:sz w:val="21"/>
        </w:rPr>
        <w:t>In the Simplest Terms</w:t>
      </w:r>
      <w:r>
        <w:rPr>
          <w:rFonts w:ascii="Calibri" w:hAnsi="Calibri"/>
          <w:color w:val="24292E"/>
          <w:sz w:val="21"/>
        </w:rPr>
        <w:t>: Don't make sectors mandatory when quickly creating a draft lead. Make it mandatory (1–5 sectors) when advancing to qualified or proposal. On replacement updates, keeping existing inactive sectors is permitted, but newly added sectors must be active.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Aligned Inactive-Sector Validation Invariant</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i/>
          <w:color w:val="24292E"/>
          <w:sz w:val="22"/>
        </w:rPr>
        <w:t>"A Lead must have between 1 and 5 sector assignments before advancing to `QUALIFIED` or `PROPOSAL` stage. Newly added assignments must reference active sectors (`isActive = true`), while existing inactive assignments remain valid for historical classification until a defined business reclassification trigger occurs."</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Diff-Based Validation Rule</w:t>
      </w:r>
      <w:r>
        <w:rPr>
          <w:rFonts w:ascii="Calibri" w:hAnsi="Calibri"/>
          <w:color w:val="24292E"/>
          <w:sz w:val="22"/>
        </w:rPr>
        <w:t>: On full replacement (</w:t>
      </w:r>
      <w:r>
        <w:rPr>
          <w:rFonts w:ascii="Consolas" w:hAnsi="Consolas"/>
          <w:color w:val="032F62"/>
          <w:sz w:val="21"/>
        </w:rPr>
        <w:t>PUT /api/leads/:id/sectors</w:t>
      </w:r>
      <w:r>
        <w:rPr>
          <w:rFonts w:ascii="Calibri" w:hAnsi="Calibri"/>
          <w:color w:val="24292E"/>
          <w:sz w:val="22"/>
        </w:rPr>
        <w:t>), the system calculates the set difference (</w:t>
      </w:r>
      <w:r>
        <w:rPr>
          <w:rFonts w:ascii="Consolas" w:hAnsi="Consolas"/>
          <w:color w:val="032F62"/>
          <w:sz w:val="21"/>
        </w:rPr>
        <w:t>requestedIds \ existingIds</w:t>
      </w:r>
      <w:r>
        <w:rPr>
          <w:rFonts w:ascii="Calibri" w:hAnsi="Calibri"/>
          <w:color w:val="24292E"/>
          <w:sz w:val="22"/>
        </w:rPr>
        <w:t xml:space="preserve">). Only newly added sector IDs must have </w:t>
      </w:r>
      <w:r>
        <w:rPr>
          <w:rFonts w:ascii="Consolas" w:hAnsi="Consolas"/>
          <w:color w:val="032F62"/>
          <w:sz w:val="21"/>
        </w:rPr>
        <w:t>isActive = true</w:t>
      </w:r>
      <w:r>
        <w:rPr>
          <w:rFonts w:ascii="Calibri" w:hAnsi="Calibri"/>
          <w:color w:val="24292E"/>
          <w:sz w:val="22"/>
        </w:rPr>
        <w:t xml:space="preserve">. </w:t>
      </w:r>
      <w:r>
        <w:rPr>
          <w:rFonts w:ascii="Calibri" w:hAnsi="Calibri"/>
          <w:i/>
          <w:color w:val="24292E"/>
          <w:sz w:val="22"/>
        </w:rPr>
        <w:t>(Source: Author Review 4 - Item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unexpected validation errors when updating a lead whose historical sector was subsequently retired in master data.</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Diff-Based Validation Logic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 Inside PUT /api/leads/:id/sectors or PATCH /api/leads/:id/stage</w:t>
      </w:r>
    </w:p>
    <w:p>
      <w:pPr>
        <w:spacing w:before="40" w:after="80" w:line="276" w:lineRule="auto"/>
      </w:pPr>
      <w:r>
        <w:rPr>
          <w:rFonts w:ascii="Calibri" w:hAnsi="Calibri"/>
          <w:color w:val="24292E"/>
          <w:sz w:val="22"/>
        </w:rPr>
        <w:t xml:space="preserve">    async function validateLeadSectorAssignments(</w:t>
      </w:r>
    </w:p>
    <w:p>
      <w:pPr>
        <w:spacing w:before="40" w:after="80" w:line="276" w:lineRule="auto"/>
      </w:pPr>
      <w:r>
        <w:rPr>
          <w:rFonts w:ascii="Calibri" w:hAnsi="Calibri"/>
          <w:color w:val="24292E"/>
          <w:sz w:val="22"/>
        </w:rPr>
        <w:t xml:space="preserve">      leadId: string, </w:t>
      </w:r>
    </w:p>
    <w:p>
      <w:pPr>
        <w:spacing w:before="40" w:after="80" w:line="276" w:lineRule="auto"/>
      </w:pPr>
      <w:r>
        <w:rPr>
          <w:rFonts w:ascii="Calibri" w:hAnsi="Calibri"/>
          <w:color w:val="24292E"/>
          <w:sz w:val="22"/>
        </w:rPr>
        <w:t xml:space="preserve">      requestedSectorIds: string[]</w:t>
      </w:r>
    </w:p>
    <w:p>
      <w:pPr>
        <w:spacing w:before="40" w:after="80" w:line="276" w:lineRule="auto"/>
      </w:pPr>
      <w:r>
        <w:rPr>
          <w:rFonts w:ascii="Calibri" w:hAnsi="Calibri"/>
          <w:color w:val="24292E"/>
          <w:sz w:val="22"/>
        </w:rPr>
        <w:t xml:space="preserve">    ) {</w:t>
      </w:r>
    </w:p>
    <w:p>
      <w:pPr>
        <w:spacing w:before="40" w:after="80" w:line="276" w:lineRule="auto"/>
      </w:pPr>
      <w:r>
        <w:rPr>
          <w:rFonts w:ascii="Calibri" w:hAnsi="Calibri"/>
          <w:color w:val="24292E"/>
          <w:sz w:val="22"/>
        </w:rPr>
        <w:t xml:space="preserve">      // 1. Normalize and deduplicate requested IDs</w:t>
      </w:r>
    </w:p>
    <w:p>
      <w:pPr>
        <w:spacing w:before="40" w:after="80" w:line="276" w:lineRule="auto"/>
      </w:pPr>
      <w:r>
        <w:rPr>
          <w:rFonts w:ascii="Calibri" w:hAnsi="Calibri"/>
          <w:color w:val="24292E"/>
          <w:sz w:val="22"/>
        </w:rPr>
        <w:t xml:space="preserve">      const normalizedRequestedIds = Array.from(new Set(requestedSectorIds));</w:t>
      </w:r>
    </w:p>
    <w:p>
      <w:pPr>
        <w:spacing w:before="40" w:after="80" w:line="276" w:lineRule="auto"/>
      </w:pPr>
      <w:r>
        <w:rPr>
          <w:rFonts w:ascii="Calibri" w:hAnsi="Calibri"/>
          <w:color w:val="24292E"/>
          <w:sz w:val="22"/>
        </w:rPr>
        <w:t xml:space="preserve">      // 2. Enforce 1..5 total sector assignment bounds</w:t>
      </w:r>
    </w:p>
    <w:p>
      <w:pPr>
        <w:spacing w:before="40" w:after="80" w:line="276" w:lineRule="auto"/>
      </w:pPr>
      <w:r>
        <w:rPr>
          <w:rFonts w:ascii="Calibri" w:hAnsi="Calibri"/>
          <w:color w:val="24292E"/>
          <w:sz w:val="22"/>
        </w:rPr>
        <w:t xml:space="preserve">      if (normalizedRequestedIds.length &lt; 1 || normalizedRequestedIds.length &gt; 5) {</w:t>
      </w:r>
    </w:p>
    <w:p>
      <w:pPr>
        <w:spacing w:before="40" w:after="80" w:line="276" w:lineRule="auto"/>
      </w:pPr>
      <w:r>
        <w:rPr>
          <w:rFonts w:ascii="Calibri" w:hAnsi="Calibri"/>
          <w:color w:val="24292E"/>
          <w:sz w:val="22"/>
        </w:rPr>
        <w:t xml:space="preserve">        throw new Error("SECTOR_VALIDATION_FAILED: Lead must have between 1 and 5 industry sectors assigned.");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3. Verify all requested IDs exist in database</w:t>
      </w:r>
    </w:p>
    <w:p>
      <w:pPr>
        <w:spacing w:before="40" w:after="80" w:line="276" w:lineRule="auto"/>
      </w:pPr>
      <w:r>
        <w:rPr>
          <w:rFonts w:ascii="Calibri" w:hAnsi="Calibri"/>
          <w:color w:val="24292E"/>
          <w:sz w:val="22"/>
        </w:rPr>
        <w:t xml:space="preserve">      const existingDbSectors = await prisma.industrySector.findMany({</w:t>
      </w:r>
    </w:p>
    <w:p>
      <w:pPr>
        <w:spacing w:before="40" w:after="80" w:line="276" w:lineRule="auto"/>
      </w:pPr>
      <w:r>
        <w:rPr>
          <w:rFonts w:ascii="Calibri" w:hAnsi="Calibri"/>
          <w:color w:val="24292E"/>
          <w:sz w:val="22"/>
        </w:rPr>
        <w:t xml:space="preserve">        where: { id: { in: normalizedRequestedIds } },</w:t>
      </w:r>
    </w:p>
    <w:p>
      <w:pPr>
        <w:spacing w:before="40" w:after="80" w:line="276" w:lineRule="auto"/>
      </w:pPr>
      <w:r>
        <w:rPr>
          <w:rFonts w:ascii="Calibri" w:hAnsi="Calibri"/>
          <w:color w:val="24292E"/>
          <w:sz w:val="22"/>
        </w:rPr>
        <w:t xml:space="preserve">        select: { id: true, isActive: true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(existingDbSectors.length !== normalizedRequestedIds.length) {</w:t>
      </w:r>
    </w:p>
    <w:p>
      <w:pPr>
        <w:spacing w:before="40" w:after="80" w:line="276" w:lineRule="auto"/>
      </w:pPr>
      <w:r>
        <w:rPr>
          <w:rFonts w:ascii="Calibri" w:hAnsi="Calibri"/>
          <w:color w:val="24292E"/>
          <w:sz w:val="22"/>
        </w:rPr>
        <w:t xml:space="preserve">        throw new Error("SECTOR_NOT_FOUND: One or more specified industry sector IDs do not exist.");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4. Fetch current assignments to compute newly added IDs</w:t>
      </w:r>
    </w:p>
    <w:p>
      <w:pPr>
        <w:spacing w:before="40" w:after="80" w:line="276" w:lineRule="auto"/>
      </w:pPr>
      <w:r>
        <w:rPr>
          <w:rFonts w:ascii="Calibri" w:hAnsi="Calibri"/>
          <w:color w:val="24292E"/>
          <w:sz w:val="22"/>
        </w:rPr>
        <w:t xml:space="preserve">      const currentAssignments = await prisma.leadSector.findMany({</w:t>
      </w:r>
    </w:p>
    <w:p>
      <w:pPr>
        <w:spacing w:before="40" w:after="80" w:line="276" w:lineRule="auto"/>
      </w:pPr>
      <w:r>
        <w:rPr>
          <w:rFonts w:ascii="Calibri" w:hAnsi="Calibri"/>
          <w:color w:val="24292E"/>
          <w:sz w:val="22"/>
        </w:rPr>
        <w:t xml:space="preserve">        where: { leadId },</w:t>
      </w:r>
    </w:p>
    <w:p>
      <w:pPr>
        <w:spacing w:before="40" w:after="80" w:line="276" w:lineRule="auto"/>
      </w:pPr>
      <w:r>
        <w:rPr>
          <w:rFonts w:ascii="Calibri" w:hAnsi="Calibri"/>
          <w:color w:val="24292E"/>
          <w:sz w:val="22"/>
        </w:rPr>
        <w:t xml:space="preserve">        select: { sectorId: true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const existingIds = new Set(currentAssignments.map(item =&gt; item.sectorId));</w:t>
      </w:r>
    </w:p>
    <w:p>
      <w:pPr>
        <w:spacing w:before="40" w:after="80" w:line="276" w:lineRule="auto"/>
      </w:pPr>
      <w:r>
        <w:rPr>
          <w:rFonts w:ascii="Calibri" w:hAnsi="Calibri"/>
          <w:color w:val="24292E"/>
          <w:sz w:val="22"/>
        </w:rPr>
        <w:t xml:space="preserve">      const newlyAddedIds = normalizedRequestedIds.filter(sectorId =&gt; !existingIds.has(sectorId));</w:t>
      </w:r>
    </w:p>
    <w:p>
      <w:pPr>
        <w:spacing w:before="40" w:after="80" w:line="276" w:lineRule="auto"/>
      </w:pPr>
      <w:r>
        <w:rPr>
          <w:rFonts w:ascii="Calibri" w:hAnsi="Calibri"/>
          <w:color w:val="24292E"/>
          <w:sz w:val="22"/>
        </w:rPr>
        <w:t xml:space="preserve">      // 5. Only newly added sectors are required to be active</w:t>
      </w:r>
    </w:p>
    <w:p>
      <w:pPr>
        <w:spacing w:before="40" w:after="80" w:line="276" w:lineRule="auto"/>
      </w:pPr>
      <w:r>
        <w:rPr>
          <w:rFonts w:ascii="Calibri" w:hAnsi="Calibri"/>
          <w:color w:val="24292E"/>
          <w:sz w:val="22"/>
        </w:rPr>
        <w:t xml:space="preserve">      if (newlyAddedIds.length &gt; 0) {</w:t>
      </w:r>
    </w:p>
    <w:p>
      <w:pPr>
        <w:spacing w:before="40" w:after="80" w:line="276" w:lineRule="auto"/>
      </w:pPr>
      <w:r>
        <w:rPr>
          <w:rFonts w:ascii="Calibri" w:hAnsi="Calibri"/>
          <w:color w:val="24292E"/>
          <w:sz w:val="22"/>
        </w:rPr>
        <w:t xml:space="preserve">        const inactiveNewSectors = existingDbSectors.filter(</w:t>
      </w:r>
    </w:p>
    <w:p>
      <w:pPr>
        <w:spacing w:before="40" w:after="80" w:line="276" w:lineRule="auto"/>
      </w:pPr>
      <w:r>
        <w:rPr>
          <w:rFonts w:ascii="Calibri" w:hAnsi="Calibri"/>
          <w:color w:val="24292E"/>
          <w:sz w:val="22"/>
        </w:rPr>
        <w:t xml:space="preserve">          s =&gt; newlyAddedIds.includes(s.id) &amp;&amp; !s.isActive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(inactiveNewSectors.length &gt; 0) {</w:t>
      </w:r>
    </w:p>
    <w:p>
      <w:pPr>
        <w:spacing w:before="40" w:after="80" w:line="276" w:lineRule="auto"/>
      </w:pPr>
      <w:r>
        <w:rPr>
          <w:rFonts w:ascii="Calibri" w:hAnsi="Calibri"/>
          <w:color w:val="24292E"/>
          <w:sz w:val="22"/>
        </w:rPr>
        <w:t xml:space="preserve">          throw new Error("CANNOT_ASSIGN_DEACTIVATED_SECTOR: Newly added sectors must be active.");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6. Existing historical inactive assignments pass without error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 xml:space="preserve">Question 3: Client Sectors Snapshot &amp; </w:t>
      </w:r>
      <w:r>
        <w:rPr>
          <w:rFonts w:ascii="Consolas" w:hAnsi="Consolas"/>
          <w:color w:val="032F62"/>
          <w:sz w:val="22"/>
        </w:rPr>
        <w:t>otherDetail</w:t>
      </w:r>
      <w:r>
        <w:rPr>
          <w:rFonts w:ascii="Calibri" w:hAnsi="Calibri"/>
          <w:color w:val="262626"/>
          <w:sz w:val="23"/>
        </w:rPr>
        <w:t xml:space="preserve"> Placement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Client sectors menjadi default snapshot atau live inheritance pada Lead?"</w:t>
      </w:r>
    </w:p>
    <w:p>
      <w:pPr>
        <w:pStyle w:val="ListBullet"/>
        <w:spacing w:before="20" w:after="40"/>
        <w:ind w:left="360"/>
      </w:pPr>
      <w:r>
        <w:rPr>
          <w:rFonts w:ascii="Calibri" w:hAnsi="Calibri"/>
          <w:b/>
          <w:color w:val="24292E"/>
          <w:sz w:val="21"/>
        </w:rPr>
        <w:t>English Translation</w:t>
      </w:r>
      <w:r>
        <w:rPr>
          <w:rFonts w:ascii="Calibri" w:hAnsi="Calibri"/>
          <w:color w:val="24292E"/>
          <w:sz w:val="21"/>
        </w:rPr>
        <w:t>: "Should Client sectors be a default point-in-time snapshot or live inheritance on the Lead?"</w:t>
      </w:r>
    </w:p>
    <w:p>
      <w:pPr>
        <w:pStyle w:val="ListBullet"/>
        <w:spacing w:before="20" w:after="40"/>
        <w:ind w:left="360"/>
      </w:pPr>
      <w:r>
        <w:rPr>
          <w:rFonts w:ascii="Calibri" w:hAnsi="Calibri"/>
          <w:b/>
          <w:color w:val="24292E"/>
          <w:sz w:val="21"/>
        </w:rPr>
        <w:t>In the Simplest Terms</w:t>
      </w:r>
      <w:r>
        <w:rPr>
          <w:rFonts w:ascii="Calibri" w:hAnsi="Calibri"/>
          <w:color w:val="24292E"/>
          <w:sz w:val="21"/>
        </w:rPr>
        <w:t>: It is a snapshot. When creating a lead, the system auto-fills the client's sectors as a starting suggestion, but sales can adjust them for that specific deal without altering the client's master record.</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Point-in-Time Snapshot</w:t>
      </w:r>
      <w:r>
        <w:rPr>
          <w:rFonts w:ascii="Calibri" w:hAnsi="Calibri"/>
          <w:color w:val="24292E"/>
          <w:sz w:val="22"/>
        </w:rPr>
        <w:t xml:space="preserve"> mechanism. When a Lead is created with a selected Client, the client's current sectors are copied into </w:t>
      </w:r>
      <w:r>
        <w:rPr>
          <w:rFonts w:ascii="Consolas" w:hAnsi="Consolas"/>
          <w:color w:val="032F62"/>
          <w:sz w:val="21"/>
        </w:rPr>
        <w:t>LeadSector</w:t>
      </w:r>
      <w:r>
        <w:rPr>
          <w:rFonts w:ascii="Calibri" w:hAnsi="Calibri"/>
          <w:color w:val="24292E"/>
          <w:sz w:val="22"/>
        </w:rPr>
        <w:t xml:space="preserve"> join records. Sales can customize sectors for the opportunity without mutating the master Client record.  </w:t>
      </w:r>
    </w:p>
    <w:p>
      <w:pPr>
        <w:spacing w:before="40" w:after="80" w:line="276" w:lineRule="auto"/>
      </w:pPr>
      <w:r>
        <w:rPr>
          <w:rFonts w:ascii="Calibri" w:hAnsi="Calibri"/>
          <w:color w:val="24292E"/>
          <w:sz w:val="22"/>
        </w:rPr>
        <w:t xml:space="preserve">  &gt; </w:t>
      </w:r>
      <w:r>
        <w:rPr>
          <w:rFonts w:ascii="Calibri" w:hAnsi="Calibri"/>
          <w:b/>
          <w:color w:val="24292E"/>
          <w:sz w:val="22"/>
        </w:rPr>
        <w:t>Decision 1.3b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Place </w:t>
      </w:r>
      <w:r>
        <w:rPr>
          <w:rFonts w:ascii="Consolas" w:hAnsi="Consolas"/>
          <w:color w:val="032F62"/>
          <w:sz w:val="21"/>
        </w:rPr>
        <w:t>otherDetail: String?</w:t>
      </w:r>
      <w:r>
        <w:rPr>
          <w:rFonts w:ascii="Calibri" w:hAnsi="Calibri"/>
          <w:color w:val="24292E"/>
          <w:sz w:val="22"/>
        </w:rPr>
        <w:t xml:space="preserve"> directly on the join tables (</w:t>
      </w:r>
      <w:r>
        <w:rPr>
          <w:rFonts w:ascii="Consolas" w:hAnsi="Consolas"/>
          <w:color w:val="032F62"/>
          <w:sz w:val="21"/>
        </w:rPr>
        <w:t>LeadSector</w:t>
      </w:r>
      <w:r>
        <w:rPr>
          <w:rFonts w:ascii="Calibri" w:hAnsi="Calibri"/>
          <w:color w:val="24292E"/>
          <w:sz w:val="22"/>
        </w:rPr>
        <w:t xml:space="preserve"> and </w:t>
      </w:r>
      <w:r>
        <w:rPr>
          <w:rFonts w:ascii="Consolas" w:hAnsi="Consolas"/>
          <w:color w:val="032F62"/>
          <w:sz w:val="21"/>
        </w:rPr>
        <w:t>ClientSector</w:t>
      </w:r>
      <w:r>
        <w:rPr>
          <w:rFonts w:ascii="Calibri" w:hAnsi="Calibri"/>
          <w:color w:val="24292E"/>
          <w:sz w:val="22"/>
        </w:rPr>
        <w:t xml:space="preserve">) rather than on the root </w:t>
      </w:r>
      <w:r>
        <w:rPr>
          <w:rFonts w:ascii="Consolas" w:hAnsi="Consolas"/>
          <w:color w:val="032F62"/>
          <w:sz w:val="21"/>
        </w:rPr>
        <w:t>Lead</w:t>
      </w:r>
      <w:r>
        <w:rPr>
          <w:rFonts w:ascii="Calibri" w:hAnsi="Calibri"/>
          <w:color w:val="24292E"/>
          <w:sz w:val="22"/>
        </w:rPr>
        <w:t xml:space="preserve"> table. </w:t>
      </w:r>
      <w:r>
        <w:rPr>
          <w:rFonts w:ascii="Calibri" w:hAnsi="Calibri"/>
          <w:i/>
          <w:color w:val="24292E"/>
          <w:sz w:val="22"/>
        </w:rPr>
        <w:t>(Source: Author Review 1 - Revision #8)</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A client company may operate in Banking, but a specific lead may be purely for their Healthcare insurance subsidiary. Placing </w:t>
      </w:r>
      <w:r>
        <w:rPr>
          <w:rFonts w:ascii="Consolas" w:hAnsi="Consolas"/>
          <w:color w:val="032F62"/>
          <w:sz w:val="21"/>
        </w:rPr>
        <w:t>otherDetail</w:t>
      </w:r>
      <w:r>
        <w:rPr>
          <w:rFonts w:ascii="Calibri" w:hAnsi="Calibri"/>
          <w:color w:val="24292E"/>
          <w:sz w:val="22"/>
        </w:rPr>
        <w:t xml:space="preserve"> on the join record ensures clean multi-tenant and multi-sector precision without root table ambiguity.</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Join Models with otherDetail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model ClientSector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clientId    String</w:t>
      </w:r>
    </w:p>
    <w:p>
      <w:pPr>
        <w:spacing w:before="40" w:after="80" w:line="276" w:lineRule="auto"/>
      </w:pPr>
      <w:r>
        <w:rPr>
          <w:rFonts w:ascii="Calibri" w:hAnsi="Calibri"/>
          <w:color w:val="24292E"/>
          <w:sz w:val="22"/>
        </w:rPr>
        <w:t xml:space="preserve">      client      Client         @relation(fields: [clientId], references: [id], onDelete: Cascade)</w:t>
      </w:r>
    </w:p>
    <w:p>
      <w:pPr>
        <w:spacing w:before="40" w:after="80" w:line="276" w:lineRule="auto"/>
      </w:pPr>
      <w:r>
        <w:rPr>
          <w:rFonts w:ascii="Calibri" w:hAnsi="Calibri"/>
          <w:color w:val="24292E"/>
          <w:sz w:val="22"/>
        </w:rPr>
        <w:t xml:space="preserve">      sectorId    String</w:t>
      </w:r>
    </w:p>
    <w:p>
      <w:pPr>
        <w:spacing w:before="40" w:after="80" w:line="276" w:lineRule="auto"/>
      </w:pPr>
      <w:r>
        <w:rPr>
          <w:rFonts w:ascii="Calibri" w:hAnsi="Calibri"/>
          <w:color w:val="24292E"/>
          <w:sz w:val="22"/>
        </w:rPr>
        <w:t xml:space="preserve">      sector      IndustrySector @relation(fields: [sectorId], references: [id])</w:t>
      </w:r>
    </w:p>
    <w:p>
      <w:pPr>
        <w:spacing w:before="40" w:after="80" w:line="276" w:lineRule="auto"/>
      </w:pPr>
      <w:r>
        <w:rPr>
          <w:rFonts w:ascii="Calibri" w:hAnsi="Calibri"/>
          <w:color w:val="24292E"/>
          <w:sz w:val="22"/>
        </w:rPr>
        <w:t xml:space="preserve">      isPrimary   Boolean        @default(false)</w:t>
      </w:r>
    </w:p>
    <w:p>
      <w:pPr>
        <w:spacing w:before="40" w:after="80" w:line="276" w:lineRule="auto"/>
      </w:pPr>
      <w:r>
        <w:rPr>
          <w:rFonts w:ascii="Calibri" w:hAnsi="Calibri"/>
          <w:color w:val="24292E"/>
          <w:sz w:val="22"/>
        </w:rPr>
        <w:t xml:space="preserve">      otherDetail String?        // Specific text when sector code == "OTHER"</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@@unique([clientId, sectorId])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LeadSector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leadId      String</w:t>
      </w:r>
    </w:p>
    <w:p>
      <w:pPr>
        <w:spacing w:before="40" w:after="80" w:line="276" w:lineRule="auto"/>
      </w:pPr>
      <w:r>
        <w:rPr>
          <w:rFonts w:ascii="Calibri" w:hAnsi="Calibri"/>
          <w:color w:val="24292E"/>
          <w:sz w:val="22"/>
        </w:rPr>
        <w:t xml:space="preserve">      lead        Lead           @relation(fields: [leadId], references: [id], onDelete: Cascade)</w:t>
      </w:r>
    </w:p>
    <w:p>
      <w:pPr>
        <w:spacing w:before="40" w:after="80" w:line="276" w:lineRule="auto"/>
      </w:pPr>
      <w:r>
        <w:rPr>
          <w:rFonts w:ascii="Calibri" w:hAnsi="Calibri"/>
          <w:color w:val="24292E"/>
          <w:sz w:val="22"/>
        </w:rPr>
        <w:t xml:space="preserve">      sectorId    String</w:t>
      </w:r>
    </w:p>
    <w:p>
      <w:pPr>
        <w:spacing w:before="40" w:after="80" w:line="276" w:lineRule="auto"/>
      </w:pPr>
      <w:r>
        <w:rPr>
          <w:rFonts w:ascii="Calibri" w:hAnsi="Calibri"/>
          <w:color w:val="24292E"/>
          <w:sz w:val="22"/>
        </w:rPr>
        <w:t xml:space="preserve">      sector      IndustrySector @relation(fields: [sectorId], references: [id])</w:t>
      </w:r>
    </w:p>
    <w:p>
      <w:pPr>
        <w:spacing w:before="40" w:after="80" w:line="276" w:lineRule="auto"/>
      </w:pPr>
      <w:r>
        <w:rPr>
          <w:rFonts w:ascii="Calibri" w:hAnsi="Calibri"/>
          <w:color w:val="24292E"/>
          <w:sz w:val="22"/>
        </w:rPr>
        <w:t xml:space="preserve">      isPrimary   Boolean        @default(false)</w:t>
      </w:r>
    </w:p>
    <w:p>
      <w:pPr>
        <w:spacing w:before="40" w:after="80" w:line="276" w:lineRule="auto"/>
      </w:pPr>
      <w:r>
        <w:rPr>
          <w:rFonts w:ascii="Calibri" w:hAnsi="Calibri"/>
          <w:color w:val="24292E"/>
          <w:sz w:val="22"/>
        </w:rPr>
        <w:t xml:space="preserve">      otherDetail String?        // Specific text when sector code == "OTHER"</w:t>
      </w:r>
    </w:p>
    <w:p>
      <w:pPr>
        <w:spacing w:before="40" w:after="80" w:line="276" w:lineRule="auto"/>
      </w:pPr>
      <w:r>
        <w:rPr>
          <w:rFonts w:ascii="Calibri" w:hAnsi="Calibri"/>
          <w:color w:val="24292E"/>
          <w:sz w:val="22"/>
        </w:rPr>
        <w:t xml:space="preserve">      source      String         @default("CLIENT_SNAPSHOT") // CLIENT_SNAPSHOT | MANUAL_OVERRIDE</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@@unique([leadId, sectorId])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4: Multi-Sector Pipeline Attribution &amp; PostgreSQL Partial Unique Index</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multi-sector value attribution mencegah double counting?"</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does multi-sector value attribution prevent double counting in pipeline analytics?"</w:t>
      </w:r>
    </w:p>
    <w:p>
      <w:pPr>
        <w:pStyle w:val="ListBullet"/>
        <w:spacing w:before="20" w:after="40"/>
        <w:ind w:left="360"/>
      </w:pPr>
      <w:r>
        <w:rPr>
          <w:rFonts w:ascii="Calibri" w:hAnsi="Calibri"/>
          <w:b/>
          <w:color w:val="24292E"/>
          <w:sz w:val="21"/>
        </w:rPr>
        <w:t>In the Simplest Terms</w:t>
      </w:r>
      <w:r>
        <w:rPr>
          <w:rFonts w:ascii="Calibri" w:hAnsi="Calibri"/>
          <w:color w:val="24292E"/>
          <w:sz w:val="21"/>
        </w:rPr>
        <w:t>: In executive summary dashboards, each lead is counted once for total company revenue. In sector breakdown charts, deals are categorized by their primary sector.</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Two-Tier Attribution Architecture</w:t>
      </w:r>
      <w:r>
        <w:rPr>
          <w:rFonts w:ascii="Calibri" w:hAnsi="Calibri"/>
          <w:color w:val="24292E"/>
          <w:sz w:val="22"/>
        </w:rPr>
        <w:t xml:space="preserve">: (1) Executive total pipeline metrics use strict distinct-lead aggregation. (2) Sector breakdown reports categorize revenue by the </w:t>
      </w:r>
      <w:r>
        <w:rPr>
          <w:rFonts w:ascii="Consolas" w:hAnsi="Consolas"/>
          <w:color w:val="032F62"/>
          <w:sz w:val="21"/>
        </w:rPr>
        <w:t>isPrimary = true</w:t>
      </w:r>
      <w:r>
        <w:rPr>
          <w:rFonts w:ascii="Calibri" w:hAnsi="Calibri"/>
          <w:color w:val="24292E"/>
          <w:sz w:val="22"/>
        </w:rPr>
        <w:t xml:space="preserve"> sector for 100% additive slices.  </w:t>
      </w:r>
    </w:p>
    <w:p>
      <w:pPr>
        <w:spacing w:before="40" w:after="80" w:line="276" w:lineRule="auto"/>
      </w:pPr>
      <w:r>
        <w:rPr>
          <w:rFonts w:ascii="Calibri" w:hAnsi="Calibri"/>
          <w:color w:val="24292E"/>
          <w:sz w:val="22"/>
        </w:rPr>
        <w:t xml:space="preserve">  &gt; </w:t>
      </w:r>
      <w:r>
        <w:rPr>
          <w:rFonts w:ascii="Calibri" w:hAnsi="Calibri"/>
          <w:b/>
          <w:color w:val="24292E"/>
          <w:sz w:val="22"/>
        </w:rPr>
        <w:t>Decision 1.4b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Exactly-One-Primary Invariant Architecture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Database Layer (At Most One)</w:t>
      </w:r>
      <w:r>
        <w:rPr>
          <w:rFonts w:ascii="Calibri" w:hAnsi="Calibri"/>
          <w:color w:val="24292E"/>
          <w:sz w:val="22"/>
        </w:rPr>
        <w:t>: A PostgreSQL Partial Unique Index (</w:t>
      </w:r>
      <w:r>
        <w:rPr>
          <w:rFonts w:ascii="Consolas" w:hAnsi="Consolas"/>
          <w:color w:val="032F62"/>
          <w:sz w:val="21"/>
        </w:rPr>
        <w:t>CREATE UNIQUE INDEX one_primary_sector_per_lead ON "LeadSector" ("leadId") WHERE "isPrimary" = true;</w:t>
      </w:r>
      <w:r>
        <w:rPr>
          <w:rFonts w:ascii="Calibri" w:hAnsi="Calibri"/>
          <w:color w:val="24292E"/>
          <w:sz w:val="22"/>
        </w:rPr>
        <w:t xml:space="preserve">) guarantees that no more than one sector can ever be primary.  </w:t>
      </w:r>
    </w:p>
    <w:p>
      <w:pPr>
        <w:spacing w:before="40" w:after="80" w:line="276" w:lineRule="auto"/>
      </w:pPr>
      <w:r>
        <w:rPr>
          <w:rFonts w:ascii="Calibri" w:hAnsi="Calibri"/>
          <w:color w:val="24292E"/>
          <w:sz w:val="22"/>
        </w:rPr>
        <w:t xml:space="preserve">  &gt; - </w:t>
      </w:r>
      <w:r>
        <w:rPr>
          <w:rFonts w:ascii="Calibri" w:hAnsi="Calibri"/>
          <w:b/>
          <w:color w:val="24292E"/>
          <w:sz w:val="22"/>
        </w:rPr>
        <w:t>Application Lifecycle Layer (At Least One)</w:t>
      </w:r>
      <w:r>
        <w:rPr>
          <w:rFonts w:ascii="Calibri" w:hAnsi="Calibri"/>
          <w:color w:val="24292E"/>
          <w:sz w:val="22"/>
        </w:rPr>
        <w:t xml:space="preserve">: Application validation and transaction lifecycle ensure that every lead with $\ge 1$ sector assignment has at least one sector marked </w:t>
      </w:r>
      <w:r>
        <w:rPr>
          <w:rFonts w:ascii="Consolas" w:hAnsi="Consolas"/>
          <w:color w:val="032F62"/>
          <w:sz w:val="21"/>
        </w:rPr>
        <w:t>isPrimary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Combined Result</w:t>
      </w:r>
      <w:r>
        <w:rPr>
          <w:rFonts w:ascii="Calibri" w:hAnsi="Calibri"/>
          <w:color w:val="24292E"/>
          <w:sz w:val="22"/>
        </w:rPr>
        <w:t xml:space="preserve">: Guarantees </w:t>
      </w:r>
      <w:r>
        <w:rPr>
          <w:rFonts w:ascii="Calibri" w:hAnsi="Calibri"/>
          <w:b/>
          <w:color w:val="24292E"/>
          <w:sz w:val="22"/>
        </w:rPr>
        <w:t>exactly one primary sector per lead</w:t>
      </w:r>
      <w:r>
        <w:rPr>
          <w:rFonts w:ascii="Calibri" w:hAnsi="Calibri"/>
          <w:color w:val="24292E"/>
          <w:sz w:val="22"/>
        </w:rPr>
        <w:t xml:space="preserve">. </w:t>
      </w:r>
      <w:r>
        <w:rPr>
          <w:rFonts w:ascii="Calibri" w:hAnsi="Calibri"/>
          <w:i/>
          <w:color w:val="24292E"/>
          <w:sz w:val="22"/>
        </w:rPr>
        <w:t>(Source: Author Review 4 - Item #5)</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PostgreSQL Partial Unique Index Migration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`sql</w:t>
      </w:r>
    </w:p>
    <w:p>
      <w:pPr>
        <w:spacing w:before="40" w:after="80" w:line="276" w:lineRule="auto"/>
      </w:pPr>
      <w:r>
        <w:rPr>
          <w:rFonts w:ascii="Calibri" w:hAnsi="Calibri"/>
          <w:color w:val="24292E"/>
          <w:sz w:val="22"/>
        </w:rPr>
        <w:t xml:space="preserve">    -- Enforce that at most one LeadSector per lead can be marked isPrimary = true</w:t>
      </w:r>
    </w:p>
    <w:p>
      <w:pPr>
        <w:spacing w:before="40" w:after="80" w:line="276" w:lineRule="auto"/>
      </w:pPr>
      <w:r>
        <w:rPr>
          <w:rFonts w:ascii="Calibri" w:hAnsi="Calibri"/>
          <w:color w:val="24292E"/>
          <w:sz w:val="22"/>
        </w:rPr>
        <w:t xml:space="preserve">    CREATE UNIQUE INDEX one_primary_sector_per_lead </w:t>
      </w:r>
    </w:p>
    <w:p>
      <w:pPr>
        <w:spacing w:before="40" w:after="80" w:line="276" w:lineRule="auto"/>
      </w:pPr>
      <w:r>
        <w:rPr>
          <w:rFonts w:ascii="Calibri" w:hAnsi="Calibri"/>
          <w:color w:val="24292E"/>
          <w:sz w:val="22"/>
        </w:rPr>
        <w:t xml:space="preserve">    ON "LeadSector" ("leadId") </w:t>
      </w:r>
    </w:p>
    <w:p>
      <w:pPr>
        <w:spacing w:before="40" w:after="80" w:line="276" w:lineRule="auto"/>
      </w:pPr>
      <w:r>
        <w:rPr>
          <w:rFonts w:ascii="Calibri" w:hAnsi="Calibri"/>
          <w:color w:val="24292E"/>
          <w:sz w:val="22"/>
        </w:rPr>
        <w:t xml:space="preserve">    WHERE "isPrimary" = true;</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Atomic Primary Switch Transaction with Tagged Advisory Lock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await prisma.$transaction(async (tx) =&gt; {</w:t>
      </w:r>
    </w:p>
    <w:p>
      <w:pPr>
        <w:spacing w:before="40" w:after="80" w:line="276" w:lineRule="auto"/>
      </w:pPr>
      <w:r>
        <w:rPr>
          <w:rFonts w:ascii="Calibri" w:hAnsi="Calibri"/>
          <w:color w:val="24292E"/>
          <w:sz w:val="22"/>
        </w:rPr>
        <w:t xml:space="preserve">      // 1. Acquire per-lead transaction advisory lock using tagged template literal</w:t>
      </w:r>
    </w:p>
    <w:p>
      <w:pPr>
        <w:spacing w:before="40" w:after="80" w:line="276" w:lineRule="auto"/>
      </w:pPr>
      <w:r>
        <w:rPr>
          <w:rFonts w:ascii="Calibri" w:hAnsi="Calibri"/>
          <w:color w:val="24292E"/>
          <w:sz w:val="22"/>
        </w:rPr>
        <w:t xml:space="preserve">      await tx.$executeRaw</w:t>
      </w:r>
      <w:r>
        <w:rPr>
          <w:rFonts w:ascii="Consolas" w:hAnsi="Consolas"/>
          <w:color w:val="032F62"/>
          <w:sz w:val="21"/>
        </w:rPr>
        <w:t>SELECT pg_advisory_xact_lock(hashtext(${leadId}))</w:t>
      </w:r>
      <w:r>
        <w:rPr>
          <w:rFonts w:ascii="Calibri" w:hAnsi="Calibri"/>
          <w:color w:val="24292E"/>
          <w:sz w:val="22"/>
        </w:rPr>
        <w:t>;</w:t>
      </w:r>
    </w:p>
    <w:p>
      <w:pPr>
        <w:spacing w:before="40" w:after="80" w:line="276" w:lineRule="auto"/>
      </w:pPr>
      <w:r>
        <w:rPr>
          <w:rFonts w:ascii="Calibri" w:hAnsi="Calibri"/>
          <w:color w:val="24292E"/>
          <w:sz w:val="22"/>
        </w:rPr>
        <w:t xml:space="preserve">      // 2. Reset existing primary flags for the lead</w:t>
      </w:r>
    </w:p>
    <w:p>
      <w:pPr>
        <w:spacing w:before="40" w:after="80" w:line="276" w:lineRule="auto"/>
      </w:pPr>
      <w:r>
        <w:rPr>
          <w:rFonts w:ascii="Calibri" w:hAnsi="Calibri"/>
          <w:color w:val="24292E"/>
          <w:sz w:val="22"/>
        </w:rPr>
        <w:t xml:space="preserve">      await tx.leadSector.updateMany({</w:t>
      </w:r>
    </w:p>
    <w:p>
      <w:pPr>
        <w:spacing w:before="40" w:after="80" w:line="276" w:lineRule="auto"/>
      </w:pPr>
      <w:r>
        <w:rPr>
          <w:rFonts w:ascii="Calibri" w:hAnsi="Calibri"/>
          <w:color w:val="24292E"/>
          <w:sz w:val="22"/>
        </w:rPr>
        <w:t xml:space="preserve">        where: { leadId },</w:t>
      </w:r>
    </w:p>
    <w:p>
      <w:pPr>
        <w:spacing w:before="40" w:after="80" w:line="276" w:lineRule="auto"/>
      </w:pPr>
      <w:r>
        <w:rPr>
          <w:rFonts w:ascii="Calibri" w:hAnsi="Calibri"/>
          <w:color w:val="24292E"/>
          <w:sz w:val="22"/>
        </w:rPr>
        <w:t xml:space="preserve">        data: { isPrimary: false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3. Set the new designated primary sector</w:t>
      </w:r>
    </w:p>
    <w:p>
      <w:pPr>
        <w:spacing w:before="40" w:after="80" w:line="276" w:lineRule="auto"/>
      </w:pPr>
      <w:r>
        <w:rPr>
          <w:rFonts w:ascii="Calibri" w:hAnsi="Calibri"/>
          <w:color w:val="24292E"/>
          <w:sz w:val="22"/>
        </w:rPr>
        <w:t xml:space="preserve">      await tx.leadSector.update({</w:t>
      </w:r>
    </w:p>
    <w:p>
      <w:pPr>
        <w:spacing w:before="40" w:after="80" w:line="276" w:lineRule="auto"/>
      </w:pPr>
      <w:r>
        <w:rPr>
          <w:rFonts w:ascii="Calibri" w:hAnsi="Calibri"/>
          <w:color w:val="24292E"/>
          <w:sz w:val="22"/>
        </w:rPr>
        <w:t xml:space="preserve">        where: { leadId_sectorId: { leadId, sectorId: newPrimarySectorId } },</w:t>
      </w:r>
    </w:p>
    <w:p>
      <w:pPr>
        <w:spacing w:before="40" w:after="80" w:line="276" w:lineRule="auto"/>
      </w:pPr>
      <w:r>
        <w:rPr>
          <w:rFonts w:ascii="Calibri" w:hAnsi="Calibri"/>
          <w:color w:val="24292E"/>
          <w:sz w:val="22"/>
        </w:rPr>
        <w:t xml:space="preserve">        data: { isPrimary: true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5: Handling "OTHER", Inactive Sector Lifecycle, &amp; CRM Ingestion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OTHER, sector deactivation, dan Pipedrive unknown mapping ditangani?"</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'OTHER', sector deactivation, and unmapped Pipedrive sectors handled?"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If someone picks "OTHER", they must write a description. Deactivated sectors stay valid on old leads for history, but can't be chosen for new ones. Unknown sectors from CRM go to a review queue instead of making junk data.</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Enforce mandatory text details when selecting the </w:t>
      </w:r>
      <w:r>
        <w:rPr>
          <w:rFonts w:ascii="Consolas" w:hAnsi="Consolas"/>
          <w:color w:val="032F62"/>
          <w:sz w:val="21"/>
        </w:rPr>
        <w:t>"OTHER"</w:t>
      </w:r>
      <w:r>
        <w:rPr>
          <w:rFonts w:ascii="Calibri" w:hAnsi="Calibri"/>
          <w:color w:val="24292E"/>
          <w:sz w:val="22"/>
        </w:rPr>
        <w:t xml:space="preserve"> sector code; apply soft-deletion (</w:t>
      </w:r>
      <w:r>
        <w:rPr>
          <w:rFonts w:ascii="Consolas" w:hAnsi="Consolas"/>
          <w:color w:val="032F62"/>
          <w:sz w:val="21"/>
        </w:rPr>
        <w:t>isActive = false</w:t>
      </w:r>
      <w:r>
        <w:rPr>
          <w:rFonts w:ascii="Calibri" w:hAnsi="Calibri"/>
          <w:color w:val="24292E"/>
          <w:sz w:val="22"/>
        </w:rPr>
        <w:t xml:space="preserve">) to preserve historical joins; and route unrecognized CRM sectors into a dedicated </w:t>
      </w:r>
      <w:r>
        <w:rPr>
          <w:rFonts w:ascii="Consolas" w:hAnsi="Consolas"/>
          <w:color w:val="032F62"/>
          <w:sz w:val="21"/>
        </w:rPr>
        <w:t>UNCLASSIFIED</w:t>
      </w:r>
      <w:r>
        <w:rPr>
          <w:rFonts w:ascii="Calibri" w:hAnsi="Calibri"/>
          <w:color w:val="24292E"/>
          <w:sz w:val="22"/>
        </w:rPr>
        <w:t xml:space="preserve"> quarantine queue for admin review.  </w:t>
      </w:r>
    </w:p>
    <w:p>
      <w:pPr>
        <w:spacing w:before="40" w:after="80" w:line="276" w:lineRule="auto"/>
      </w:pPr>
      <w:r>
        <w:rPr>
          <w:rFonts w:ascii="Calibri" w:hAnsi="Calibri"/>
          <w:color w:val="24292E"/>
          <w:sz w:val="22"/>
        </w:rPr>
        <w:t xml:space="preserve">  &gt; </w:t>
      </w:r>
      <w:r>
        <w:rPr>
          <w:rFonts w:ascii="Calibri" w:hAnsi="Calibri"/>
          <w:b/>
          <w:color w:val="24292E"/>
          <w:sz w:val="22"/>
        </w:rPr>
        <w:t>Decision 1.5b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Deactivated sectors remain valid for historical classification and reporting; existing historical leads retain their classification without error; deactivated sectors are blocked from new assignments; and the system prompts </w:t>
      </w:r>
      <w:r>
        <w:rPr>
          <w:rFonts w:ascii="Consolas" w:hAnsi="Consolas"/>
          <w:color w:val="032F62"/>
          <w:sz w:val="21"/>
        </w:rPr>
        <w:t>SECTOR_RECLASSIFICATION_REQUIRED</w:t>
      </w:r>
      <w:r>
        <w:rPr>
          <w:rFonts w:ascii="Calibri" w:hAnsi="Calibri"/>
          <w:color w:val="24292E"/>
          <w:sz w:val="22"/>
        </w:rPr>
        <w:t xml:space="preserve"> only upon major deal renegotiations or scope revisions. </w:t>
      </w:r>
      <w:r>
        <w:rPr>
          <w:rFonts w:ascii="Calibri" w:hAnsi="Calibri"/>
          <w:i/>
          <w:color w:val="24292E"/>
          <w:sz w:val="22"/>
        </w:rPr>
        <w:t>(Source: Author Review 2 - Item #5)</w:t>
      </w:r>
    </w:p>
    <w:p>
      <w:pPr>
        <w:spacing w:before="120" w:after="120"/>
        <w:pBdr>
          <w:bottom w:val="single" w:sz="6" w:space="1" w:color="E1E4E8"/>
        </w:pBdr>
      </w:pPr>
    </w:p>
    <w:p>
      <w:pPr>
        <w:keepNext/>
        <w:spacing w:before="200" w:after="80"/>
      </w:pPr>
      <w:r>
        <w:rPr>
          <w:rFonts w:ascii="Calibri" w:hAnsi="Calibri"/>
          <w:b/>
          <w:color w:val="1F4E79"/>
          <w:sz w:val="26"/>
        </w:rPr>
        <w:t>🏢 Category 2: Organization Structure &amp; Principal Routing (</w:t>
      </w:r>
      <w:r>
        <w:rPr>
          <w:rFonts w:ascii="Consolas" w:hAnsi="Consolas"/>
          <w:color w:val="032F62"/>
          <w:sz w:val="25"/>
        </w:rPr>
        <w:t>DEMO-03</w:t>
      </w:r>
      <w:r>
        <w:rPr>
          <w:rFonts w:ascii="Calibri" w:hAnsi="Calibri"/>
          <w:color w:val="1F4E79"/>
          <w:sz w:val="26"/>
        </w:rPr>
        <w:t xml:space="preserve"> &amp; </w:t>
      </w:r>
      <w:r>
        <w:rPr>
          <w:rFonts w:ascii="Consolas" w:hAnsi="Consolas"/>
          <w:color w:val="032F62"/>
          <w:sz w:val="25"/>
        </w:rPr>
        <w:t>DEMO-04</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6: Business Unit (BU) Cardinality &amp; Normalized Secondary BUs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"Satu atau banyak BU per Lead?"</w:t>
      </w:r>
    </w:p>
    <w:p>
      <w:pPr>
        <w:pStyle w:val="ListBullet"/>
        <w:spacing w:before="20" w:after="40"/>
        <w:ind w:left="360"/>
      </w:pPr>
      <w:r>
        <w:rPr>
          <w:rFonts w:ascii="Calibri" w:hAnsi="Calibri"/>
          <w:b/>
          <w:color w:val="24292E"/>
          <w:sz w:val="21"/>
        </w:rPr>
        <w:t>English Translation</w:t>
      </w:r>
      <w:r>
        <w:rPr>
          <w:rFonts w:ascii="Calibri" w:hAnsi="Calibri"/>
          <w:color w:val="24292E"/>
          <w:sz w:val="21"/>
        </w:rPr>
        <w:t>: "Single or multiple Business Units per Lead?"</w:t>
      </w:r>
    </w:p>
    <w:p>
      <w:pPr>
        <w:pStyle w:val="ListBullet"/>
        <w:spacing w:before="20" w:after="40"/>
        <w:ind w:left="360"/>
      </w:pPr>
      <w:r>
        <w:rPr>
          <w:rFonts w:ascii="Calibri" w:hAnsi="Calibri"/>
          <w:b/>
          <w:color w:val="24292E"/>
          <w:sz w:val="21"/>
        </w:rPr>
        <w:t>In the Simplest Terms</w:t>
      </w:r>
      <w:r>
        <w:rPr>
          <w:rFonts w:ascii="Calibri" w:hAnsi="Calibri"/>
          <w:color w:val="24292E"/>
          <w:sz w:val="21"/>
        </w:rPr>
        <w:t>: Exactly one Primary BU owns the deal for commercial accountability. If other departments help, they join through project workstreams upon project creation.</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2.1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Exactly </w:t>
      </w:r>
      <w:r>
        <w:rPr>
          <w:rFonts w:ascii="Calibri" w:hAnsi="Calibri"/>
          <w:b/>
          <w:color w:val="24292E"/>
          <w:sz w:val="22"/>
        </w:rPr>
        <w:t>one Primary Business Unit</w:t>
      </w:r>
      <w:r>
        <w:rPr>
          <w:rFonts w:ascii="Calibri" w:hAnsi="Calibri"/>
          <w:color w:val="24292E"/>
          <w:sz w:val="22"/>
        </w:rPr>
        <w:t xml:space="preserve"> (</w:t>
      </w:r>
      <w:r>
        <w:rPr>
          <w:rFonts w:ascii="Consolas" w:hAnsi="Consolas"/>
          <w:color w:val="032F62"/>
          <w:sz w:val="21"/>
        </w:rPr>
        <w:t>primaryBusinessUnitId</w:t>
      </w:r>
      <w:r>
        <w:rPr>
          <w:rFonts w:ascii="Calibri" w:hAnsi="Calibri"/>
          <w:color w:val="24292E"/>
          <w:sz w:val="22"/>
        </w:rPr>
        <w:t xml:space="preserve">) per </w:t>
      </w:r>
      <w:r>
        <w:rPr>
          <w:rFonts w:ascii="Consolas" w:hAnsi="Consolas"/>
          <w:color w:val="032F62"/>
          <w:sz w:val="21"/>
        </w:rPr>
        <w:t>Lead</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2.1b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Replace scalar string arrays with a </w:t>
      </w:r>
      <w:r>
        <w:rPr>
          <w:rFonts w:ascii="Calibri" w:hAnsi="Calibri"/>
          <w:b/>
          <w:color w:val="24292E"/>
          <w:sz w:val="22"/>
        </w:rPr>
        <w:t>Normalized Junction Table (`LeadSupportingBusinessUnit`)</w:t>
      </w:r>
      <w:r>
        <w:rPr>
          <w:rFonts w:ascii="Calibri" w:hAnsi="Calibri"/>
          <w:color w:val="24292E"/>
          <w:sz w:val="22"/>
        </w:rPr>
        <w:t xml:space="preserve"> to record secondary/participating BUs with full referential integrity and role attribution during proposal/presales. Multi-BU delivery participation is formally realized via </w:t>
      </w:r>
      <w:r>
        <w:rPr>
          <w:rFonts w:ascii="Consolas" w:hAnsi="Consolas"/>
          <w:color w:val="032F62"/>
          <w:sz w:val="21"/>
        </w:rPr>
        <w:t>ProjectWorkstream</w:t>
      </w:r>
      <w:r>
        <w:rPr>
          <w:rFonts w:ascii="Calibri" w:hAnsi="Calibri"/>
          <w:color w:val="24292E"/>
          <w:sz w:val="22"/>
        </w:rPr>
        <w:t xml:space="preserve"> records upon project conversion. </w:t>
      </w:r>
      <w:r>
        <w:rPr>
          <w:rFonts w:ascii="Calibri" w:hAnsi="Calibri"/>
          <w:i/>
          <w:color w:val="24292E"/>
          <w:sz w:val="22"/>
        </w:rPr>
        <w:t>(Source: Author Review 1 - Revision #9)</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Single Primary BU ownership ensures unambiguous sales quota attribution and deterministic approval routing, while a normalized supporting BU table enables cross-practice collaboration without corrupting referential integrity.</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Schema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model BusinessUnit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code        String   @unique // e.g. "BU-SEC", "BU-CLOUD", "BU-GOV"</w:t>
      </w:r>
    </w:p>
    <w:p>
      <w:pPr>
        <w:spacing w:before="40" w:after="80" w:line="276" w:lineRule="auto"/>
      </w:pPr>
      <w:r>
        <w:rPr>
          <w:rFonts w:ascii="Calibri" w:hAnsi="Calibri"/>
          <w:color w:val="24292E"/>
          <w:sz w:val="22"/>
        </w:rPr>
        <w:t xml:space="preserve">      name        String   @unique</w:t>
      </w:r>
    </w:p>
    <w:p>
      <w:pPr>
        <w:spacing w:before="40" w:after="80" w:line="276" w:lineRule="auto"/>
      </w:pPr>
      <w:r>
        <w:rPr>
          <w:rFonts w:ascii="Calibri" w:hAnsi="Calibri"/>
          <w:color w:val="24292E"/>
          <w:sz w:val="22"/>
        </w:rPr>
        <w:t xml:space="preserve">      description String?</w:t>
      </w:r>
    </w:p>
    <w:p>
      <w:pPr>
        <w:spacing w:before="40" w:after="80" w:line="276" w:lineRule="auto"/>
      </w:pPr>
      <w:r>
        <w:rPr>
          <w:rFonts w:ascii="Calibri" w:hAnsi="Calibri"/>
          <w:color w:val="24292E"/>
          <w:sz w:val="22"/>
        </w:rPr>
        <w:t xml:space="preserve">      isActive    Boolean  @default(true)</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updatedAt   DateTime @updatedAt</w:t>
      </w:r>
    </w:p>
    <w:p>
      <w:pPr>
        <w:spacing w:before="40" w:after="80" w:line="276" w:lineRule="auto"/>
      </w:pPr>
      <w:r>
        <w:rPr>
          <w:rFonts w:ascii="Calibri" w:hAnsi="Calibri"/>
          <w:color w:val="24292E"/>
          <w:sz w:val="22"/>
        </w:rPr>
        <w:t xml:space="preserve">      leadsPrimary        Lead[]</w:t>
      </w:r>
    </w:p>
    <w:p>
      <w:pPr>
        <w:spacing w:before="40" w:after="80" w:line="276" w:lineRule="auto"/>
      </w:pPr>
      <w:r>
        <w:rPr>
          <w:rFonts w:ascii="Calibri" w:hAnsi="Calibri"/>
          <w:color w:val="24292E"/>
          <w:sz w:val="22"/>
        </w:rPr>
        <w:t xml:space="preserve">      leadsSupporting     LeadSupportingBusinessUnit[]</w:t>
      </w:r>
    </w:p>
    <w:p>
      <w:pPr>
        <w:spacing w:before="40" w:after="80" w:line="276" w:lineRule="auto"/>
      </w:pPr>
      <w:r>
        <w:rPr>
          <w:rFonts w:ascii="Calibri" w:hAnsi="Calibri"/>
          <w:color w:val="24292E"/>
          <w:sz w:val="22"/>
        </w:rPr>
        <w:t xml:space="preserve">      principals          BusinessUnitPrincipal[]</w:t>
      </w:r>
    </w:p>
    <w:p>
      <w:pPr>
        <w:spacing w:before="40" w:after="80" w:line="276" w:lineRule="auto"/>
      </w:pPr>
      <w:r>
        <w:rPr>
          <w:rFonts w:ascii="Calibri" w:hAnsi="Calibri"/>
          <w:color w:val="24292E"/>
          <w:sz w:val="22"/>
        </w:rPr>
        <w:t xml:space="preserve">      users               User[]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LeadSupportingBusinessUnit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leadId              String</w:t>
      </w:r>
    </w:p>
    <w:p>
      <w:pPr>
        <w:spacing w:before="40" w:after="80" w:line="276" w:lineRule="auto"/>
      </w:pPr>
      <w:r>
        <w:rPr>
          <w:rFonts w:ascii="Calibri" w:hAnsi="Calibri"/>
          <w:color w:val="24292E"/>
          <w:sz w:val="22"/>
        </w:rPr>
        <w:t xml:space="preserve">      lead                Lead         @relation(fields: [leadId], references: [id], onDelete: Cascade)</w:t>
      </w:r>
    </w:p>
    <w:p>
      <w:pPr>
        <w:spacing w:before="40" w:after="80" w:line="276" w:lineRule="auto"/>
      </w:pPr>
      <w:r>
        <w:rPr>
          <w:rFonts w:ascii="Calibri" w:hAnsi="Calibri"/>
          <w:color w:val="24292E"/>
          <w:sz w:val="22"/>
        </w:rPr>
        <w:t xml:space="preserve">      businessUnitId      String</w:t>
      </w:r>
    </w:p>
    <w:p>
      <w:pPr>
        <w:spacing w:before="40" w:after="80" w:line="276" w:lineRule="auto"/>
      </w:pPr>
      <w:r>
        <w:rPr>
          <w:rFonts w:ascii="Calibri" w:hAnsi="Calibri"/>
          <w:color w:val="24292E"/>
          <w:sz w:val="22"/>
        </w:rPr>
        <w:t xml:space="preserve">      businessUnit        BusinessUnit @relation(fields: [businessUnitId], references: [id])</w:t>
      </w:r>
    </w:p>
    <w:p>
      <w:pPr>
        <w:spacing w:before="40" w:after="80" w:line="276" w:lineRule="auto"/>
      </w:pPr>
      <w:r>
        <w:rPr>
          <w:rFonts w:ascii="Calibri" w:hAnsi="Calibri"/>
          <w:color w:val="24292E"/>
          <w:sz w:val="22"/>
        </w:rPr>
        <w:t xml:space="preserve">      assignedPrincipalId String?</w:t>
      </w:r>
    </w:p>
    <w:p>
      <w:pPr>
        <w:spacing w:before="40" w:after="80" w:line="276" w:lineRule="auto"/>
      </w:pPr>
      <w:r>
        <w:rPr>
          <w:rFonts w:ascii="Calibri" w:hAnsi="Calibri"/>
          <w:color w:val="24292E"/>
          <w:sz w:val="22"/>
        </w:rPr>
        <w:t xml:space="preserve">      assignedPrincipal   User?        @relation(fields: [assignedPrincipalId], references: [id])</w:t>
      </w:r>
    </w:p>
    <w:p>
      <w:pPr>
        <w:spacing w:before="40" w:after="80" w:line="276" w:lineRule="auto"/>
      </w:pPr>
      <w:r>
        <w:rPr>
          <w:rFonts w:ascii="Calibri" w:hAnsi="Calibri"/>
          <w:color w:val="24292E"/>
          <w:sz w:val="22"/>
        </w:rPr>
        <w:t xml:space="preserve">      role                String?      // e.g. "Cloud Architecture Support", "Security Audit"</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@@unique([leadId, businessUnitId])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7: Principal Assignment &amp; Leave-Aware Fallback Routing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"Satu atau banyak Principal per BU dan fallback?"</w:t>
      </w:r>
    </w:p>
    <w:p>
      <w:pPr>
        <w:pStyle w:val="ListBullet"/>
        <w:spacing w:before="20" w:after="40"/>
        <w:ind w:left="360"/>
      </w:pPr>
      <w:r>
        <w:rPr>
          <w:rFonts w:ascii="Calibri" w:hAnsi="Calibri"/>
          <w:b/>
          <w:color w:val="24292E"/>
          <w:sz w:val="21"/>
        </w:rPr>
        <w:t>English Translation</w:t>
      </w:r>
      <w:r>
        <w:rPr>
          <w:rFonts w:ascii="Calibri" w:hAnsi="Calibri"/>
          <w:color w:val="24292E"/>
          <w:sz w:val="21"/>
        </w:rPr>
        <w:t>: "Single or multiple Principals per BU, and what is the fallback routing?"</w:t>
      </w:r>
    </w:p>
    <w:p>
      <w:pPr>
        <w:pStyle w:val="ListBullet"/>
        <w:spacing w:before="20" w:after="40"/>
        <w:ind w:left="360"/>
      </w:pPr>
      <w:r>
        <w:rPr>
          <w:rFonts w:ascii="Calibri" w:hAnsi="Calibri"/>
          <w:b/>
          <w:color w:val="24292E"/>
          <w:sz w:val="21"/>
        </w:rPr>
        <w:t>In the Simplest Terms</w:t>
      </w:r>
      <w:r>
        <w:rPr>
          <w:rFonts w:ascii="Calibri" w:hAnsi="Calibri"/>
          <w:color w:val="24292E"/>
          <w:sz w:val="21"/>
        </w:rPr>
        <w:t>: A BU can have multiple Principals. One is designated as the Primary Approver, with an automated fallback to a Backup Principal if the primary is on leave.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2.2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Introduce a </w:t>
      </w:r>
      <w:r>
        <w:rPr>
          <w:rFonts w:ascii="Consolas" w:hAnsi="Consolas"/>
          <w:color w:val="032F62"/>
          <w:sz w:val="21"/>
        </w:rPr>
        <w:t>BusinessUnitPrincipal</w:t>
      </w:r>
      <w:r>
        <w:rPr>
          <w:rFonts w:ascii="Calibri" w:hAnsi="Calibri"/>
          <w:color w:val="24292E"/>
          <w:sz w:val="22"/>
        </w:rPr>
        <w:t xml:space="preserve"> junction table supporting multiple Principals per BU with explicit </w:t>
      </w:r>
      <w:r>
        <w:rPr>
          <w:rFonts w:ascii="Consolas" w:hAnsi="Consolas"/>
          <w:color w:val="032F62"/>
          <w:sz w:val="21"/>
        </w:rPr>
        <w:t>isPrimary: Boolean</w:t>
      </w:r>
      <w:r>
        <w:rPr>
          <w:rFonts w:ascii="Calibri" w:hAnsi="Calibri"/>
          <w:color w:val="24292E"/>
          <w:sz w:val="22"/>
        </w:rPr>
        <w:t xml:space="preserve"> flags and an automated leave-aware fallback routing engine.  </w:t>
      </w:r>
    </w:p>
    <w:p>
      <w:pPr>
        <w:spacing w:before="40" w:after="80" w:line="276" w:lineRule="auto"/>
      </w:pPr>
      <w:r>
        <w:rPr>
          <w:rFonts w:ascii="Calibri" w:hAnsi="Calibri"/>
          <w:color w:val="24292E"/>
          <w:sz w:val="22"/>
        </w:rPr>
        <w:t xml:space="preserve">  &gt; </w:t>
      </w:r>
      <w:r>
        <w:rPr>
          <w:rFonts w:ascii="Calibri" w:hAnsi="Calibri"/>
          <w:b/>
          <w:color w:val="24292E"/>
          <w:sz w:val="22"/>
        </w:rPr>
        <w:t>Decision 2.2b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Use actual system roles (</w:t>
      </w:r>
      <w:r>
        <w:rPr>
          <w:rFonts w:ascii="Consolas" w:hAnsi="Consolas"/>
          <w:color w:val="032F62"/>
          <w:sz w:val="21"/>
        </w:rPr>
        <w:t>PRINCIPAL_KONSULTAN</w:t>
      </w:r>
      <w:r>
        <w:rPr>
          <w:rFonts w:ascii="Calibri" w:hAnsi="Calibri"/>
          <w:color w:val="24292E"/>
          <w:sz w:val="22"/>
        </w:rPr>
        <w:t xml:space="preserve">, </w:t>
      </w:r>
      <w:r>
        <w:rPr>
          <w:rFonts w:ascii="Consolas" w:hAnsi="Consolas"/>
          <w:color w:val="032F62"/>
          <w:sz w:val="21"/>
        </w:rPr>
        <w:t>PRINCIPAL_TECHNICAL_WRITER</w:t>
      </w:r>
      <w:r>
        <w:rPr>
          <w:rFonts w:ascii="Calibri" w:hAnsi="Calibri"/>
          <w:color w:val="24292E"/>
          <w:sz w:val="22"/>
        </w:rPr>
        <w:t xml:space="preserve">, </w:t>
      </w:r>
      <w:r>
        <w:rPr>
          <w:rFonts w:ascii="Consolas" w:hAnsi="Consolas"/>
          <w:color w:val="032F62"/>
          <w:sz w:val="21"/>
        </w:rPr>
        <w:t>PRINCIPAL_ADMIN_PROJECT</w:t>
      </w:r>
      <w:r>
        <w:rPr>
          <w:rFonts w:ascii="Calibri" w:hAnsi="Calibri"/>
          <w:color w:val="24292E"/>
          <w:sz w:val="22"/>
        </w:rPr>
        <w:t xml:space="preserve">) and explicitly map PMO approval authority to </w:t>
      </w:r>
      <w:r>
        <w:rPr>
          <w:rFonts w:ascii="Consolas" w:hAnsi="Consolas"/>
          <w:color w:val="032F62"/>
          <w:sz w:val="21"/>
        </w:rPr>
        <w:t>MANAGEMENT</w:t>
      </w:r>
      <w:r>
        <w:rPr>
          <w:rFonts w:ascii="Calibri" w:hAnsi="Calibri"/>
          <w:color w:val="24292E"/>
          <w:sz w:val="22"/>
        </w:rPr>
        <w:t xml:space="preserve">. </w:t>
      </w:r>
      <w:r>
        <w:rPr>
          <w:rFonts w:ascii="Calibri" w:hAnsi="Calibri"/>
          <w:i/>
          <w:color w:val="24292E"/>
          <w:sz w:val="22"/>
        </w:rPr>
        <w:t>(Source: Author Review 1 - Revision #5)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Without a structured mapping table and leave integration, approval workflows stall indefinitely whenever a single key Principal is out of office.</w:t>
      </w:r>
    </w:p>
    <w:p>
      <w:pPr>
        <w:spacing w:before="120" w:after="120"/>
        <w:pBdr>
          <w:bottom w:val="single" w:sz="6" w:space="1" w:color="E1E4E8"/>
        </w:pBdr>
      </w:pPr>
    </w:p>
    <w:p>
      <w:pPr>
        <w:keepNext/>
        <w:spacing w:before="200" w:after="80"/>
      </w:pPr>
      <w:r>
        <w:rPr>
          <w:rFonts w:ascii="Calibri" w:hAnsi="Calibri"/>
          <w:b/>
          <w:color w:val="1F4E79"/>
          <w:sz w:val="26"/>
        </w:rPr>
        <w:t>🌲 Category 3: Lead Identity, Types, &amp; Lineage (</w:t>
      </w:r>
      <w:r>
        <w:rPr>
          <w:rFonts w:ascii="Consolas" w:hAnsi="Consolas"/>
          <w:color w:val="032F62"/>
          <w:sz w:val="25"/>
        </w:rPr>
        <w:t>DEMO-05</w:t>
      </w:r>
      <w:r>
        <w:rPr>
          <w:rFonts w:ascii="Calibri" w:hAnsi="Calibri"/>
          <w:color w:val="1F4E79"/>
          <w:sz w:val="26"/>
        </w:rPr>
        <w:t xml:space="preserve"> &amp; </w:t>
      </w:r>
      <w:r>
        <w:rPr>
          <w:rFonts w:ascii="Consolas" w:hAnsi="Consolas"/>
          <w:color w:val="032F62"/>
          <w:sz w:val="25"/>
        </w:rPr>
        <w:t>DEMO-06</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8: Deal Types &amp; Net Revenue Retention (NRR) Formula</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"Rules NEW/RENEWAL/UP_SELL/CROSS_SELL serta NRR formula?"</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rules for NEW/RENEWAL/UP_SELL/CROSS_SELL deal types and the NRR formula?"</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w:t>
      </w:r>
      <w:r>
        <w:rPr>
          <w:rFonts w:ascii="Consolas" w:hAnsi="Consolas"/>
          <w:color w:val="032F62"/>
          <w:sz w:val="20"/>
        </w:rPr>
        <w:t>NEW</w:t>
      </w:r>
      <w:r>
        <w:rPr>
          <w:rFonts w:ascii="Calibri" w:hAnsi="Calibri"/>
          <w:color w:val="24292E"/>
          <w:sz w:val="21"/>
        </w:rPr>
        <w:t xml:space="preserve"> is a new customer or product. </w:t>
      </w:r>
      <w:r>
        <w:rPr>
          <w:rFonts w:ascii="Consolas" w:hAnsi="Consolas"/>
          <w:color w:val="032F62"/>
          <w:sz w:val="20"/>
        </w:rPr>
        <w:t>RENEWAL</w:t>
      </w:r>
      <w:r>
        <w:rPr>
          <w:rFonts w:ascii="Calibri" w:hAnsi="Calibri"/>
          <w:color w:val="24292E"/>
          <w:sz w:val="21"/>
        </w:rPr>
        <w:t xml:space="preserve"> and </w:t>
      </w:r>
      <w:r>
        <w:rPr>
          <w:rFonts w:ascii="Consolas" w:hAnsi="Consolas"/>
          <w:color w:val="032F62"/>
          <w:sz w:val="20"/>
        </w:rPr>
        <w:t>UP_SELL</w:t>
      </w:r>
      <w:r>
        <w:rPr>
          <w:rFonts w:ascii="Calibri" w:hAnsi="Calibri"/>
          <w:color w:val="24292E"/>
          <w:sz w:val="21"/>
        </w:rPr>
        <w:t xml:space="preserve"> must link to an existing active project with the same client. NRR measures how much revenue we retain and grow from existing clients.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4 strict </w:t>
      </w:r>
      <w:r>
        <w:rPr>
          <w:rFonts w:ascii="Consolas" w:hAnsi="Consolas"/>
          <w:color w:val="032F62"/>
          <w:sz w:val="21"/>
        </w:rPr>
        <w:t>LeadType</w:t>
      </w:r>
      <w:r>
        <w:rPr>
          <w:rFonts w:ascii="Calibri" w:hAnsi="Calibri"/>
          <w:color w:val="24292E"/>
          <w:sz w:val="22"/>
        </w:rPr>
        <w:t xml:space="preserve"> enum values (</w:t>
      </w:r>
      <w:r>
        <w:rPr>
          <w:rFonts w:ascii="Consolas" w:hAnsi="Consolas"/>
          <w:color w:val="032F62"/>
          <w:sz w:val="21"/>
        </w:rPr>
        <w:t>NEW_OPPORTUNITY</w:t>
      </w:r>
      <w:r>
        <w:rPr>
          <w:rFonts w:ascii="Calibri" w:hAnsi="Calibri"/>
          <w:color w:val="24292E"/>
          <w:sz w:val="22"/>
        </w:rPr>
        <w:t xml:space="preserve">, </w:t>
      </w:r>
      <w:r>
        <w:rPr>
          <w:rFonts w:ascii="Consolas" w:hAnsi="Consolas"/>
          <w:color w:val="032F62"/>
          <w:sz w:val="21"/>
        </w:rPr>
        <w:t>RENEWAL</w:t>
      </w:r>
      <w:r>
        <w:rPr>
          <w:rFonts w:ascii="Calibri" w:hAnsi="Calibri"/>
          <w:color w:val="24292E"/>
          <w:sz w:val="22"/>
        </w:rPr>
        <w:t xml:space="preserve">, </w:t>
      </w:r>
      <w:r>
        <w:rPr>
          <w:rFonts w:ascii="Consolas" w:hAnsi="Consolas"/>
          <w:color w:val="032F62"/>
          <w:sz w:val="21"/>
        </w:rPr>
        <w:t>UP_SELL</w:t>
      </w:r>
      <w:r>
        <w:rPr>
          <w:rFonts w:ascii="Calibri" w:hAnsi="Calibri"/>
          <w:color w:val="24292E"/>
          <w:sz w:val="22"/>
        </w:rPr>
        <w:t xml:space="preserve">, </w:t>
      </w:r>
      <w:r>
        <w:rPr>
          <w:rFonts w:ascii="Consolas" w:hAnsi="Consolas"/>
          <w:color w:val="032F62"/>
          <w:sz w:val="21"/>
        </w:rPr>
        <w:t>CROSS_SELL</w:t>
      </w:r>
      <w:r>
        <w:rPr>
          <w:rFonts w:ascii="Calibri" w:hAnsi="Calibri"/>
          <w:color w:val="24292E"/>
          <w:sz w:val="22"/>
        </w:rPr>
        <w:t xml:space="preserve">). Mandate </w:t>
      </w:r>
      <w:r>
        <w:rPr>
          <w:rFonts w:ascii="Consolas" w:hAnsi="Consolas"/>
          <w:color w:val="032F62"/>
          <w:sz w:val="21"/>
        </w:rPr>
        <w:t>parentProjectId</w:t>
      </w:r>
      <w:r>
        <w:rPr>
          <w:rFonts w:ascii="Calibri" w:hAnsi="Calibri"/>
          <w:color w:val="24292E"/>
          <w:sz w:val="22"/>
        </w:rPr>
        <w:t xml:space="preserve"> for </w:t>
      </w:r>
      <w:r>
        <w:rPr>
          <w:rFonts w:ascii="Consolas" w:hAnsi="Consolas"/>
          <w:color w:val="032F62"/>
          <w:sz w:val="21"/>
        </w:rPr>
        <w:t>RENEWAL</w:t>
      </w:r>
      <w:r>
        <w:rPr>
          <w:rFonts w:ascii="Calibri" w:hAnsi="Calibri"/>
          <w:color w:val="24292E"/>
          <w:sz w:val="22"/>
        </w:rPr>
        <w:t xml:space="preserve"> and </w:t>
      </w:r>
      <w:r>
        <w:rPr>
          <w:rFonts w:ascii="Consolas" w:hAnsi="Consolas"/>
          <w:color w:val="032F62"/>
          <w:sz w:val="21"/>
        </w:rPr>
        <w:t>UP_SELL</w:t>
      </w:r>
      <w:r>
        <w:rPr>
          <w:rFonts w:ascii="Calibri" w:hAnsi="Calibri"/>
          <w:color w:val="24292E"/>
          <w:sz w:val="22"/>
        </w:rPr>
        <w:t xml:space="preserve">. Standardize NRR calculation based on cohort ARR expansion, contraction, and churn. </w:t>
      </w:r>
      <w:r>
        <w:rPr>
          <w:rFonts w:ascii="Calibri" w:hAnsi="Calibri"/>
          <w:i/>
          <w:color w:val="24292E"/>
          <w:sz w:val="22"/>
        </w:rPr>
        <w:t>(Source: Master Rec Doc Section 16)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Creating renewals without an existing contract link makes it impossible to calculate customer retention or identify recurring revenue expansion.</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NRR Mathematical Formula</w:t>
      </w:r>
      <w:r>
        <w:rPr>
          <w:rFonts w:ascii="Calibri" w:hAnsi="Calibri"/>
          <w:color w:val="24292E"/>
          <w:sz w:val="21"/>
        </w:rPr>
        <w:t>:</w:t>
      </w:r>
    </w:p>
    <w:p>
      <w:pPr>
        <w:spacing w:before="40" w:after="80" w:line="276" w:lineRule="auto"/>
      </w:pPr>
      <w:r>
        <w:rPr>
          <w:rFonts w:ascii="Calibri" w:hAnsi="Calibri"/>
          <w:color w:val="24292E"/>
          <w:sz w:val="22"/>
        </w:rPr>
        <w:t xml:space="preserve">    $$\text{NRR}_{\text{Cohort}} = \frac{\sum \text{Starting ARR} + \sum \text{Expansion ARR} - \sum \text{Contraction ARR} - \sum \text{Churn ARR}}{\sum \text{Starting ARR}} \times 100\%$$</w:t>
      </w:r>
    </w:p>
    <w:p>
      <w:pPr>
        <w:spacing w:before="120" w:after="120"/>
        <w:pBdr>
          <w:bottom w:val="single" w:sz="6" w:space="1" w:color="E1E4E8"/>
        </w:pBdr>
      </w:pPr>
    </w:p>
    <w:p>
      <w:pPr>
        <w:keepNext/>
        <w:spacing w:before="160" w:after="40"/>
      </w:pPr>
      <w:r>
        <w:rPr>
          <w:rFonts w:ascii="Calibri" w:hAnsi="Calibri"/>
          <w:b/>
          <w:color w:val="262626"/>
          <w:sz w:val="23"/>
        </w:rPr>
        <w:t>Question 9: Permitted Lineage Anchor (Parent Project vs. Parent Lead)</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parent Lead diizinkan atau hanya parent Project?"</w:t>
      </w:r>
    </w:p>
    <w:p>
      <w:pPr>
        <w:pStyle w:val="ListBullet"/>
        <w:spacing w:before="20" w:after="40"/>
        <w:ind w:left="360"/>
      </w:pPr>
      <w:r>
        <w:rPr>
          <w:rFonts w:ascii="Calibri" w:hAnsi="Calibri"/>
          <w:b/>
          <w:color w:val="24292E"/>
          <w:sz w:val="21"/>
        </w:rPr>
        <w:t>English Translation</w:t>
      </w:r>
      <w:r>
        <w:rPr>
          <w:rFonts w:ascii="Calibri" w:hAnsi="Calibri"/>
          <w:color w:val="24292E"/>
          <w:sz w:val="21"/>
        </w:rPr>
        <w:t>: "Is a parent Lead allowed, or strictly a parent Project?"</w:t>
      </w:r>
    </w:p>
    <w:p>
      <w:pPr>
        <w:pStyle w:val="ListBullet"/>
        <w:spacing w:before="20" w:after="40"/>
        <w:ind w:left="360"/>
      </w:pPr>
      <w:r>
        <w:rPr>
          <w:rFonts w:ascii="Calibri" w:hAnsi="Calibri"/>
          <w:b/>
          <w:color w:val="24292E"/>
          <w:sz w:val="21"/>
        </w:rPr>
        <w:t>In the Simplest Terms</w:t>
      </w:r>
      <w:r>
        <w:rPr>
          <w:rFonts w:ascii="Calibri" w:hAnsi="Calibri"/>
          <w:color w:val="24292E"/>
          <w:sz w:val="21"/>
        </w:rPr>
        <w:t>: Deals can only link to an existing completed or active Project. Linking lead-to-lead is forbidden to prevent infinite loops and confusing history.</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Restrict deal lineage strictly to parent </w:t>
      </w:r>
      <w:r>
        <w:rPr>
          <w:rFonts w:ascii="Consolas" w:hAnsi="Consolas"/>
          <w:color w:val="032F62"/>
          <w:sz w:val="21"/>
        </w:rPr>
        <w:t>Project</w:t>
      </w:r>
      <w:r>
        <w:rPr>
          <w:rFonts w:ascii="Calibri" w:hAnsi="Calibri"/>
          <w:color w:val="24292E"/>
          <w:sz w:val="22"/>
        </w:rPr>
        <w:t xml:space="preserve"> records (</w:t>
      </w:r>
      <w:r>
        <w:rPr>
          <w:rFonts w:ascii="Consolas" w:hAnsi="Consolas"/>
          <w:color w:val="032F62"/>
          <w:sz w:val="21"/>
        </w:rPr>
        <w:t>parentProjectId</w:t>
      </w:r>
      <w:r>
        <w:rPr>
          <w:rFonts w:ascii="Calibri" w:hAnsi="Calibri"/>
          <w:color w:val="24292E"/>
          <w:sz w:val="22"/>
        </w:rPr>
        <w:t xml:space="preserve">). Disallow lead-to-lead parentage. </w:t>
      </w:r>
      <w:r>
        <w:rPr>
          <w:rFonts w:ascii="Calibri" w:hAnsi="Calibri"/>
          <w:i/>
          <w:color w:val="24292E"/>
          <w:sz w:val="22"/>
        </w:rPr>
        <w:t>(Source: Master Rec Doc Section 16)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Anchoring to executed </w:t>
      </w:r>
      <w:r>
        <w:rPr>
          <w:rFonts w:ascii="Consolas" w:hAnsi="Consolas"/>
          <w:color w:val="032F62"/>
          <w:sz w:val="21"/>
        </w:rPr>
        <w:t>Project</w:t>
      </w:r>
      <w:r>
        <w:rPr>
          <w:rFonts w:ascii="Calibri" w:hAnsi="Calibri"/>
          <w:color w:val="24292E"/>
          <w:sz w:val="22"/>
        </w:rPr>
        <w:t xml:space="preserve"> records guarantees solid contractual lineage.</w:t>
      </w:r>
    </w:p>
    <w:p>
      <w:pPr>
        <w:spacing w:before="120" w:after="120"/>
        <w:pBdr>
          <w:bottom w:val="single" w:sz="6" w:space="1" w:color="E1E4E8"/>
        </w:pBdr>
      </w:pPr>
    </w:p>
    <w:p>
      <w:pPr>
        <w:keepNext/>
        <w:spacing w:before="160" w:after="40"/>
      </w:pPr>
      <w:r>
        <w:rPr>
          <w:rFonts w:ascii="Calibri" w:hAnsi="Calibri"/>
          <w:b/>
          <w:color w:val="262626"/>
          <w:sz w:val="23"/>
        </w:rPr>
        <w:t>Question 10: Sequential Lead Numbering &amp; Same-Transaction Atomic Creation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"Lead numbering format/timezone?"</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is the Lead numbering format and timezone rule?"</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Lead numbers (e.g., </w:t>
      </w:r>
      <w:r>
        <w:rPr>
          <w:rFonts w:ascii="Consolas" w:hAnsi="Consolas"/>
          <w:color w:val="032F62"/>
          <w:sz w:val="20"/>
        </w:rPr>
        <w:t>LEAD-2026-0001</w:t>
      </w:r>
      <w:r>
        <w:rPr>
          <w:rFonts w:ascii="Calibri" w:hAnsi="Calibri"/>
          <w:color w:val="24292E"/>
          <w:sz w:val="21"/>
        </w:rPr>
        <w:t>) are allocated atomically inside the exact same database transaction that creates the Lead. Ordinary application rollbacks do not waste numbers.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Adopt the sequential format </w:t>
      </w:r>
      <w:r>
        <w:rPr>
          <w:rFonts w:ascii="Consolas" w:hAnsi="Consolas"/>
          <w:color w:val="032F62"/>
          <w:sz w:val="21"/>
        </w:rPr>
        <w:t>LEAD-{YYYY}-{0000}</w:t>
      </w:r>
      <w:r>
        <w:rPr>
          <w:rFonts w:ascii="Calibri" w:hAnsi="Calibri"/>
          <w:color w:val="24292E"/>
          <w:sz w:val="22"/>
        </w:rPr>
        <w:t xml:space="preserve"> resetting annually on January 1 at 00:00 </w:t>
      </w:r>
      <w:r>
        <w:rPr>
          <w:rFonts w:ascii="Consolas" w:hAnsi="Consolas"/>
          <w:color w:val="032F62"/>
          <w:sz w:val="21"/>
        </w:rPr>
        <w:t>Asia/Jakarta</w:t>
      </w:r>
      <w:r>
        <w:rPr>
          <w:rFonts w:ascii="Calibri" w:hAnsi="Calibri"/>
          <w:color w:val="24292E"/>
          <w:sz w:val="22"/>
        </w:rPr>
        <w:t xml:space="preserve"> (WIB/UTC+7).  </w:t>
      </w:r>
    </w:p>
    <w:p>
      <w:pPr>
        <w:spacing w:before="40" w:after="80" w:line="276" w:lineRule="auto"/>
      </w:pPr>
      <w:r>
        <w:rPr>
          <w:rFonts w:ascii="Calibri" w:hAnsi="Calibri"/>
          <w:color w:val="24292E"/>
          <w:sz w:val="22"/>
        </w:rPr>
        <w:t xml:space="preserve">  &gt; </w:t>
      </w:r>
      <w:r>
        <w:rPr>
          <w:rFonts w:ascii="Calibri" w:hAnsi="Calibri"/>
          <w:b/>
          <w:color w:val="24292E"/>
          <w:sz w:val="22"/>
        </w:rPr>
        <w:t>Decision 3.3b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Same-Transaction Allocation &amp; Gap Reconciliation Policy</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i/>
          <w:color w:val="24292E"/>
          <w:sz w:val="22"/>
        </w:rPr>
        <w:t>"Same-transaction allocation prevents ordinary sequence gaps caused by application validation failures or transaction rollback. The identifier remains uniqueness-first and is not intended as a statutory gapless sequence. Out-of-transaction reconciliation is reserved for ambiguous commit outcomes or infrastructure failures where the client cannot determine whether the transaction committed. Audit logging under total database failure is best-effort."</w:t>
      </w:r>
      <w:r>
        <w:rPr>
          <w:rFonts w:ascii="Calibri" w:hAnsi="Calibri"/>
          <w:color w:val="24292E"/>
          <w:sz w:val="22"/>
        </w:rPr>
        <w:t xml:space="preserve"> </w:t>
      </w:r>
      <w:r>
        <w:rPr>
          <w:rFonts w:ascii="Calibri" w:hAnsi="Calibri"/>
          <w:i/>
          <w:color w:val="24292E"/>
          <w:sz w:val="22"/>
        </w:rPr>
        <w:t>(Source: Author Review 4 - Item #6)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Running counter increment in the same transaction as lead creation prevents ordinary gaps, while recognizing that network timeouts during commit require automated reconciliation.</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Atomic Allocator inside Same Transaction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async function allocateNextLeadNumber(tx: Prisma.TransactionClient, jakartaYear: number): Promise&lt;string&gt; {</w:t>
      </w:r>
    </w:p>
    <w:p>
      <w:pPr>
        <w:spacing w:before="40" w:after="80" w:line="276" w:lineRule="auto"/>
      </w:pPr>
      <w:r>
        <w:rPr>
          <w:rFonts w:ascii="Calibri" w:hAnsi="Calibri"/>
          <w:color w:val="24292E"/>
          <w:sz w:val="22"/>
        </w:rPr>
        <w:t xml:space="preserve">      const counter = await tx.leadNumberCounter.upsert({</w:t>
      </w:r>
    </w:p>
    <w:p>
      <w:pPr>
        <w:spacing w:before="40" w:after="80" w:line="276" w:lineRule="auto"/>
      </w:pPr>
      <w:r>
        <w:rPr>
          <w:rFonts w:ascii="Calibri" w:hAnsi="Calibri"/>
          <w:color w:val="24292E"/>
          <w:sz w:val="22"/>
        </w:rPr>
        <w:t xml:space="preserve">        where: { year: jakartaYear },</w:t>
      </w:r>
    </w:p>
    <w:p>
      <w:pPr>
        <w:spacing w:before="40" w:after="80" w:line="276" w:lineRule="auto"/>
      </w:pPr>
      <w:r>
        <w:rPr>
          <w:rFonts w:ascii="Calibri" w:hAnsi="Calibri"/>
          <w:color w:val="24292E"/>
          <w:sz w:val="22"/>
        </w:rPr>
        <w:t xml:space="preserve">        update: { currentSequence: { increment: 1 } },</w:t>
      </w:r>
    </w:p>
    <w:p>
      <w:pPr>
        <w:spacing w:before="40" w:after="80" w:line="276" w:lineRule="auto"/>
      </w:pPr>
      <w:r>
        <w:rPr>
          <w:rFonts w:ascii="Calibri" w:hAnsi="Calibri"/>
          <w:color w:val="24292E"/>
          <w:sz w:val="22"/>
        </w:rPr>
        <w:t xml:space="preserve">        create: { year: jakartaYear, currentSequence: 1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w:t>
      </w:r>
      <w:r>
        <w:rPr>
          <w:rFonts w:ascii="Consolas" w:hAnsi="Consolas"/>
          <w:color w:val="032F62"/>
          <w:sz w:val="21"/>
        </w:rPr>
        <w:t>LEAD-${jakartaYear}-${String(counter.currentSequence).padStart(4, "0")}</w:t>
      </w:r>
      <w:r>
        <w:rPr>
          <w:rFonts w:ascii="Calibri" w:hAnsi="Calibri"/>
          <w:color w:val="24292E"/>
          <w:sz w:val="22"/>
        </w:rPr>
        <w: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Atomic Execution Flow:</w:t>
      </w:r>
    </w:p>
    <w:p>
      <w:pPr>
        <w:spacing w:before="40" w:after="80" w:line="276" w:lineRule="auto"/>
      </w:pPr>
      <w:r>
        <w:rPr>
          <w:rFonts w:ascii="Calibri" w:hAnsi="Calibri"/>
          <w:color w:val="24292E"/>
          <w:sz w:val="22"/>
        </w:rPr>
        <w:t xml:space="preserve">    async function createLeadAtomically(input: CreateLeadInput) {</w:t>
      </w:r>
    </w:p>
    <w:p>
      <w:pPr>
        <w:spacing w:before="40" w:after="80" w:line="276" w:lineRule="auto"/>
      </w:pPr>
      <w:r>
        <w:rPr>
          <w:rFonts w:ascii="Calibri" w:hAnsi="Calibri"/>
          <w:color w:val="24292E"/>
          <w:sz w:val="22"/>
        </w:rPr>
        <w:t xml:space="preserve">      const now = new Date();</w:t>
      </w:r>
    </w:p>
    <w:p>
      <w:pPr>
        <w:spacing w:before="40" w:after="80" w:line="276" w:lineRule="auto"/>
      </w:pPr>
      <w:r>
        <w:rPr>
          <w:rFonts w:ascii="Calibri" w:hAnsi="Calibri"/>
          <w:color w:val="24292E"/>
          <w:sz w:val="22"/>
        </w:rPr>
        <w:t xml:space="preserve">      const jakartaYear = parseInt(</w:t>
      </w:r>
    </w:p>
    <w:p>
      <w:pPr>
        <w:spacing w:before="40" w:after="80" w:line="276" w:lineRule="auto"/>
      </w:pPr>
      <w:r>
        <w:rPr>
          <w:rFonts w:ascii="Calibri" w:hAnsi="Calibri"/>
          <w:color w:val="24292E"/>
          <w:sz w:val="22"/>
        </w:rPr>
        <w:t xml:space="preserve">        new Intl.DateTimeFormat("en-US", { timeZone: "Asia/Jakarta", year: "numeric" }).format(now),</w:t>
      </w:r>
    </w:p>
    <w:p>
      <w:pPr>
        <w:spacing w:before="40" w:after="80" w:line="276" w:lineRule="auto"/>
      </w:pPr>
      <w:r>
        <w:rPr>
          <w:rFonts w:ascii="Calibri" w:hAnsi="Calibri"/>
          <w:color w:val="24292E"/>
          <w:sz w:val="22"/>
        </w:rPr>
        <w:t xml:space="preserve">        10</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await prisma.$transaction(async (tx) =&gt; {</w:t>
      </w:r>
    </w:p>
    <w:p>
      <w:pPr>
        <w:spacing w:before="40" w:after="80" w:line="276" w:lineRule="auto"/>
      </w:pPr>
      <w:r>
        <w:rPr>
          <w:rFonts w:ascii="Calibri" w:hAnsi="Calibri"/>
          <w:color w:val="24292E"/>
          <w:sz w:val="22"/>
        </w:rPr>
        <w:t xml:space="preserve">        // 1. Allocate sequence inside the transaction using template literal</w:t>
      </w:r>
    </w:p>
    <w:p>
      <w:pPr>
        <w:spacing w:before="40" w:after="80" w:line="276" w:lineRule="auto"/>
      </w:pPr>
      <w:r>
        <w:rPr>
          <w:rFonts w:ascii="Calibri" w:hAnsi="Calibri"/>
          <w:color w:val="24292E"/>
          <w:sz w:val="22"/>
        </w:rPr>
        <w:t xml:space="preserve">        const leadNumber = await allocateNextLeadNumber(tx, jakartaYear);</w:t>
      </w:r>
    </w:p>
    <w:p>
      <w:pPr>
        <w:spacing w:before="40" w:after="80" w:line="276" w:lineRule="auto"/>
      </w:pPr>
      <w:r>
        <w:rPr>
          <w:rFonts w:ascii="Calibri" w:hAnsi="Calibri"/>
          <w:color w:val="24292E"/>
          <w:sz w:val="22"/>
        </w:rPr>
        <w:t xml:space="preserve">        // 2. Create the Lead record with the allocated sequence</w:t>
      </w:r>
    </w:p>
    <w:p>
      <w:pPr>
        <w:spacing w:before="40" w:after="80" w:line="276" w:lineRule="auto"/>
      </w:pPr>
      <w:r>
        <w:rPr>
          <w:rFonts w:ascii="Calibri" w:hAnsi="Calibri"/>
          <w:color w:val="24292E"/>
          <w:sz w:val="22"/>
        </w:rPr>
        <w:t xml:space="preserve">        const newLead = await tx.lead.create({</w:t>
      </w:r>
    </w:p>
    <w:p>
      <w:pPr>
        <w:spacing w:before="40" w:after="80" w:line="276" w:lineRule="auto"/>
      </w:pPr>
      <w:r>
        <w:rPr>
          <w:rFonts w:ascii="Calibri" w:hAnsi="Calibri"/>
          <w:color w:val="24292E"/>
          <w:sz w:val="22"/>
        </w:rPr>
        <w:t xml:space="preserve">          data: {</w:t>
      </w:r>
    </w:p>
    <w:p>
      <w:pPr>
        <w:spacing w:before="40" w:after="80" w:line="276" w:lineRule="auto"/>
      </w:pPr>
      <w:r>
        <w:rPr>
          <w:rFonts w:ascii="Calibri" w:hAnsi="Calibri"/>
          <w:color w:val="24292E"/>
          <w:sz w:val="22"/>
        </w:rPr>
        <w:t xml:space="preserve">            ...input,</w:t>
      </w:r>
    </w:p>
    <w:p>
      <w:pPr>
        <w:spacing w:before="40" w:after="80" w:line="276" w:lineRule="auto"/>
      </w:pPr>
      <w:r>
        <w:rPr>
          <w:rFonts w:ascii="Calibri" w:hAnsi="Calibri"/>
          <w:color w:val="24292E"/>
          <w:sz w:val="22"/>
        </w:rPr>
        <w:t xml:space="preserve">            leadNumber,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newLead;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00" w:after="80"/>
      </w:pPr>
      <w:r>
        <w:rPr>
          <w:rFonts w:ascii="Calibri" w:hAnsi="Calibri"/>
          <w:b/>
          <w:color w:val="1F4E79"/>
          <w:sz w:val="26"/>
        </w:rPr>
        <w:t>🛡️ Category 4: Presales Workspace &amp; Cost Capture (</w:t>
      </w:r>
      <w:r>
        <w:rPr>
          <w:rFonts w:ascii="Consolas" w:hAnsi="Consolas"/>
          <w:color w:val="032F62"/>
          <w:sz w:val="25"/>
        </w:rPr>
        <w:t>DEMO-09</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11: Presales Workspace Creation Timing &amp; Authority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"Kapan PRESALES workspace dibuat dan siapa yang boleh memulai?"</w:t>
      </w:r>
    </w:p>
    <w:p>
      <w:pPr>
        <w:pStyle w:val="ListBullet"/>
        <w:spacing w:before="20" w:after="40"/>
        <w:ind w:left="360"/>
      </w:pPr>
      <w:r>
        <w:rPr>
          <w:rFonts w:ascii="Calibri" w:hAnsi="Calibri"/>
          <w:b/>
          <w:color w:val="24292E"/>
          <w:sz w:val="21"/>
        </w:rPr>
        <w:t>English Translation</w:t>
      </w:r>
      <w:r>
        <w:rPr>
          <w:rFonts w:ascii="Calibri" w:hAnsi="Calibri"/>
          <w:color w:val="24292E"/>
          <w:sz w:val="21"/>
        </w:rPr>
        <w:t>: "When is a PRESALES workspace created, and who is authorized to initiate it?"</w:t>
      </w:r>
    </w:p>
    <w:p>
      <w:pPr>
        <w:pStyle w:val="ListBullet"/>
        <w:spacing w:before="20" w:after="40"/>
        <w:ind w:left="360"/>
      </w:pPr>
      <w:r>
        <w:rPr>
          <w:rFonts w:ascii="Calibri" w:hAnsi="Calibri"/>
          <w:b/>
          <w:color w:val="24292E"/>
          <w:sz w:val="21"/>
        </w:rPr>
        <w:t>In the Simplest Terms</w:t>
      </w:r>
      <w:r>
        <w:rPr>
          <w:rFonts w:ascii="Calibri" w:hAnsi="Calibri"/>
          <w:color w:val="24292E"/>
          <w:sz w:val="21"/>
        </w:rPr>
        <w:t>: Never auto-create projects for every lead. Sales or Principals can click "Start Presales Workspace" only when a lead is qualified and needs technical effort.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Strictly Opt-In Presales Workspace</w:t>
      </w:r>
      <w:r>
        <w:rPr>
          <w:rFonts w:ascii="Calibri" w:hAnsi="Calibri"/>
          <w:color w:val="24292E"/>
          <w:sz w:val="22"/>
        </w:rPr>
        <w:t>. A workspace is never auto-spawned on lead creation. It can only be initiated via explicit user action (</w:t>
      </w:r>
      <w:r>
        <w:rPr>
          <w:rFonts w:ascii="Consolas" w:hAnsi="Consolas"/>
          <w:color w:val="032F62"/>
          <w:sz w:val="21"/>
        </w:rPr>
        <w:t>POST /api/leads/:id/presales-workspace</w:t>
      </w:r>
      <w:r>
        <w:rPr>
          <w:rFonts w:ascii="Calibri" w:hAnsi="Calibri"/>
          <w:color w:val="24292E"/>
          <w:sz w:val="22"/>
        </w:rPr>
        <w:t xml:space="preserve">) by the assigned </w:t>
      </w:r>
      <w:r>
        <w:rPr>
          <w:rFonts w:ascii="Consolas" w:hAnsi="Consolas"/>
          <w:color w:val="032F62"/>
          <w:sz w:val="21"/>
        </w:rPr>
        <w:t>SALES</w:t>
      </w:r>
      <w:r>
        <w:rPr>
          <w:rFonts w:ascii="Calibri" w:hAnsi="Calibri"/>
          <w:color w:val="24292E"/>
          <w:sz w:val="22"/>
        </w:rPr>
        <w:t xml:space="preserve"> owner or BU </w:t>
      </w:r>
      <w:r>
        <w:rPr>
          <w:rFonts w:ascii="Consolas" w:hAnsi="Consolas"/>
          <w:color w:val="032F62"/>
          <w:sz w:val="21"/>
        </w:rPr>
        <w:t>PRINCIPAL_KONSULTAN</w:t>
      </w:r>
      <w:r>
        <w:rPr>
          <w:rFonts w:ascii="Calibri" w:hAnsi="Calibri"/>
          <w:color w:val="24292E"/>
          <w:sz w:val="22"/>
        </w:rPr>
        <w:t xml:space="preserve"> once the lead reaches </w:t>
      </w:r>
      <w:r>
        <w:rPr>
          <w:rFonts w:ascii="Consolas" w:hAnsi="Consolas"/>
          <w:color w:val="032F62"/>
          <w:sz w:val="21"/>
        </w:rPr>
        <w:t>QUALIFIED</w:t>
      </w:r>
      <w:r>
        <w:rPr>
          <w:rFonts w:ascii="Calibri" w:hAnsi="Calibri"/>
          <w:color w:val="24292E"/>
          <w:sz w:val="22"/>
        </w:rPr>
        <w:t xml:space="preserve"> stage. </w:t>
      </w:r>
      <w:r>
        <w:rPr>
          <w:rFonts w:ascii="Calibri" w:hAnsi="Calibri"/>
          <w:i/>
          <w:color w:val="24292E"/>
          <w:sz w:val="22"/>
        </w:rPr>
        <w:t>(Source: Master Rec Doc Section 16 &amp; Author Review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project dashboard explosion and keeps presales proposal tasks isolated from delivery projects.</w:t>
      </w:r>
    </w:p>
    <w:p>
      <w:pPr>
        <w:spacing w:before="120" w:after="120"/>
        <w:pBdr>
          <w:bottom w:val="single" w:sz="6" w:space="1" w:color="E1E4E8"/>
        </w:pBdr>
      </w:pPr>
    </w:p>
    <w:p>
      <w:pPr>
        <w:keepNext/>
        <w:spacing w:before="160" w:after="40"/>
      </w:pPr>
      <w:r>
        <w:rPr>
          <w:rFonts w:ascii="Calibri" w:hAnsi="Calibri"/>
          <w:b/>
          <w:color w:val="262626"/>
          <w:sz w:val="23"/>
        </w:rPr>
        <w:t>Question 12: Won Deal Conversion (Promotion vs. Dedicated Delivery Project)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"Saat WON: promote PRESALES workspace atau create delivery Project terpisah?"</w:t>
      </w:r>
    </w:p>
    <w:p>
      <w:pPr>
        <w:pStyle w:val="ListBullet"/>
        <w:spacing w:before="20" w:after="40"/>
        <w:ind w:left="360"/>
      </w:pPr>
      <w:r>
        <w:rPr>
          <w:rFonts w:ascii="Calibri" w:hAnsi="Calibri"/>
          <w:b/>
          <w:color w:val="24292E"/>
          <w:sz w:val="21"/>
        </w:rPr>
        <w:t>English Translation</w:t>
      </w:r>
      <w:r>
        <w:rPr>
          <w:rFonts w:ascii="Calibri" w:hAnsi="Calibri"/>
          <w:color w:val="24292E"/>
          <w:sz w:val="21"/>
        </w:rPr>
        <w:t>: "When a deal is WON: promote the PRESALES workspace or create a separate delivery Project?"</w:t>
      </w:r>
    </w:p>
    <w:p>
      <w:pPr>
        <w:pStyle w:val="ListBullet"/>
        <w:spacing w:before="20" w:after="40"/>
        <w:ind w:left="360"/>
      </w:pPr>
      <w:r>
        <w:rPr>
          <w:rFonts w:ascii="Calibri" w:hAnsi="Calibri"/>
          <w:b/>
          <w:color w:val="24292E"/>
          <w:sz w:val="21"/>
        </w:rPr>
        <w:t>In the Simplest Terms</w:t>
      </w:r>
      <w:r>
        <w:rPr>
          <w:rFonts w:ascii="Calibri" w:hAnsi="Calibri"/>
          <w:color w:val="24292E"/>
          <w:sz w:val="21"/>
        </w:rPr>
        <w:t>: Create a fresh, official delivery Project with its own project code, link it to the Lead, and close the presales workspace.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Deterministic Conversion Flow</w:t>
      </w:r>
      <w:r>
        <w:rPr>
          <w:rFonts w:ascii="Calibri" w:hAnsi="Calibri"/>
          <w:color w:val="24292E"/>
          <w:sz w:val="22"/>
        </w:rPr>
        <w:t xml:space="preserve">. When a lead is marked </w:t>
      </w:r>
      <w:r>
        <w:rPr>
          <w:rFonts w:ascii="Consolas" w:hAnsi="Consolas"/>
          <w:color w:val="032F62"/>
          <w:sz w:val="21"/>
        </w:rPr>
        <w:t>WON</w:t>
      </w:r>
      <w:r>
        <w:rPr>
          <w:rFonts w:ascii="Calibri" w:hAnsi="Calibri"/>
          <w:color w:val="24292E"/>
          <w:sz w:val="22"/>
        </w:rPr>
        <w:t xml:space="preserve">, create a dedicated delivery </w:t>
      </w:r>
      <w:r>
        <w:rPr>
          <w:rFonts w:ascii="Consolas" w:hAnsi="Consolas"/>
          <w:color w:val="032F62"/>
          <w:sz w:val="21"/>
        </w:rPr>
        <w:t>Project</w:t>
      </w:r>
      <w:r>
        <w:rPr>
          <w:rFonts w:ascii="Calibri" w:hAnsi="Calibri"/>
          <w:color w:val="24292E"/>
          <w:sz w:val="22"/>
        </w:rPr>
        <w:t xml:space="preserve"> (</w:t>
      </w:r>
      <w:r>
        <w:rPr>
          <w:rFonts w:ascii="Consolas" w:hAnsi="Consolas"/>
          <w:color w:val="032F62"/>
          <w:sz w:val="21"/>
        </w:rPr>
        <w:t>ProjectKind.CLIENT</w:t>
      </w:r>
      <w:r>
        <w:rPr>
          <w:rFonts w:ascii="Calibri" w:hAnsi="Calibri"/>
          <w:color w:val="24292E"/>
          <w:sz w:val="22"/>
        </w:rPr>
        <w:t>) with an official project code (</w:t>
      </w:r>
      <w:r>
        <w:rPr>
          <w:rFonts w:ascii="Consolas" w:hAnsi="Consolas"/>
          <w:color w:val="032F62"/>
          <w:sz w:val="21"/>
        </w:rPr>
        <w:t>PRJ-YYYY-NNNN</w:t>
      </w:r>
      <w:r>
        <w:rPr>
          <w:rFonts w:ascii="Calibri" w:hAnsi="Calibri"/>
          <w:color w:val="24292E"/>
          <w:sz w:val="22"/>
        </w:rPr>
        <w:t xml:space="preserve">), transfer the approved commercial scope/budget, link </w:t>
      </w:r>
      <w:r>
        <w:rPr>
          <w:rFonts w:ascii="Consolas" w:hAnsi="Consolas"/>
          <w:color w:val="032F62"/>
          <w:sz w:val="21"/>
        </w:rPr>
        <w:t>Lead.convertedProjectId = project.id</w:t>
      </w:r>
      <w:r>
        <w:rPr>
          <w:rFonts w:ascii="Calibri" w:hAnsi="Calibri"/>
          <w:color w:val="24292E"/>
          <w:sz w:val="22"/>
        </w:rPr>
        <w:t xml:space="preserve">, and transition the linked presales workspace to </w:t>
      </w:r>
      <w:r>
        <w:rPr>
          <w:rFonts w:ascii="Consolas" w:hAnsi="Consolas"/>
          <w:color w:val="032F62"/>
          <w:sz w:val="21"/>
        </w:rPr>
        <w:t>ProjectStatus.CLOSED</w:t>
      </w:r>
      <w:r>
        <w:rPr>
          <w:rFonts w:ascii="Calibri" w:hAnsi="Calibri"/>
          <w:color w:val="24292E"/>
          <w:sz w:val="22"/>
        </w:rPr>
        <w:t xml:space="preserve">. </w:t>
      </w:r>
      <w:r>
        <w:rPr>
          <w:rFonts w:ascii="Calibri" w:hAnsi="Calibri"/>
          <w:i/>
          <w:color w:val="24292E"/>
          <w:sz w:val="22"/>
        </w:rPr>
        <w:t>(Source: Master Rec Doc Section 16)</w:t>
      </w:r>
    </w:p>
    <w:p>
      <w:pPr>
        <w:spacing w:before="120" w:after="120"/>
        <w:pBdr>
          <w:bottom w:val="single" w:sz="6" w:space="1" w:color="E1E4E8"/>
        </w:pBdr>
      </w:pPr>
    </w:p>
    <w:p>
      <w:pPr>
        <w:keepNext/>
        <w:spacing w:before="160" w:after="40"/>
      </w:pPr>
      <w:r>
        <w:rPr>
          <w:rFonts w:ascii="Calibri" w:hAnsi="Calibri"/>
          <w:b/>
          <w:color w:val="262626"/>
          <w:sz w:val="23"/>
        </w:rPr>
        <w:t>Question 13: Presales Cost Accounting (CAC vs. Delivery EVM)</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presales cost menjadi bagian project total cost atau separate CAC ledger/report?"</w:t>
      </w:r>
    </w:p>
    <w:p>
      <w:pPr>
        <w:pStyle w:val="ListBullet"/>
        <w:spacing w:before="20" w:after="40"/>
        <w:ind w:left="360"/>
      </w:pPr>
      <w:r>
        <w:rPr>
          <w:rFonts w:ascii="Calibri" w:hAnsi="Calibri"/>
          <w:b/>
          <w:color w:val="24292E"/>
          <w:sz w:val="21"/>
        </w:rPr>
        <w:t>English Translation</w:t>
      </w:r>
      <w:r>
        <w:rPr>
          <w:rFonts w:ascii="Calibri" w:hAnsi="Calibri"/>
          <w:color w:val="24292E"/>
          <w:sz w:val="21"/>
        </w:rPr>
        <w:t>: "Is presales cost part of the total project delivery cost or a separate CAC ledger/report?"</w:t>
      </w:r>
    </w:p>
    <w:p>
      <w:pPr>
        <w:pStyle w:val="ListBullet"/>
        <w:spacing w:before="20" w:after="40"/>
        <w:ind w:left="360"/>
      </w:pPr>
      <w:r>
        <w:rPr>
          <w:rFonts w:ascii="Calibri" w:hAnsi="Calibri"/>
          <w:b/>
          <w:color w:val="24292E"/>
          <w:sz w:val="21"/>
        </w:rPr>
        <w:t>In the Simplest Terms</w:t>
      </w:r>
      <w:r>
        <w:rPr>
          <w:rFonts w:ascii="Calibri" w:hAnsi="Calibri"/>
          <w:color w:val="24292E"/>
          <w:sz w:val="21"/>
        </w:rPr>
        <w:t>: Keep presales costs in a separate CAC (Customer Acquisition Cost) report. Do not add it to the delivery project so project delivery profit and EVM stay 100% accurate.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Hard Isolation of Presales Costs into Commercial CAC</w:t>
      </w:r>
      <w:r>
        <w:rPr>
          <w:rFonts w:ascii="Calibri" w:hAnsi="Calibri"/>
          <w:color w:val="24292E"/>
          <w:sz w:val="22"/>
        </w:rPr>
        <w:t xml:space="preserve">. Presales timesheets and expenses are booked to </w:t>
      </w:r>
      <w:r>
        <w:rPr>
          <w:rFonts w:ascii="Consolas" w:hAnsi="Consolas"/>
          <w:color w:val="032F62"/>
          <w:sz w:val="21"/>
        </w:rPr>
        <w:t>ProjectKind.PRESALES</w:t>
      </w:r>
      <w:r>
        <w:rPr>
          <w:rFonts w:ascii="Calibri" w:hAnsi="Calibri"/>
          <w:color w:val="24292E"/>
          <w:sz w:val="22"/>
        </w:rPr>
        <w:t xml:space="preserve"> and reported under Customer Acquisition Cost (CAC). They are strictly excluded from the delivery project's Planned Value (PV), Budget at Completion (BAC), and client billing milestones. </w:t>
      </w:r>
      <w:r>
        <w:rPr>
          <w:rFonts w:ascii="Calibri" w:hAnsi="Calibri"/>
          <w:i/>
          <w:color w:val="24292E"/>
          <w:sz w:val="22"/>
        </w:rPr>
        <w:t>(Source: Master Rec Doc Section 16)</w:t>
      </w:r>
    </w:p>
    <w:p>
      <w:pPr>
        <w:spacing w:before="120" w:after="120"/>
        <w:pBdr>
          <w:bottom w:val="single" w:sz="6" w:space="1" w:color="E1E4E8"/>
        </w:pBdr>
      </w:pPr>
    </w:p>
    <w:p>
      <w:pPr>
        <w:keepNext/>
        <w:spacing w:before="200" w:after="80"/>
      </w:pPr>
      <w:r>
        <w:rPr>
          <w:rFonts w:ascii="Calibri" w:hAnsi="Calibri"/>
          <w:b/>
          <w:color w:val="1F4E79"/>
          <w:sz w:val="26"/>
        </w:rPr>
        <w:t>📊 Category 5: Sales Stages &amp; Probability Forecasting (</w:t>
      </w:r>
      <w:r>
        <w:rPr>
          <w:rFonts w:ascii="Consolas" w:hAnsi="Consolas"/>
          <w:color w:val="032F62"/>
          <w:sz w:val="25"/>
        </w:rPr>
        <w:t>DEMO-08</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14: Sales Stage Taxonomy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CONTACTED/CONTRACTING menjadi stage resmi?"</w:t>
      </w:r>
    </w:p>
    <w:p>
      <w:pPr>
        <w:pStyle w:val="ListBullet"/>
        <w:spacing w:before="20" w:after="40"/>
        <w:ind w:left="360"/>
      </w:pPr>
      <w:r>
        <w:rPr>
          <w:rFonts w:ascii="Calibri" w:hAnsi="Calibri"/>
          <w:b/>
          <w:color w:val="24292E"/>
          <w:sz w:val="21"/>
        </w:rPr>
        <w:t>English Translation</w:t>
      </w:r>
      <w:r>
        <w:rPr>
          <w:rFonts w:ascii="Calibri" w:hAnsi="Calibri"/>
          <w:color w:val="24292E"/>
          <w:sz w:val="21"/>
        </w:rPr>
        <w:t>: "Are CONTACTED/CONTRACTING official stages in the system?"</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Keep the current 6 clean stages (NEW, QUALIFIED, PROPOSAL, NEGOTIATION, WON, LOST) to avoid breaking existing funnels and integrations.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5.1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Retain the existing 6 canonical </w:t>
      </w:r>
      <w:r>
        <w:rPr>
          <w:rFonts w:ascii="Consolas" w:hAnsi="Consolas"/>
          <w:color w:val="032F62"/>
          <w:sz w:val="21"/>
        </w:rPr>
        <w:t>LeadStage</w:t>
      </w:r>
      <w:r>
        <w:rPr>
          <w:rFonts w:ascii="Calibri" w:hAnsi="Calibri"/>
          <w:color w:val="24292E"/>
          <w:sz w:val="22"/>
        </w:rPr>
        <w:t xml:space="preserve"> Prisma enum values (</w:t>
      </w:r>
      <w:r>
        <w:rPr>
          <w:rFonts w:ascii="Consolas" w:hAnsi="Consolas"/>
          <w:color w:val="032F62"/>
          <w:sz w:val="21"/>
        </w:rPr>
        <w:t>NEW</w:t>
      </w:r>
      <w:r>
        <w:rPr>
          <w:rFonts w:ascii="Calibri" w:hAnsi="Calibri"/>
          <w:color w:val="24292E"/>
          <w:sz w:val="22"/>
        </w:rPr>
        <w:t xml:space="preserve">, </w:t>
      </w:r>
      <w:r>
        <w:rPr>
          <w:rFonts w:ascii="Consolas" w:hAnsi="Consolas"/>
          <w:color w:val="032F62"/>
          <w:sz w:val="21"/>
        </w:rPr>
        <w:t>QUALIFIED</w:t>
      </w:r>
      <w:r>
        <w:rPr>
          <w:rFonts w:ascii="Calibri" w:hAnsi="Calibri"/>
          <w:color w:val="24292E"/>
          <w:sz w:val="22"/>
        </w:rPr>
        <w:t xml:space="preserve">, </w:t>
      </w:r>
      <w:r>
        <w:rPr>
          <w:rFonts w:ascii="Consolas" w:hAnsi="Consolas"/>
          <w:color w:val="032F62"/>
          <w:sz w:val="21"/>
        </w:rPr>
        <w:t>PROPOSAL</w:t>
      </w:r>
      <w:r>
        <w:rPr>
          <w:rFonts w:ascii="Calibri" w:hAnsi="Calibri"/>
          <w:color w:val="24292E"/>
          <w:sz w:val="22"/>
        </w:rPr>
        <w:t xml:space="preserve">, </w:t>
      </w:r>
      <w:r>
        <w:rPr>
          <w:rFonts w:ascii="Consolas" w:hAnsi="Consolas"/>
          <w:color w:val="032F62"/>
          <w:sz w:val="21"/>
        </w:rPr>
        <w:t>NEGOTIATION</w:t>
      </w:r>
      <w:r>
        <w:rPr>
          <w:rFonts w:ascii="Calibri" w:hAnsi="Calibri"/>
          <w:color w:val="24292E"/>
          <w:sz w:val="22"/>
        </w:rPr>
        <w:t xml:space="preserve">, </w:t>
      </w:r>
      <w:r>
        <w:rPr>
          <w:rFonts w:ascii="Consolas" w:hAnsi="Consolas"/>
          <w:color w:val="032F62"/>
          <w:sz w:val="21"/>
        </w:rPr>
        <w:t>WON</w:t>
      </w:r>
      <w:r>
        <w:rPr>
          <w:rFonts w:ascii="Calibri" w:hAnsi="Calibri"/>
          <w:color w:val="24292E"/>
          <w:sz w:val="22"/>
        </w:rPr>
        <w:t xml:space="preserve">, </w:t>
      </w:r>
      <w:r>
        <w:rPr>
          <w:rFonts w:ascii="Consolas" w:hAnsi="Consolas"/>
          <w:color w:val="032F62"/>
          <w:sz w:val="21"/>
        </w:rPr>
        <w:t>LOST</w:t>
      </w:r>
      <w:r>
        <w:rPr>
          <w:rFonts w:ascii="Calibri" w:hAnsi="Calibri"/>
          <w:color w:val="24292E"/>
          <w:sz w:val="22"/>
        </w:rPr>
        <w:t xml:space="preserve">). Map external CRM sub-stages into these 6 stages. </w:t>
      </w:r>
      <w:r>
        <w:rPr>
          <w:rFonts w:ascii="Calibri" w:hAnsi="Calibri"/>
          <w:i/>
          <w:color w:val="24292E"/>
          <w:sz w:val="22"/>
        </w:rPr>
        <w:t>(Source: Codebase c7080af Audit &amp; Master Rec Doc)</w:t>
      </w:r>
    </w:p>
    <w:p>
      <w:pPr>
        <w:spacing w:before="120" w:after="120"/>
        <w:pBdr>
          <w:bottom w:val="single" w:sz="6" w:space="1" w:color="E1E4E8"/>
        </w:pBdr>
      </w:pPr>
    </w:p>
    <w:p>
      <w:pPr>
        <w:keepNext/>
        <w:spacing w:before="160" w:after="40"/>
      </w:pPr>
      <w:r>
        <w:rPr>
          <w:rFonts w:ascii="Calibri" w:hAnsi="Calibri"/>
          <w:b/>
          <w:color w:val="262626"/>
          <w:sz w:val="23"/>
        </w:rPr>
        <w:t>Question 15: Default Win Probability &amp; Manual Override Governance</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"Default probability dan override policy?"</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default stage probabilities and the manual override policy?"</w:t>
      </w:r>
    </w:p>
    <w:p>
      <w:pPr>
        <w:pStyle w:val="ListBullet"/>
        <w:spacing w:before="20" w:after="40"/>
        <w:ind w:left="360"/>
      </w:pPr>
      <w:r>
        <w:rPr>
          <w:rFonts w:ascii="Calibri" w:hAnsi="Calibri"/>
          <w:b/>
          <w:color w:val="24292E"/>
          <w:sz w:val="21"/>
        </w:rPr>
        <w:t>In the Simplest Terms</w:t>
      </w:r>
      <w:r>
        <w:rPr>
          <w:rFonts w:ascii="Calibri" w:hAnsi="Calibri"/>
          <w:color w:val="24292E"/>
          <w:sz w:val="21"/>
        </w:rPr>
        <w:t>: The system automatically sets win probability based on stage (e.g., NEW=20%, PROPOSAL=60%, WON=100%, LOST=0%). Sales can override it, but they must enter a reason that gets saved in an audit log.</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5.2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Automate default win probability on stage changes (</w:t>
      </w:r>
      <w:r>
        <w:rPr>
          <w:rFonts w:ascii="Consolas" w:hAnsi="Consolas"/>
          <w:color w:val="032F62"/>
          <w:sz w:val="21"/>
        </w:rPr>
        <w:t>NEW</w:t>
      </w:r>
      <w:r>
        <w:rPr>
          <w:rFonts w:ascii="Calibri" w:hAnsi="Calibri"/>
          <w:color w:val="24292E"/>
          <w:sz w:val="22"/>
        </w:rPr>
        <w:t xml:space="preserve"> 20%, </w:t>
      </w:r>
      <w:r>
        <w:rPr>
          <w:rFonts w:ascii="Consolas" w:hAnsi="Consolas"/>
          <w:color w:val="032F62"/>
          <w:sz w:val="21"/>
        </w:rPr>
        <w:t>QUALIFIED</w:t>
      </w:r>
      <w:r>
        <w:rPr>
          <w:rFonts w:ascii="Calibri" w:hAnsi="Calibri"/>
          <w:color w:val="24292E"/>
          <w:sz w:val="22"/>
        </w:rPr>
        <w:t xml:space="preserve"> 40%, </w:t>
      </w:r>
      <w:r>
        <w:rPr>
          <w:rFonts w:ascii="Consolas" w:hAnsi="Consolas"/>
          <w:color w:val="032F62"/>
          <w:sz w:val="21"/>
        </w:rPr>
        <w:t>PROPOSAL</w:t>
      </w:r>
      <w:r>
        <w:rPr>
          <w:rFonts w:ascii="Calibri" w:hAnsi="Calibri"/>
          <w:color w:val="24292E"/>
          <w:sz w:val="22"/>
        </w:rPr>
        <w:t xml:space="preserve"> 60%, </w:t>
      </w:r>
      <w:r>
        <w:rPr>
          <w:rFonts w:ascii="Consolas" w:hAnsi="Consolas"/>
          <w:color w:val="032F62"/>
          <w:sz w:val="21"/>
        </w:rPr>
        <w:t>NEGOTIATION</w:t>
      </w:r>
      <w:r>
        <w:rPr>
          <w:rFonts w:ascii="Calibri" w:hAnsi="Calibri"/>
          <w:color w:val="24292E"/>
          <w:sz w:val="22"/>
        </w:rPr>
        <w:t xml:space="preserve"> 80%, </w:t>
      </w:r>
      <w:r>
        <w:rPr>
          <w:rFonts w:ascii="Consolas" w:hAnsi="Consolas"/>
          <w:color w:val="032F62"/>
          <w:sz w:val="21"/>
        </w:rPr>
        <w:t>WON</w:t>
      </w:r>
      <w:r>
        <w:rPr>
          <w:rFonts w:ascii="Calibri" w:hAnsi="Calibri"/>
          <w:color w:val="24292E"/>
          <w:sz w:val="22"/>
        </w:rPr>
        <w:t xml:space="preserve"> 100%, </w:t>
      </w:r>
      <w:r>
        <w:rPr>
          <w:rFonts w:ascii="Consolas" w:hAnsi="Consolas"/>
          <w:color w:val="032F62"/>
          <w:sz w:val="21"/>
        </w:rPr>
        <w:t>LOST</w:t>
      </w:r>
      <w:r>
        <w:rPr>
          <w:rFonts w:ascii="Calibri" w:hAnsi="Calibri"/>
          <w:color w:val="24292E"/>
          <w:sz w:val="22"/>
        </w:rPr>
        <w:t xml:space="preserve"> 0%). Allow manual overrides only when accompanied by a mandatory written justification reason, capturing the actor ID and timestamp. </w:t>
      </w:r>
      <w:r>
        <w:rPr>
          <w:rFonts w:ascii="Calibri" w:hAnsi="Calibri"/>
          <w:i/>
          <w:color w:val="24292E"/>
          <w:sz w:val="22"/>
        </w:rPr>
        <w:t>(Source: Master Rec Doc Section 16)</w:t>
      </w:r>
    </w:p>
    <w:p>
      <w:pPr>
        <w:spacing w:before="120" w:after="120"/>
        <w:pBdr>
          <w:bottom w:val="single" w:sz="6" w:space="1" w:color="E1E4E8"/>
        </w:pBdr>
      </w:pPr>
    </w:p>
    <w:p>
      <w:pPr>
        <w:keepNext/>
        <w:spacing w:before="200" w:after="80"/>
      </w:pPr>
      <w:r>
        <w:rPr>
          <w:rFonts w:ascii="Calibri" w:hAnsi="Calibri"/>
          <w:b/>
          <w:color w:val="1F4E79"/>
          <w:sz w:val="26"/>
        </w:rPr>
        <w:t>💰 Category 6: Commercial Offerings, Margin Evaluation, &amp; Finance Approval (</w:t>
      </w:r>
      <w:r>
        <w:rPr>
          <w:rFonts w:ascii="Consolas" w:hAnsi="Consolas"/>
          <w:color w:val="032F62"/>
          <w:sz w:val="25"/>
        </w:rPr>
        <w:t>DEMO-02</w:t>
      </w:r>
      <w:r>
        <w:rPr>
          <w:rFonts w:ascii="Calibri" w:hAnsi="Calibri"/>
          <w:color w:val="1F4E79"/>
          <w:sz w:val="26"/>
        </w:rPr>
        <w:t xml:space="preserve">, </w:t>
      </w:r>
      <w:r>
        <w:rPr>
          <w:rFonts w:ascii="Consolas" w:hAnsi="Consolas"/>
          <w:color w:val="032F62"/>
          <w:sz w:val="25"/>
        </w:rPr>
        <w:t>DEMO-07</w:t>
      </w:r>
      <w:r>
        <w:rPr>
          <w:rFonts w:ascii="Calibri" w:hAnsi="Calibri"/>
          <w:color w:val="1F4E79"/>
          <w:sz w:val="26"/>
        </w:rPr>
        <w:t xml:space="preserve">, </w:t>
      </w:r>
      <w:r>
        <w:rPr>
          <w:rFonts w:ascii="Consolas" w:hAnsi="Consolas"/>
          <w:color w:val="032F62"/>
          <w:sz w:val="25"/>
        </w:rPr>
        <w:t>DEMO-10</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16: Offering Scope-to-Project Delivery Mapping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"Offering-to-project scope/workstream/task/billing mappings?"</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do commercial offerings map to project scope, workstreams, tasks, and billing upon conversion?"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The products/services chosen during sales automatically generate the project workstreams, initial scope descriptions, and standard task templates when the deal is won.</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Introduce a BU-owned </w:t>
      </w:r>
      <w:r>
        <w:rPr>
          <w:rFonts w:ascii="Consolas" w:hAnsi="Consolas"/>
          <w:color w:val="032F62"/>
          <w:sz w:val="21"/>
        </w:rPr>
        <w:t>OfferingCatalog</w:t>
      </w:r>
      <w:r>
        <w:rPr>
          <w:rFonts w:ascii="Calibri" w:hAnsi="Calibri"/>
          <w:color w:val="24292E"/>
          <w:sz w:val="22"/>
        </w:rPr>
        <w:t xml:space="preserve"> and point-in-time </w:t>
      </w:r>
      <w:r>
        <w:rPr>
          <w:rFonts w:ascii="Consolas" w:hAnsi="Consolas"/>
          <w:color w:val="032F62"/>
          <w:sz w:val="21"/>
        </w:rPr>
        <w:t>LeadOffering</w:t>
      </w:r>
      <w:r>
        <w:rPr>
          <w:rFonts w:ascii="Calibri" w:hAnsi="Calibri"/>
          <w:color w:val="24292E"/>
          <w:sz w:val="22"/>
        </w:rPr>
        <w:t xml:space="preserve"> line snapshots. On project conversion, each selected offering automatically instantiates a corresponding </w:t>
      </w:r>
      <w:r>
        <w:rPr>
          <w:rFonts w:ascii="Consolas" w:hAnsi="Consolas"/>
          <w:color w:val="032F62"/>
          <w:sz w:val="21"/>
        </w:rPr>
        <w:t>ProjectWorkstream</w:t>
      </w:r>
      <w:r>
        <w:rPr>
          <w:rFonts w:ascii="Calibri" w:hAnsi="Calibri"/>
          <w:color w:val="24292E"/>
          <w:sz w:val="22"/>
        </w:rPr>
        <w:t xml:space="preserve"> and attaches standard BU </w:t>
      </w:r>
      <w:r>
        <w:rPr>
          <w:rFonts w:ascii="Consolas" w:hAnsi="Consolas"/>
          <w:color w:val="032F62"/>
          <w:sz w:val="21"/>
        </w:rPr>
        <w:t>TaskTemplate</w:t>
      </w:r>
      <w:r>
        <w:rPr>
          <w:rFonts w:ascii="Calibri" w:hAnsi="Calibri"/>
          <w:color w:val="24292E"/>
          <w:sz w:val="22"/>
        </w:rPr>
        <w:t xml:space="preserve"> items. </w:t>
      </w:r>
      <w:r>
        <w:rPr>
          <w:rFonts w:ascii="Calibri" w:hAnsi="Calibri"/>
          <w:i/>
          <w:color w:val="24292E"/>
          <w:sz w:val="22"/>
        </w:rPr>
        <w:t>(Source: Master Rec Doc Section 16)</w:t>
      </w:r>
    </w:p>
    <w:p>
      <w:pPr>
        <w:spacing w:before="120" w:after="120"/>
        <w:pBdr>
          <w:bottom w:val="single" w:sz="6" w:space="1" w:color="E1E4E8"/>
        </w:pBdr>
      </w:pPr>
    </w:p>
    <w:p>
      <w:pPr>
        <w:keepNext/>
        <w:spacing w:before="160" w:after="40"/>
      </w:pPr>
      <w:r>
        <w:rPr>
          <w:rFonts w:ascii="Calibri" w:hAnsi="Calibri"/>
          <w:b/>
          <w:color w:val="262626"/>
          <w:sz w:val="23"/>
        </w:rPr>
        <w:t>Question 17: Margin Evaluation Formulas, Configurable VAT, &amp; Pass-Through Costs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"Margin thresholds, VAT, currency, discount/pass-through formula?"</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margin thresholds, VAT handling, currency conversions, and calculation formulas?"</w:t>
      </w:r>
    </w:p>
    <w:p>
      <w:pPr>
        <w:pStyle w:val="ListBullet"/>
        <w:spacing w:before="20" w:after="40"/>
        <w:ind w:left="360"/>
      </w:pPr>
      <w:r>
        <w:rPr>
          <w:rFonts w:ascii="Calibri" w:hAnsi="Calibri"/>
          <w:b/>
          <w:color w:val="24292E"/>
          <w:sz w:val="21"/>
        </w:rPr>
        <w:t>In the Simplest Terms</w:t>
      </w:r>
      <w:r>
        <w:rPr>
          <w:rFonts w:ascii="Calibri" w:hAnsi="Calibri"/>
          <w:color w:val="24292E"/>
          <w:sz w:val="21"/>
        </w:rPr>
        <w:t>: Target margin: $\ge 30\%$ is Green (Healthy), $20–29\%$ is Yellow (Moderate), $&lt; 20\%$ is Red (Critical). VAT is calculated dynamically from system settings so profit calculations reflect real net revenue.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Calculate margins on net revenue (DPP) using exact Decimal arithmetic. Establish 3 commercial health tiers: 🟢 </w:t>
      </w:r>
      <w:r>
        <w:rPr>
          <w:rFonts w:ascii="Calibri" w:hAnsi="Calibri"/>
          <w:b/>
          <w:color w:val="24292E"/>
          <w:sz w:val="22"/>
        </w:rPr>
        <w:t>Healthy</w:t>
      </w:r>
      <w:r>
        <w:rPr>
          <w:rFonts w:ascii="Calibri" w:hAnsi="Calibri"/>
          <w:color w:val="24292E"/>
          <w:sz w:val="22"/>
        </w:rPr>
        <w:t xml:space="preserve"> ($\ge 30.0\%$), 🟡 </w:t>
      </w:r>
      <w:r>
        <w:rPr>
          <w:rFonts w:ascii="Calibri" w:hAnsi="Calibri"/>
          <w:b/>
          <w:color w:val="24292E"/>
          <w:sz w:val="22"/>
        </w:rPr>
        <w:t>Moderate</w:t>
      </w:r>
      <w:r>
        <w:rPr>
          <w:rFonts w:ascii="Calibri" w:hAnsi="Calibri"/>
          <w:color w:val="24292E"/>
          <w:sz w:val="22"/>
        </w:rPr>
        <w:t xml:space="preserve"> ($20.0\% \le M &lt; 30.0\%$), and 🔴 </w:t>
      </w:r>
      <w:r>
        <w:rPr>
          <w:rFonts w:ascii="Calibri" w:hAnsi="Calibri"/>
          <w:b/>
          <w:color w:val="24292E"/>
          <w:sz w:val="22"/>
        </w:rPr>
        <w:t>Critical</w:t>
      </w:r>
      <w:r>
        <w:rPr>
          <w:rFonts w:ascii="Calibri" w:hAnsi="Calibri"/>
          <w:color w:val="24292E"/>
          <w:sz w:val="22"/>
        </w:rPr>
        <w:t xml:space="preserve"> ($&lt; 20.0\%$).  </w:t>
      </w:r>
    </w:p>
    <w:p>
      <w:pPr>
        <w:spacing w:before="40" w:after="80" w:line="276" w:lineRule="auto"/>
      </w:pPr>
      <w:r>
        <w:rPr>
          <w:rFonts w:ascii="Calibri" w:hAnsi="Calibri"/>
          <w:color w:val="24292E"/>
          <w:sz w:val="22"/>
        </w:rPr>
        <w:t xml:space="preserve">  &gt; </w:t>
      </w:r>
      <w:r>
        <w:rPr>
          <w:rFonts w:ascii="Calibri" w:hAnsi="Calibri"/>
          <w:b/>
          <w:color w:val="24292E"/>
          <w:sz w:val="22"/>
        </w:rPr>
        <w:t>Decision 6.2b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Make VAT Configurable &amp; Versioned</w:t>
      </w:r>
      <w:r>
        <w:rPr>
          <w:rFonts w:ascii="Calibri" w:hAnsi="Calibri"/>
          <w:color w:val="24292E"/>
          <w:sz w:val="22"/>
        </w:rPr>
        <w:t>. VAT rate is retrieved from global system settings (</w:t>
      </w:r>
      <w:r>
        <w:rPr>
          <w:rFonts w:ascii="Consolas" w:hAnsi="Consolas"/>
          <w:color w:val="032F62"/>
          <w:sz w:val="21"/>
        </w:rPr>
        <w:t>AppSetting</w:t>
      </w:r>
      <w:r>
        <w:rPr>
          <w:rFonts w:ascii="Calibri" w:hAnsi="Calibri"/>
          <w:color w:val="24292E"/>
          <w:sz w:val="22"/>
        </w:rPr>
        <w:t xml:space="preserve">) or tax policy, confirmed by Finance, and stored as an immutable point-in-time snapshot on </w:t>
      </w:r>
      <w:r>
        <w:rPr>
          <w:rFonts w:ascii="Consolas" w:hAnsi="Consolas"/>
          <w:color w:val="032F62"/>
          <w:sz w:val="21"/>
        </w:rPr>
        <w:t>CommercialBudgetRevision.vatPercent</w:t>
      </w:r>
      <w:r>
        <w:rPr>
          <w:rFonts w:ascii="Calibri" w:hAnsi="Calibri"/>
          <w:color w:val="24292E"/>
          <w:sz w:val="22"/>
        </w:rPr>
        <w:t xml:space="preserve"> using exact </w:t>
      </w:r>
      <w:r>
        <w:rPr>
          <w:rFonts w:ascii="Consolas" w:hAnsi="Consolas"/>
          <w:color w:val="032F62"/>
          <w:sz w:val="21"/>
        </w:rPr>
        <w:t>Decimal(5, 2)</w:t>
      </w:r>
      <w:r>
        <w:rPr>
          <w:rFonts w:ascii="Calibri" w:hAnsi="Calibri"/>
          <w:color w:val="24292E"/>
          <w:sz w:val="22"/>
        </w:rPr>
        <w:t xml:space="preserve">. </w:t>
      </w:r>
      <w:r>
        <w:rPr>
          <w:rFonts w:ascii="Calibri" w:hAnsi="Calibri"/>
          <w:i/>
          <w:color w:val="24292E"/>
          <w:sz w:val="22"/>
        </w:rPr>
        <w:t>(Source: Author Review 1 - Revision #13)</w:t>
      </w:r>
    </w:p>
    <w:p>
      <w:pPr>
        <w:spacing w:before="120" w:after="120"/>
        <w:pBdr>
          <w:bottom w:val="single" w:sz="6" w:space="1" w:color="E1E4E8"/>
        </w:pBdr>
      </w:pPr>
    </w:p>
    <w:p>
      <w:pPr>
        <w:keepNext/>
        <w:spacing w:before="160" w:after="40"/>
      </w:pPr>
      <w:r>
        <w:rPr>
          <w:rFonts w:ascii="Calibri" w:hAnsi="Calibri"/>
          <w:b/>
          <w:color w:val="262626"/>
          <w:sz w:val="23"/>
        </w:rPr>
        <w:t>Question 18: Approver Roles, Escalation, &amp; Non-Financial Edits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"Approver/escalation dan separation of duties?"</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are the approvers, how does escalation work, and how is Separation of Duties enforced?"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Finance approves standard budgets ($\ge 20\%$). If margin is Critical ($&lt; 20\%$), Management must also approve. The salesperson who owns the deal can never approve their own budget.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versioned, immutable </w:t>
      </w:r>
      <w:r>
        <w:rPr>
          <w:rFonts w:ascii="Consolas" w:hAnsi="Consolas"/>
          <w:color w:val="032F62"/>
          <w:sz w:val="21"/>
        </w:rPr>
        <w:t>CommercialBudgetRevision</w:t>
      </w:r>
      <w:r>
        <w:rPr>
          <w:rFonts w:ascii="Calibri" w:hAnsi="Calibri"/>
          <w:color w:val="24292E"/>
          <w:sz w:val="22"/>
        </w:rPr>
        <w:t xml:space="preserve"> records. Enforce </w:t>
      </w:r>
      <w:r>
        <w:rPr>
          <w:rFonts w:ascii="Calibri" w:hAnsi="Calibri"/>
          <w:b/>
          <w:color w:val="24292E"/>
          <w:sz w:val="22"/>
        </w:rPr>
        <w:t>Separation of Duties (SoD)</w:t>
      </w:r>
      <w:r>
        <w:rPr>
          <w:rFonts w:ascii="Calibri" w:hAnsi="Calibri"/>
          <w:color w:val="24292E"/>
          <w:sz w:val="22"/>
        </w:rPr>
        <w:t xml:space="preserve"> so a deal owner cannot approve their own budget. Require </w:t>
      </w:r>
      <w:r>
        <w:rPr>
          <w:rFonts w:ascii="Consolas" w:hAnsi="Consolas"/>
          <w:color w:val="032F62"/>
          <w:sz w:val="21"/>
        </w:rPr>
        <w:t>FINANCE</w:t>
      </w:r>
      <w:r>
        <w:rPr>
          <w:rFonts w:ascii="Calibri" w:hAnsi="Calibri"/>
          <w:color w:val="24292E"/>
          <w:sz w:val="22"/>
        </w:rPr>
        <w:t xml:space="preserve"> approval for standard margins ($\ge 20\%$) and joint </w:t>
      </w:r>
      <w:r>
        <w:rPr>
          <w:rFonts w:ascii="Consolas" w:hAnsi="Consolas"/>
          <w:color w:val="032F62"/>
          <w:sz w:val="21"/>
        </w:rPr>
        <w:t>FINANCE</w:t>
      </w:r>
      <w:r>
        <w:rPr>
          <w:rFonts w:ascii="Calibri" w:hAnsi="Calibri"/>
          <w:color w:val="24292E"/>
          <w:sz w:val="22"/>
        </w:rPr>
        <w:t xml:space="preserve"> + </w:t>
      </w:r>
      <w:r>
        <w:rPr>
          <w:rFonts w:ascii="Consolas" w:hAnsi="Consolas"/>
          <w:color w:val="032F62"/>
          <w:sz w:val="21"/>
        </w:rPr>
        <w:t>MANAGEMENT</w:t>
      </w:r>
      <w:r>
        <w:rPr>
          <w:rFonts w:ascii="Calibri" w:hAnsi="Calibri"/>
          <w:color w:val="24292E"/>
          <w:sz w:val="22"/>
        </w:rPr>
        <w:t xml:space="preserve"> escalation for Critical margins ($&lt; 20\%$). </w:t>
      </w:r>
      <w:r>
        <w:rPr>
          <w:rFonts w:ascii="Calibri" w:hAnsi="Calibri"/>
          <w:i/>
          <w:color w:val="24292E"/>
          <w:sz w:val="22"/>
        </w:rPr>
        <w:t>(Source: Author Review 1 - Revision #5)</w:t>
      </w:r>
    </w:p>
    <w:p>
      <w:pPr>
        <w:spacing w:before="120" w:after="120"/>
        <w:pBdr>
          <w:bottom w:val="single" w:sz="6" w:space="1" w:color="E1E4E8"/>
        </w:pBdr>
      </w:pPr>
    </w:p>
    <w:p>
      <w:pPr>
        <w:keepNext/>
        <w:spacing w:before="200" w:after="80"/>
      </w:pPr>
      <w:r>
        <w:rPr>
          <w:rFonts w:ascii="Calibri" w:hAnsi="Calibri"/>
          <w:b/>
          <w:color w:val="1F4E79"/>
          <w:sz w:val="26"/>
        </w:rPr>
        <w:t>📈 Category 7: Project Baseline Auto-Sync (</w:t>
      </w:r>
      <w:r>
        <w:rPr>
          <w:rFonts w:ascii="Consolas" w:hAnsi="Consolas"/>
          <w:color w:val="032F62"/>
          <w:sz w:val="25"/>
        </w:rPr>
        <w:t>DEMO-11</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Dedicated Decision Section for DEMO-11: Project Baseline Synchronization, c7080af Source Schema, Target Extension, Discriminated Union Guards &amp; Concurrency Control</w:t>
      </w:r>
    </w:p>
    <w:p>
      <w:pPr>
        <w:pStyle w:val="ListBullet"/>
        <w:spacing w:before="20" w:after="40"/>
        <w:ind w:left="360"/>
      </w:pPr>
      <w:r>
        <w:rPr>
          <w:rFonts w:ascii="Calibri" w:hAnsi="Calibri"/>
          <w:b/>
          <w:color w:val="24292E"/>
          <w:sz w:val="21"/>
        </w:rPr>
        <w:t>In the Simplest Terms</w:t>
      </w:r>
      <w:r>
        <w:rPr>
          <w:rFonts w:ascii="Calibri" w:hAnsi="Calibri"/>
          <w:color w:val="24292E"/>
          <w:sz w:val="21"/>
        </w:rPr>
        <w:t>: When a deal is won, the system takes the approved budget and creates Baseline #1. Any later scope changes require an approved Change Request to create Baseline #2. The database guarantees that at most one baseline is active, while application lifecycle guarantees that at least one baseline is active, resulting in exactly one active baseline.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7.0</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an </w:t>
      </w:r>
      <w:r>
        <w:rPr>
          <w:rFonts w:ascii="Calibri" w:hAnsi="Calibri"/>
          <w:b/>
          <w:color w:val="24292E"/>
          <w:sz w:val="22"/>
        </w:rPr>
        <w:t>Automated Baseline Synchronization Engine</w:t>
      </w:r>
      <w:r>
        <w:rPr>
          <w:rFonts w:ascii="Calibri" w:hAnsi="Calibri"/>
          <w:color w:val="24292E"/>
          <w:sz w:val="22"/>
        </w:rPr>
        <w:t xml:space="preserve"> extending the existing </w:t>
      </w:r>
      <w:r>
        <w:rPr>
          <w:rFonts w:ascii="Consolas" w:hAnsi="Consolas"/>
          <w:color w:val="032F62"/>
          <w:sz w:val="21"/>
        </w:rPr>
        <w:t>ProjectBaseline</w:t>
      </w:r>
      <w:r>
        <w:rPr>
          <w:rFonts w:ascii="Calibri" w:hAnsi="Calibri"/>
          <w:color w:val="24292E"/>
          <w:sz w:val="22"/>
        </w:rPr>
        <w:t xml:space="preserve"> architecture.  </w:t>
      </w:r>
    </w:p>
    <w:p>
      <w:pPr>
        <w:spacing w:before="40" w:after="80" w:line="276" w:lineRule="auto"/>
      </w:pPr>
      <w:r>
        <w:rPr>
          <w:rFonts w:ascii="Calibri" w:hAnsi="Calibri"/>
          <w:color w:val="24292E"/>
          <w:sz w:val="22"/>
        </w:rPr>
        <w:t xml:space="preserve">  &gt; 1. </w:t>
      </w:r>
      <w:r>
        <w:rPr>
          <w:rFonts w:ascii="Calibri" w:hAnsi="Calibri"/>
          <w:b/>
          <w:color w:val="24292E"/>
          <w:sz w:val="22"/>
        </w:rPr>
        <w:t>Initial Baseline Trigger (`source: "ACTIVATION"`)</w:t>
      </w:r>
      <w:r>
        <w:rPr>
          <w:rFonts w:ascii="Calibri" w:hAnsi="Calibri"/>
          <w:color w:val="24292E"/>
          <w:sz w:val="22"/>
        </w:rPr>
        <w:t xml:space="preserve">: When a lead converts to a delivery project upon </w:t>
      </w:r>
      <w:r>
        <w:rPr>
          <w:rFonts w:ascii="Consolas" w:hAnsi="Consolas"/>
          <w:color w:val="032F62"/>
          <w:sz w:val="21"/>
        </w:rPr>
        <w:t>WON</w:t>
      </w:r>
      <w:r>
        <w:rPr>
          <w:rFonts w:ascii="Calibri" w:hAnsi="Calibri"/>
          <w:color w:val="24292E"/>
          <w:sz w:val="22"/>
        </w:rPr>
        <w:t xml:space="preserve"> stage, the active </w:t>
      </w:r>
      <w:r>
        <w:rPr>
          <w:rFonts w:ascii="Consolas" w:hAnsi="Consolas"/>
          <w:color w:val="032F62"/>
          <w:sz w:val="21"/>
        </w:rPr>
        <w:t>CommercialBudgetRevision</w:t>
      </w:r>
      <w:r>
        <w:rPr>
          <w:rFonts w:ascii="Calibri" w:hAnsi="Calibri"/>
          <w:color w:val="24292E"/>
          <w:sz w:val="22"/>
        </w:rPr>
        <w:t xml:space="preserve"> automatically generates the initial </w:t>
      </w:r>
      <w:r>
        <w:rPr>
          <w:rFonts w:ascii="Consolas" w:hAnsi="Consolas"/>
          <w:color w:val="032F62"/>
          <w:sz w:val="21"/>
        </w:rPr>
        <w:t>ProjectBaseline</w:t>
      </w:r>
      <w:r>
        <w:rPr>
          <w:rFonts w:ascii="Calibri" w:hAnsi="Calibri"/>
          <w:color w:val="24292E"/>
          <w:sz w:val="22"/>
        </w:rPr>
        <w:t xml:space="preserve"> (Version 1, </w:t>
      </w:r>
      <w:r>
        <w:rPr>
          <w:rFonts w:ascii="Consolas" w:hAnsi="Consolas"/>
          <w:color w:val="032F62"/>
          <w:sz w:val="21"/>
        </w:rPr>
        <w:t>isCurrent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2. </w:t>
      </w:r>
      <w:r>
        <w:rPr>
          <w:rFonts w:ascii="Calibri" w:hAnsi="Calibri"/>
          <w:b/>
          <w:color w:val="24292E"/>
          <w:sz w:val="22"/>
        </w:rPr>
        <w:t>Change Request Baselines (`source: "CHANGE_REQUEST"`)</w:t>
      </w:r>
      <w:r>
        <w:rPr>
          <w:rFonts w:ascii="Calibri" w:hAnsi="Calibri"/>
          <w:color w:val="24292E"/>
          <w:sz w:val="22"/>
        </w:rPr>
        <w:t>: Any post-activation scope or budget adjustment requires a formal approved Change Request, generating Baseline Version $N+1$ and archiving Version $N$ (</w:t>
      </w:r>
      <w:r>
        <w:rPr>
          <w:rFonts w:ascii="Consolas" w:hAnsi="Consolas"/>
          <w:color w:val="032F62"/>
          <w:sz w:val="21"/>
        </w:rPr>
        <w:t>isCurrent = false</w:t>
      </w:r>
      <w:r>
        <w:rPr>
          <w:rFonts w:ascii="Calibri" w:hAnsi="Calibri"/>
          <w:color w:val="24292E"/>
          <w:sz w:val="22"/>
        </w:rPr>
        <w:t xml:space="preserve">).  </w:t>
      </w:r>
    </w:p>
    <w:p>
      <w:pPr>
        <w:spacing w:before="40" w:after="80" w:line="276" w:lineRule="auto"/>
      </w:pPr>
      <w:r>
        <w:rPr>
          <w:rFonts w:ascii="Calibri" w:hAnsi="Calibri"/>
          <w:color w:val="24292E"/>
          <w:sz w:val="22"/>
        </w:rPr>
        <w:t xml:space="preserve">  &gt; 3. </w:t>
      </w:r>
      <w:r>
        <w:rPr>
          <w:rFonts w:ascii="Calibri" w:hAnsi="Calibri"/>
          <w:b/>
          <w:color w:val="24292E"/>
          <w:sz w:val="22"/>
        </w:rPr>
        <w:t>Exactly-One-Current Baseline Invariant Architecture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Database Partial Unique Index (At Most One)</w:t>
      </w:r>
      <w:r>
        <w:rPr>
          <w:rFonts w:ascii="Calibri" w:hAnsi="Calibri"/>
          <w:color w:val="24292E"/>
          <w:sz w:val="22"/>
        </w:rPr>
        <w:t xml:space="preserve">: </w:t>
      </w:r>
      <w:r>
        <w:rPr>
          <w:rFonts w:ascii="Consolas" w:hAnsi="Consolas"/>
          <w:color w:val="032F62"/>
          <w:sz w:val="21"/>
        </w:rPr>
        <w:t>CREATE UNIQUE INDEX one_current_baseline_per_project ON "ProjectBaseline" ("projectId") WHERE "isCurrent" = true;</w:t>
      </w:r>
      <w:r>
        <w:rPr>
          <w:rFonts w:ascii="Calibri" w:hAnsi="Calibri"/>
          <w:color w:val="24292E"/>
          <w:sz w:val="22"/>
        </w:rPr>
        <w:t xml:space="preserve"> guarantees that no more than one baseline per project can be marked current simultaneously.  </w:t>
      </w:r>
    </w:p>
    <w:p>
      <w:pPr>
        <w:spacing w:before="40" w:after="80" w:line="276" w:lineRule="auto"/>
      </w:pPr>
      <w:r>
        <w:rPr>
          <w:rFonts w:ascii="Calibri" w:hAnsi="Calibri"/>
          <w:color w:val="24292E"/>
          <w:sz w:val="22"/>
        </w:rPr>
        <w:t xml:space="preserve">  &gt;    - </w:t>
      </w:r>
      <w:r>
        <w:rPr>
          <w:rFonts w:ascii="Calibri" w:hAnsi="Calibri"/>
          <w:b/>
          <w:color w:val="24292E"/>
          <w:sz w:val="22"/>
        </w:rPr>
        <w:t>Application Lifecycle Invariant (At Least One)</w:t>
      </w:r>
      <w:r>
        <w:rPr>
          <w:rFonts w:ascii="Calibri" w:hAnsi="Calibri"/>
          <w:color w:val="24292E"/>
          <w:sz w:val="22"/>
        </w:rPr>
        <w:t>: Project creation and change request transactions guarantee that active delivery projects always maintain an active baseline (</w:t>
      </w:r>
      <w:r>
        <w:rPr>
          <w:rFonts w:ascii="Consolas" w:hAnsi="Consolas"/>
          <w:color w:val="032F62"/>
          <w:sz w:val="21"/>
        </w:rPr>
        <w:t>isCurrent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Combined Enforcement</w:t>
      </w:r>
      <w:r>
        <w:rPr>
          <w:rFonts w:ascii="Calibri" w:hAnsi="Calibri"/>
          <w:color w:val="24292E"/>
          <w:sz w:val="22"/>
        </w:rPr>
        <w:t xml:space="preserve">: Delivers an </w:t>
      </w:r>
      <w:r>
        <w:rPr>
          <w:rFonts w:ascii="Calibri" w:hAnsi="Calibri"/>
          <w:b/>
          <w:color w:val="24292E"/>
          <w:sz w:val="22"/>
        </w:rPr>
        <w:t>exactly-one-current baseline guarantee</w:t>
      </w:r>
      <w:r>
        <w:rPr>
          <w:rFonts w:ascii="Calibri" w:hAnsi="Calibri"/>
          <w:color w:val="24292E"/>
          <w:sz w:val="22"/>
        </w:rPr>
        <w:t xml:space="preserve">.  </w:t>
      </w:r>
    </w:p>
    <w:p>
      <w:pPr>
        <w:spacing w:before="40" w:after="80" w:line="276" w:lineRule="auto"/>
      </w:pPr>
      <w:r>
        <w:rPr>
          <w:rFonts w:ascii="Calibri" w:hAnsi="Calibri"/>
          <w:color w:val="24292E"/>
          <w:sz w:val="22"/>
        </w:rPr>
        <w:t xml:space="preserve">  &gt; 4. </w:t>
      </w:r>
      <w:r>
        <w:rPr>
          <w:rFonts w:ascii="Calibri" w:hAnsi="Calibri"/>
          <w:b/>
          <w:color w:val="24292E"/>
          <w:sz w:val="22"/>
        </w:rPr>
        <w:t>Discriminated Union &amp; Idempotent Retry Ordering Invariant</w:t>
      </w:r>
      <w:r>
        <w:rPr>
          <w:rFonts w:ascii="Calibri" w:hAnsi="Calibri"/>
          <w:color w:val="24292E"/>
          <w:sz w:val="22"/>
        </w:rPr>
        <w:t xml:space="preserve">: </w:t>
      </w:r>
      <w:r>
        <w:rPr>
          <w:rFonts w:ascii="Consolas" w:hAnsi="Consolas"/>
          <w:color w:val="032F62"/>
          <w:sz w:val="21"/>
        </w:rPr>
        <w:t>ACTIVATION</w:t>
      </w:r>
      <w:r>
        <w:rPr>
          <w:rFonts w:ascii="Calibri" w:hAnsi="Calibri"/>
          <w:color w:val="24292E"/>
          <w:sz w:val="22"/>
        </w:rPr>
        <w:t xml:space="preserve"> does not generate a duplicate baseline if one already exists; </w:t>
      </w:r>
      <w:r>
        <w:rPr>
          <w:rFonts w:ascii="Consolas" w:hAnsi="Consolas"/>
          <w:color w:val="032F62"/>
          <w:sz w:val="21"/>
        </w:rPr>
        <w:t>CHANGE_REQUEST</w:t>
      </w:r>
      <w:r>
        <w:rPr>
          <w:rFonts w:ascii="Calibri" w:hAnsi="Calibri"/>
          <w:color w:val="24292E"/>
          <w:sz w:val="22"/>
        </w:rPr>
        <w:t xml:space="preserve"> baseline creation strictly searches for an existing baseline by </w:t>
      </w:r>
      <w:r>
        <w:rPr>
          <w:rFonts w:ascii="Consolas" w:hAnsi="Consolas"/>
          <w:color w:val="032F62"/>
          <w:sz w:val="21"/>
        </w:rPr>
        <w:t>changeRequestId</w:t>
      </w:r>
      <w:r>
        <w:rPr>
          <w:rFonts w:ascii="Calibri" w:hAnsi="Calibri"/>
          <w:color w:val="24292E"/>
          <w:sz w:val="22"/>
        </w:rPr>
        <w:t xml:space="preserve"> first to guarantee idempotent retry safety before validating </w:t>
      </w:r>
      <w:r>
        <w:rPr>
          <w:rFonts w:ascii="Consolas" w:hAnsi="Consolas"/>
          <w:color w:val="032F62"/>
          <w:sz w:val="21"/>
        </w:rPr>
        <w:t>status: "APPROVED"</w:t>
      </w:r>
      <w:r>
        <w:rPr>
          <w:rFonts w:ascii="Calibri" w:hAnsi="Calibri"/>
          <w:color w:val="24292E"/>
          <w:sz w:val="22"/>
        </w:rPr>
        <w:t>.</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Source Baseline Model in Referenced Codebase (Commit c7080af)</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 Exact source baseline model from the referenced codebase:</w:t>
      </w:r>
    </w:p>
    <w:p>
      <w:pPr>
        <w:spacing w:before="40" w:after="80" w:line="276" w:lineRule="auto"/>
      </w:pPr>
      <w:r>
        <w:rPr>
          <w:rFonts w:ascii="Calibri" w:hAnsi="Calibri"/>
          <w:color w:val="24292E"/>
          <w:sz w:val="22"/>
        </w:rPr>
        <w:t xml:space="preserve">    // lib/db/prisma/schema.prisma at commit c7080af (Lines 310-330)</w:t>
      </w:r>
    </w:p>
    <w:p>
      <w:pPr>
        <w:spacing w:before="40" w:after="80" w:line="276" w:lineRule="auto"/>
      </w:pPr>
      <w:r>
        <w:rPr>
          <w:rFonts w:ascii="Calibri" w:hAnsi="Calibri"/>
          <w:color w:val="24292E"/>
          <w:sz w:val="22"/>
        </w:rPr>
        <w:t xml:space="preserve">    enum ProjectBaselineSource {</w:t>
      </w:r>
    </w:p>
    <w:p>
      <w:pPr>
        <w:spacing w:before="40" w:after="80" w:line="276" w:lineRule="auto"/>
      </w:pPr>
      <w:r>
        <w:rPr>
          <w:rFonts w:ascii="Calibri" w:hAnsi="Calibri"/>
          <w:color w:val="24292E"/>
          <w:sz w:val="22"/>
        </w:rPr>
        <w:t xml:space="preserve">      ACTIVATION</w:t>
      </w:r>
    </w:p>
    <w:p>
      <w:pPr>
        <w:spacing w:before="40" w:after="80" w:line="276" w:lineRule="auto"/>
      </w:pPr>
      <w:r>
        <w:rPr>
          <w:rFonts w:ascii="Calibri" w:hAnsi="Calibri"/>
          <w:color w:val="24292E"/>
          <w:sz w:val="22"/>
        </w:rPr>
        <w:t xml:space="preserve">      CHANGE_REQUEST</w:t>
      </w:r>
    </w:p>
    <w:p>
      <w:pPr>
        <w:spacing w:before="40" w:after="80" w:line="276" w:lineRule="auto"/>
      </w:pPr>
      <w:r>
        <w:rPr>
          <w:rFonts w:ascii="Calibri" w:hAnsi="Calibri"/>
          <w:color w:val="24292E"/>
          <w:sz w:val="22"/>
        </w:rPr>
        <w:t xml:space="preserve">      MANUAL</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ProjectBaseline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projectId       String</w:t>
      </w:r>
    </w:p>
    <w:p>
      <w:pPr>
        <w:spacing w:before="40" w:after="80" w:line="276" w:lineRule="auto"/>
      </w:pPr>
      <w:r>
        <w:rPr>
          <w:rFonts w:ascii="Calibri" w:hAnsi="Calibri"/>
          <w:color w:val="24292E"/>
          <w:sz w:val="22"/>
        </w:rPr>
        <w:t xml:space="preserve">      project         Project               @relation(fields: [projectId], references: [id], onDelete: Cascade)</w:t>
      </w:r>
    </w:p>
    <w:p>
      <w:pPr>
        <w:spacing w:before="40" w:after="80" w:line="276" w:lineRule="auto"/>
      </w:pPr>
      <w:r>
        <w:rPr>
          <w:rFonts w:ascii="Calibri" w:hAnsi="Calibri"/>
          <w:color w:val="24292E"/>
          <w:sz w:val="22"/>
        </w:rPr>
        <w:t xml:space="preserve">      version         Int</w:t>
      </w:r>
    </w:p>
    <w:p>
      <w:pPr>
        <w:spacing w:before="40" w:after="80" w:line="276" w:lineRule="auto"/>
      </w:pPr>
      <w:r>
        <w:rPr>
          <w:rFonts w:ascii="Calibri" w:hAnsi="Calibri"/>
          <w:color w:val="24292E"/>
          <w:sz w:val="22"/>
        </w:rPr>
        <w:t xml:space="preserve">      isCurrent       Boolean               @default(true)</w:t>
      </w:r>
    </w:p>
    <w:p>
      <w:pPr>
        <w:spacing w:before="40" w:after="80" w:line="276" w:lineRule="auto"/>
      </w:pPr>
      <w:r>
        <w:rPr>
          <w:rFonts w:ascii="Calibri" w:hAnsi="Calibri"/>
          <w:color w:val="24292E"/>
          <w:sz w:val="22"/>
        </w:rPr>
        <w:t xml:space="preserve">      source          ProjectBaselineSource @default(ACTIVATION)</w:t>
      </w:r>
    </w:p>
    <w:p>
      <w:pPr>
        <w:spacing w:before="40" w:after="80" w:line="276" w:lineRule="auto"/>
      </w:pPr>
      <w:r>
        <w:rPr>
          <w:rFonts w:ascii="Calibri" w:hAnsi="Calibri"/>
          <w:color w:val="24292E"/>
          <w:sz w:val="22"/>
        </w:rPr>
        <w:t xml:space="preserve">      changeRequestId String?</w:t>
      </w:r>
    </w:p>
    <w:p>
      <w:pPr>
        <w:spacing w:before="40" w:after="80" w:line="276" w:lineRule="auto"/>
      </w:pPr>
      <w:r>
        <w:rPr>
          <w:rFonts w:ascii="Calibri" w:hAnsi="Calibri"/>
          <w:color w:val="24292E"/>
          <w:sz w:val="22"/>
        </w:rPr>
        <w:t xml:space="preserve">      changeRequest   ChangeRequest?        @relation("BaselineChangeRequest", fields: [changeRequestId], references: [id])</w:t>
      </w:r>
    </w:p>
    <w:p>
      <w:pPr>
        <w:spacing w:before="40" w:after="80" w:line="276" w:lineRule="auto"/>
      </w:pPr>
      <w:r>
        <w:rPr>
          <w:rFonts w:ascii="Calibri" w:hAnsi="Calibri"/>
          <w:color w:val="24292E"/>
          <w:sz w:val="22"/>
        </w:rPr>
        <w:t xml:space="preserve">      startDate       DateTime?</w:t>
      </w:r>
    </w:p>
    <w:p>
      <w:pPr>
        <w:spacing w:before="40" w:after="80" w:line="276" w:lineRule="auto"/>
      </w:pPr>
      <w:r>
        <w:rPr>
          <w:rFonts w:ascii="Calibri" w:hAnsi="Calibri"/>
          <w:color w:val="24292E"/>
          <w:sz w:val="22"/>
        </w:rPr>
        <w:t xml:space="preserve">      endDate         DateTime?</w:t>
      </w:r>
    </w:p>
    <w:p>
      <w:pPr>
        <w:spacing w:before="40" w:after="80" w:line="276" w:lineRule="auto"/>
      </w:pPr>
      <w:r>
        <w:rPr>
          <w:rFonts w:ascii="Calibri" w:hAnsi="Calibri"/>
          <w:color w:val="24292E"/>
          <w:sz w:val="22"/>
        </w:rPr>
        <w:t xml:space="preserve">      plannedMandays  Float                 @default(0)</w:t>
      </w:r>
    </w:p>
    <w:p>
      <w:pPr>
        <w:spacing w:before="40" w:after="80" w:line="276" w:lineRule="auto"/>
      </w:pPr>
      <w:r>
        <w:rPr>
          <w:rFonts w:ascii="Calibri" w:hAnsi="Calibri"/>
          <w:color w:val="24292E"/>
          <w:sz w:val="22"/>
        </w:rPr>
        <w:t xml:space="preserve">      estimatedCost   Float                 @default(0)</w:t>
      </w:r>
    </w:p>
    <w:p>
      <w:pPr>
        <w:spacing w:before="40" w:after="80" w:line="276" w:lineRule="auto"/>
      </w:pPr>
      <w:r>
        <w:rPr>
          <w:rFonts w:ascii="Calibri" w:hAnsi="Calibri"/>
          <w:color w:val="24292E"/>
          <w:sz w:val="22"/>
        </w:rPr>
        <w:t xml:space="preserve">      contractValue   Float                 @default(0)</w:t>
      </w:r>
    </w:p>
    <w:p>
      <w:pPr>
        <w:spacing w:before="40" w:after="80" w:line="276" w:lineRule="auto"/>
      </w:pPr>
      <w:r>
        <w:rPr>
          <w:rFonts w:ascii="Calibri" w:hAnsi="Calibri"/>
          <w:color w:val="24292E"/>
          <w:sz w:val="22"/>
        </w:rPr>
        <w:t xml:space="preserve">      createdById     String?</w:t>
      </w:r>
    </w:p>
    <w:p>
      <w:pPr>
        <w:spacing w:before="40" w:after="80" w:line="276" w:lineRule="auto"/>
      </w:pPr>
      <w:r>
        <w:rPr>
          <w:rFonts w:ascii="Calibri" w:hAnsi="Calibri"/>
          <w:color w:val="24292E"/>
          <w:sz w:val="22"/>
        </w:rPr>
        <w:t xml:space="preserve">      createdBy       User?                 @relation("ProjectBaselineCreator", fields: [createdById], references: [id])</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@@unique([projectId, version])</w:t>
      </w:r>
    </w:p>
    <w:p>
      <w:pPr>
        <w:spacing w:before="40" w:after="80" w:line="276" w:lineRule="auto"/>
      </w:pPr>
      <w:r>
        <w:rPr>
          <w:rFonts w:ascii="Calibri" w:hAnsi="Calibri"/>
          <w:color w:val="24292E"/>
          <w:sz w:val="22"/>
        </w:rPr>
        <w:t xml:space="preserve">      @@index([projectId, isCurrent])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Proposed Non-Destructive Target Extension for DEMO-11 (Decimal Migration &amp; Commercial Link)</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 Proposed Non-Destructive Target Extension:</w:t>
      </w:r>
    </w:p>
    <w:p>
      <w:pPr>
        <w:spacing w:before="40" w:after="80" w:line="276" w:lineRule="auto"/>
      </w:pPr>
      <w:r>
        <w:rPr>
          <w:rFonts w:ascii="Calibri" w:hAnsi="Calibri"/>
          <w:color w:val="24292E"/>
          <w:sz w:val="22"/>
        </w:rPr>
        <w:t xml:space="preserve">    // Preserves all existing operational fields (startDate, endDate, plannedMandays, createdBy, changeRequest)</w:t>
      </w:r>
    </w:p>
    <w:p>
      <w:pPr>
        <w:spacing w:before="40" w:after="80" w:line="276" w:lineRule="auto"/>
      </w:pPr>
      <w:r>
        <w:rPr>
          <w:rFonts w:ascii="Calibri" w:hAnsi="Calibri"/>
          <w:color w:val="24292E"/>
          <w:sz w:val="22"/>
        </w:rPr>
        <w:t xml:space="preserve">    // while migrating financial fields Float -&gt; Decimal(15, 2) and adding CommercialBudgetRevision link.</w:t>
      </w:r>
    </w:p>
    <w:p>
      <w:pPr>
        <w:spacing w:before="40" w:after="80" w:line="276" w:lineRule="auto"/>
      </w:pPr>
      <w:r>
        <w:rPr>
          <w:rFonts w:ascii="Calibri" w:hAnsi="Calibri"/>
          <w:color w:val="24292E"/>
          <w:sz w:val="22"/>
        </w:rPr>
        <w:t xml:space="preserve">    model ProjectBaseline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projectId                  String</w:t>
      </w:r>
    </w:p>
    <w:p>
      <w:pPr>
        <w:spacing w:before="40" w:after="80" w:line="276" w:lineRule="auto"/>
      </w:pPr>
      <w:r>
        <w:rPr>
          <w:rFonts w:ascii="Calibri" w:hAnsi="Calibri"/>
          <w:color w:val="24292E"/>
          <w:sz w:val="22"/>
        </w:rPr>
        <w:t xml:space="preserve">      project                    Project               @relation(fields: [projectId], references: [id], onDelete: Cascade)</w:t>
      </w:r>
    </w:p>
    <w:p>
      <w:pPr>
        <w:spacing w:before="40" w:after="80" w:line="276" w:lineRule="auto"/>
      </w:pPr>
      <w:r>
        <w:rPr>
          <w:rFonts w:ascii="Calibri" w:hAnsi="Calibri"/>
          <w:color w:val="24292E"/>
          <w:sz w:val="22"/>
        </w:rPr>
        <w:t xml:space="preserve">      version                    Int                   @default(1)</w:t>
      </w:r>
    </w:p>
    <w:p>
      <w:pPr>
        <w:spacing w:before="40" w:after="80" w:line="276" w:lineRule="auto"/>
      </w:pPr>
      <w:r>
        <w:rPr>
          <w:rFonts w:ascii="Calibri" w:hAnsi="Calibri"/>
          <w:color w:val="24292E"/>
          <w:sz w:val="22"/>
        </w:rPr>
        <w:t xml:space="preserve">      source                     ProjectBaselineSource @default(ACTIVATION)</w:t>
      </w:r>
    </w:p>
    <w:p>
      <w:pPr>
        <w:spacing w:before="40" w:after="80" w:line="276" w:lineRule="auto"/>
      </w:pPr>
      <w:r>
        <w:rPr>
          <w:rFonts w:ascii="Calibri" w:hAnsi="Calibri"/>
          <w:color w:val="24292E"/>
          <w:sz w:val="22"/>
        </w:rPr>
        <w:t xml:space="preserve">      changeRequestId            String?               @unique // Idempotency: 1 CR -&gt; 1 Baseline</w:t>
      </w:r>
    </w:p>
    <w:p>
      <w:pPr>
        <w:spacing w:before="40" w:after="80" w:line="276" w:lineRule="auto"/>
      </w:pPr>
      <w:r>
        <w:rPr>
          <w:rFonts w:ascii="Calibri" w:hAnsi="Calibri"/>
          <w:color w:val="24292E"/>
          <w:sz w:val="22"/>
        </w:rPr>
        <w:t xml:space="preserve">      changeRequest              ChangeRequest?        @relation("BaselineChangeRequest", fields: [changeRequestId], references: [id])</w:t>
      </w:r>
    </w:p>
    <w:p>
      <w:pPr>
        <w:spacing w:before="40" w:after="80" w:line="276" w:lineRule="auto"/>
      </w:pPr>
      <w:r>
        <w:rPr>
          <w:rFonts w:ascii="Calibri" w:hAnsi="Calibri"/>
          <w:color w:val="24292E"/>
          <w:sz w:val="22"/>
        </w:rPr>
        <w:t xml:space="preserve">      startDate                  DateTime?             // Preserved from c7080af</w:t>
      </w:r>
    </w:p>
    <w:p>
      <w:pPr>
        <w:spacing w:before="40" w:after="80" w:line="276" w:lineRule="auto"/>
      </w:pPr>
      <w:r>
        <w:rPr>
          <w:rFonts w:ascii="Calibri" w:hAnsi="Calibri"/>
          <w:color w:val="24292E"/>
          <w:sz w:val="22"/>
        </w:rPr>
        <w:t xml:space="preserve">      endDate                    DateTime?             // Preserved from c7080af</w:t>
      </w:r>
    </w:p>
    <w:p>
      <w:pPr>
        <w:spacing w:before="40" w:after="80" w:line="276" w:lineRule="auto"/>
      </w:pPr>
      <w:r>
        <w:rPr>
          <w:rFonts w:ascii="Calibri" w:hAnsi="Calibri"/>
          <w:color w:val="24292E"/>
          <w:sz w:val="22"/>
        </w:rPr>
        <w:t xml:space="preserve">      plannedMandays             Decimal               @default(0) @db.Decimal(8, 2) // Migrated Float -&gt; Decimal (deterministic effort precision)</w:t>
      </w:r>
    </w:p>
    <w:p>
      <w:pPr>
        <w:spacing w:before="40" w:after="80" w:line="276" w:lineRule="auto"/>
      </w:pPr>
      <w:r>
        <w:rPr>
          <w:rFonts w:ascii="Calibri" w:hAnsi="Calibri"/>
          <w:color w:val="24292E"/>
          <w:sz w:val="22"/>
        </w:rPr>
        <w:t xml:space="preserve">      estimatedCost              Decimal               @default(0) @db.Decimal(15, 2) // Migrated Float -&gt; Decimal</w:t>
      </w:r>
    </w:p>
    <w:p>
      <w:pPr>
        <w:spacing w:before="40" w:after="80" w:line="276" w:lineRule="auto"/>
      </w:pPr>
      <w:r>
        <w:rPr>
          <w:rFonts w:ascii="Calibri" w:hAnsi="Calibri"/>
          <w:color w:val="24292E"/>
          <w:sz w:val="22"/>
        </w:rPr>
        <w:t xml:space="preserve">      contractValue              Decimal               @default(0) @db.Decimal(15, 2) // Migrated Float -&gt; Decimal</w:t>
      </w:r>
    </w:p>
    <w:p>
      <w:pPr>
        <w:spacing w:before="40" w:after="80" w:line="276" w:lineRule="auto"/>
      </w:pPr>
      <w:r>
        <w:rPr>
          <w:rFonts w:ascii="Calibri" w:hAnsi="Calibri"/>
          <w:color w:val="24292E"/>
          <w:sz w:val="22"/>
        </w:rPr>
        <w:t xml:space="preserve">      commercialBudgetRevisionId String?</w:t>
      </w:r>
    </w:p>
    <w:p>
      <w:pPr>
        <w:spacing w:before="40" w:after="80" w:line="276" w:lineRule="auto"/>
      </w:pPr>
      <w:r>
        <w:rPr>
          <w:rFonts w:ascii="Calibri" w:hAnsi="Calibri"/>
          <w:color w:val="24292E"/>
          <w:sz w:val="22"/>
        </w:rPr>
        <w:t xml:space="preserve">      commercialBudgetRevision   CommercialBudgetRevision? @relation(fields: [commercialBudgetRevisionId], references: [id])</w:t>
      </w:r>
    </w:p>
    <w:p>
      <w:pPr>
        <w:spacing w:before="40" w:after="80" w:line="276" w:lineRule="auto"/>
      </w:pPr>
      <w:r>
        <w:rPr>
          <w:rFonts w:ascii="Calibri" w:hAnsi="Calibri"/>
          <w:color w:val="24292E"/>
          <w:sz w:val="22"/>
        </w:rPr>
        <w:t xml:space="preserve">      approvedById               String?</w:t>
      </w:r>
    </w:p>
    <w:p>
      <w:pPr>
        <w:spacing w:before="40" w:after="80" w:line="276" w:lineRule="auto"/>
      </w:pPr>
      <w:r>
        <w:rPr>
          <w:rFonts w:ascii="Calibri" w:hAnsi="Calibri"/>
          <w:color w:val="24292E"/>
          <w:sz w:val="22"/>
        </w:rPr>
        <w:t xml:space="preserve">      approvedBy                 User?                 @relation("BaselineApprover", fields: [approvedById], references: [id])</w:t>
      </w:r>
    </w:p>
    <w:p>
      <w:pPr>
        <w:spacing w:before="40" w:after="80" w:line="276" w:lineRule="auto"/>
      </w:pPr>
      <w:r>
        <w:rPr>
          <w:rFonts w:ascii="Calibri" w:hAnsi="Calibri"/>
          <w:color w:val="24292E"/>
          <w:sz w:val="22"/>
        </w:rPr>
        <w:t xml:space="preserve">      approvedAt                 DateTime?</w:t>
      </w:r>
    </w:p>
    <w:p>
      <w:pPr>
        <w:spacing w:before="40" w:after="80" w:line="276" w:lineRule="auto"/>
      </w:pPr>
      <w:r>
        <w:rPr>
          <w:rFonts w:ascii="Calibri" w:hAnsi="Calibri"/>
          <w:color w:val="24292E"/>
          <w:sz w:val="22"/>
        </w:rPr>
        <w:t xml:space="preserve">      scopeSummary               String?</w:t>
      </w:r>
    </w:p>
    <w:p>
      <w:pPr>
        <w:spacing w:before="40" w:after="80" w:line="276" w:lineRule="auto"/>
      </w:pPr>
      <w:r>
        <w:rPr>
          <w:rFonts w:ascii="Calibri" w:hAnsi="Calibri"/>
          <w:color w:val="24292E"/>
          <w:sz w:val="22"/>
        </w:rPr>
        <w:t xml:space="preserve">      createdById                String?               // Preserved from c7080af</w:t>
      </w:r>
    </w:p>
    <w:p>
      <w:pPr>
        <w:spacing w:before="40" w:after="80" w:line="276" w:lineRule="auto"/>
      </w:pPr>
      <w:r>
        <w:rPr>
          <w:rFonts w:ascii="Calibri" w:hAnsi="Calibri"/>
          <w:color w:val="24292E"/>
          <w:sz w:val="22"/>
        </w:rPr>
        <w:t xml:space="preserve">      createdBy                  User?                 @relation("ProjectBaselineCreator", fields: [createdById], references: [id])</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@@unique([projectId, version])</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Authoritative Monetary Decimal Serialization &amp; Migration Policy</w:t>
      </w:r>
      <w:r>
        <w:rPr>
          <w:rFonts w:ascii="Calibri" w:hAnsi="Calibri"/>
          <w:color w:val="24292E"/>
          <w:sz w:val="21"/>
        </w:rPr>
        <w:t>:</w:t>
      </w:r>
    </w:p>
    <w:p>
      <w:pPr>
        <w:pStyle w:val="ListBullet"/>
        <w:spacing w:before="20" w:after="40"/>
        <w:ind w:left="1080"/>
      </w:pPr>
      <w:r>
        <w:rPr>
          <w:rFonts w:ascii="Calibri" w:hAnsi="Calibri"/>
          <w:i/>
          <w:color w:val="24292E"/>
          <w:sz w:val="21"/>
        </w:rPr>
        <w:t>Monetary Decimal Serialization</w:t>
      </w:r>
      <w:r>
        <w:rPr>
          <w:rFonts w:ascii="Calibri" w:hAnsi="Calibri"/>
          <w:color w:val="24292E"/>
          <w:sz w:val="21"/>
        </w:rPr>
        <w:t xml:space="preserve">: Monetary </w:t>
      </w:r>
      <w:r>
        <w:rPr>
          <w:rFonts w:ascii="Consolas" w:hAnsi="Consolas"/>
          <w:color w:val="032F62"/>
          <w:sz w:val="20"/>
        </w:rPr>
        <w:t>Decimal</w:t>
      </w:r>
      <w:r>
        <w:rPr>
          <w:rFonts w:ascii="Calibri" w:hAnsi="Calibri"/>
          <w:color w:val="24292E"/>
          <w:sz w:val="21"/>
        </w:rPr>
        <w:t xml:space="preserve"> values are serialized across REST APIs as </w:t>
      </w:r>
      <w:r>
        <w:rPr>
          <w:rFonts w:ascii="Calibri" w:hAnsi="Calibri"/>
          <w:b/>
          <w:color w:val="24292E"/>
          <w:sz w:val="21"/>
        </w:rPr>
        <w:t>canonical decimal strings</w:t>
      </w:r>
      <w:r>
        <w:rPr>
          <w:rFonts w:ascii="Calibri" w:hAnsi="Calibri"/>
          <w:color w:val="24292E"/>
          <w:sz w:val="21"/>
        </w:rPr>
        <w:t xml:space="preserve"> (e.g. </w:t>
      </w:r>
      <w:r>
        <w:rPr>
          <w:rFonts w:ascii="Consolas" w:hAnsi="Consolas"/>
          <w:color w:val="032F62"/>
          <w:sz w:val="20"/>
        </w:rPr>
        <w:t>"150000000.00"</w:t>
      </w:r>
      <w:r>
        <w:rPr>
          <w:rFonts w:ascii="Calibri" w:hAnsi="Calibri"/>
          <w:color w:val="24292E"/>
          <w:sz w:val="21"/>
        </w:rPr>
        <w:t>) or integer minor units where explicitly required by banking interfaces. JavaScript floating-point numbers must NOT be used for authoritative monetary calculations to prevent precision corruption.</w:t>
      </w:r>
    </w:p>
    <w:p>
      <w:pPr>
        <w:pStyle w:val="ListBullet"/>
        <w:spacing w:before="20" w:after="40"/>
        <w:ind w:left="1080"/>
      </w:pPr>
      <w:r>
        <w:rPr>
          <w:rFonts w:ascii="Calibri" w:hAnsi="Calibri"/>
          <w:i/>
          <w:color w:val="24292E"/>
          <w:sz w:val="21"/>
        </w:rPr>
        <w:t>plannedMandays Effort Precision</w:t>
      </w:r>
      <w:r>
        <w:rPr>
          <w:rFonts w:ascii="Calibri" w:hAnsi="Calibri"/>
          <w:color w:val="24292E"/>
          <w:sz w:val="21"/>
        </w:rPr>
        <w:t xml:space="preserve">: </w:t>
      </w:r>
      <w:r>
        <w:rPr>
          <w:rFonts w:ascii="Consolas" w:hAnsi="Consolas"/>
          <w:color w:val="032F62"/>
          <w:sz w:val="20"/>
        </w:rPr>
        <w:t>plannedMandays</w:t>
      </w:r>
      <w:r>
        <w:rPr>
          <w:rFonts w:ascii="Calibri" w:hAnsi="Calibri"/>
          <w:color w:val="24292E"/>
          <w:sz w:val="21"/>
        </w:rPr>
        <w:t xml:space="preserve"> is typed as </w:t>
      </w:r>
      <w:r>
        <w:rPr>
          <w:rFonts w:ascii="Consolas" w:hAnsi="Consolas"/>
          <w:color w:val="032F62"/>
          <w:sz w:val="20"/>
        </w:rPr>
        <w:t>Decimal(8, 2)</w:t>
      </w:r>
      <w:r>
        <w:rPr>
          <w:rFonts w:ascii="Calibri" w:hAnsi="Calibri"/>
          <w:color w:val="24292E"/>
          <w:sz w:val="21"/>
        </w:rPr>
        <w:t xml:space="preserve"> for deterministic manday effort tracking and variance calculations.</w:t>
      </w:r>
    </w:p>
    <w:p>
      <w:pPr>
        <w:pStyle w:val="ListBullet"/>
        <w:spacing w:before="20" w:after="40"/>
        <w:ind w:left="1080"/>
      </w:pPr>
      <w:r>
        <w:rPr>
          <w:rFonts w:ascii="Calibri" w:hAnsi="Calibri"/>
          <w:i/>
          <w:color w:val="24292E"/>
          <w:sz w:val="21"/>
        </w:rPr>
        <w:t>Data Conversion</w:t>
      </w:r>
      <w:r>
        <w:rPr>
          <w:rFonts w:ascii="Calibri" w:hAnsi="Calibri"/>
          <w:color w:val="24292E"/>
          <w:sz w:val="21"/>
        </w:rPr>
        <w:t xml:space="preserve">: Database migration converts existing </w:t>
      </w:r>
      <w:r>
        <w:rPr>
          <w:rFonts w:ascii="Consolas" w:hAnsi="Consolas"/>
          <w:color w:val="032F62"/>
          <w:sz w:val="20"/>
        </w:rPr>
        <w:t>Float</w:t>
      </w:r>
      <w:r>
        <w:rPr>
          <w:rFonts w:ascii="Calibri" w:hAnsi="Calibri"/>
          <w:color w:val="24292E"/>
          <w:sz w:val="21"/>
        </w:rPr>
        <w:t xml:space="preserve"> rows to </w:t>
      </w:r>
      <w:r>
        <w:rPr>
          <w:rFonts w:ascii="Consolas" w:hAnsi="Consolas"/>
          <w:color w:val="032F62"/>
          <w:sz w:val="20"/>
        </w:rPr>
        <w:t>Decimal(15, 2)</w:t>
      </w:r>
      <w:r>
        <w:rPr>
          <w:rFonts w:ascii="Calibri" w:hAnsi="Calibri"/>
          <w:color w:val="24292E"/>
          <w:sz w:val="21"/>
        </w:rPr>
        <w:t xml:space="preserve"> using standard half-up rounding: </w:t>
      </w:r>
      <w:r>
        <w:rPr>
          <w:rFonts w:ascii="Consolas" w:hAnsi="Consolas"/>
          <w:color w:val="032F62"/>
          <w:sz w:val="20"/>
        </w:rPr>
        <w:t>ROUND(contractValue::numeric, 2)</w:t>
      </w:r>
      <w:r>
        <w:rPr>
          <w:rFonts w:ascii="Calibri" w:hAnsi="Calibri"/>
          <w:color w:val="24292E"/>
          <w:sz w:val="21"/>
        </w:rPr>
        <w:t>.</w:t>
      </w:r>
    </w:p>
    <w:p>
      <w:pPr>
        <w:pStyle w:val="ListBullet"/>
        <w:spacing w:before="20" w:after="40"/>
        <w:ind w:left="1080"/>
      </w:pPr>
      <w:r>
        <w:rPr>
          <w:rFonts w:ascii="Calibri" w:hAnsi="Calibri"/>
          <w:i/>
          <w:color w:val="24292E"/>
          <w:sz w:val="21"/>
        </w:rPr>
        <w:t>Legacy Migration Acceptance Criteria</w:t>
      </w:r>
      <w:r>
        <w:rPr>
          <w:rFonts w:ascii="Calibri" w:hAnsi="Calibri"/>
          <w:color w:val="24292E"/>
          <w:sz w:val="21"/>
        </w:rPr>
        <w:t>: (1) Backfill initial baseline for active legacy projects lacking a baseline; (2) Detect and repair projects with zero active baselines; (3) Reconcile legacy multiple-current records prior to applying the PostgreSQL partial unique index.</w:t>
      </w:r>
    </w:p>
    <w:p>
      <w:pPr>
        <w:pStyle w:val="ListBullet"/>
        <w:spacing w:before="20" w:after="40"/>
        <w:ind w:left="720"/>
      </w:pPr>
      <w:r>
        <w:rPr>
          <w:rFonts w:ascii="Calibri" w:hAnsi="Calibri"/>
          <w:b/>
          <w:color w:val="24292E"/>
          <w:sz w:val="21"/>
        </w:rPr>
        <w:t>PostgreSQL Partial Unique Index DDL</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`sql</w:t>
      </w:r>
    </w:p>
    <w:p>
      <w:pPr>
        <w:spacing w:before="40" w:after="80" w:line="276" w:lineRule="auto"/>
      </w:pPr>
      <w:r>
        <w:rPr>
          <w:rFonts w:ascii="Calibri" w:hAnsi="Calibri"/>
          <w:color w:val="24292E"/>
          <w:sz w:val="22"/>
        </w:rPr>
        <w:t xml:space="preserve">    CREATE UNIQUE INDEX one_current_baseline_per_project </w:t>
      </w:r>
    </w:p>
    <w:p>
      <w:pPr>
        <w:spacing w:before="40" w:after="80" w:line="276" w:lineRule="auto"/>
      </w:pPr>
      <w:r>
        <w:rPr>
          <w:rFonts w:ascii="Calibri" w:hAnsi="Calibri"/>
          <w:color w:val="24292E"/>
          <w:sz w:val="22"/>
        </w:rPr>
        <w:t xml:space="preserve">    ON "ProjectBaseline" ("projectId") </w:t>
      </w:r>
    </w:p>
    <w:p>
      <w:pPr>
        <w:spacing w:before="40" w:after="80" w:line="276" w:lineRule="auto"/>
      </w:pPr>
      <w:r>
        <w:rPr>
          <w:rFonts w:ascii="Calibri" w:hAnsi="Calibri"/>
          <w:color w:val="24292E"/>
          <w:sz w:val="22"/>
        </w:rPr>
        <w:t xml:space="preserve">    WHERE "isCurrent" = true;</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Atomic &amp; Idempotent Baseline Synchronization Function with Preserved Retry Ordering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type BaselineSyncOptions =</w:t>
      </w:r>
    </w:p>
    <w:p>
      <w:pPr>
        <w:spacing w:before="40" w:after="80" w:line="276" w:lineRule="auto"/>
      </w:pPr>
      <w:r>
        <w:rPr>
          <w:rFonts w:ascii="Calibri" w:hAnsi="Calibri"/>
          <w:color w:val="24292E"/>
          <w:sz w:val="22"/>
        </w:rPr>
        <w:t xml:space="preserve">      | { source: "ACTIVATION"; changeRequestId?: never }</w:t>
      </w:r>
    </w:p>
    <w:p>
      <w:pPr>
        <w:spacing w:before="40" w:after="80" w:line="276" w:lineRule="auto"/>
      </w:pPr>
      <w:r>
        <w:rPr>
          <w:rFonts w:ascii="Calibri" w:hAnsi="Calibri"/>
          <w:color w:val="24292E"/>
          <w:sz w:val="22"/>
        </w:rPr>
        <w:t xml:space="preserve">      | { source: "CHANGE_REQUEST"; changeRequestId: string };</w:t>
      </w:r>
    </w:p>
    <w:p>
      <w:pPr>
        <w:spacing w:before="40" w:after="80" w:line="276" w:lineRule="auto"/>
      </w:pPr>
      <w:r>
        <w:rPr>
          <w:rFonts w:ascii="Calibri" w:hAnsi="Calibri"/>
          <w:color w:val="24292E"/>
          <w:sz w:val="22"/>
        </w:rPr>
        <w:t xml:space="preserve">    async function syncProjectBaselineFromCommercial(</w:t>
      </w:r>
    </w:p>
    <w:p>
      <w:pPr>
        <w:spacing w:before="40" w:after="80" w:line="276" w:lineRule="auto"/>
      </w:pPr>
      <w:r>
        <w:rPr>
          <w:rFonts w:ascii="Calibri" w:hAnsi="Calibri"/>
          <w:color w:val="24292E"/>
          <w:sz w:val="22"/>
        </w:rPr>
        <w:t xml:space="preserve">      tx: Prisma.TransactionClient, </w:t>
      </w:r>
    </w:p>
    <w:p>
      <w:pPr>
        <w:spacing w:before="40" w:after="80" w:line="276" w:lineRule="auto"/>
      </w:pPr>
      <w:r>
        <w:rPr>
          <w:rFonts w:ascii="Calibri" w:hAnsi="Calibri"/>
          <w:color w:val="24292E"/>
          <w:sz w:val="22"/>
        </w:rPr>
        <w:t xml:space="preserve">      projectId: string, </w:t>
      </w:r>
    </w:p>
    <w:p>
      <w:pPr>
        <w:spacing w:before="40" w:after="80" w:line="276" w:lineRule="auto"/>
      </w:pPr>
      <w:r>
        <w:rPr>
          <w:rFonts w:ascii="Calibri" w:hAnsi="Calibri"/>
          <w:color w:val="24292E"/>
          <w:sz w:val="22"/>
        </w:rPr>
        <w:t xml:space="preserve">      budgetRevision: CommercialBudgetRevision, </w:t>
      </w:r>
    </w:p>
    <w:p>
      <w:pPr>
        <w:spacing w:before="40" w:after="80" w:line="276" w:lineRule="auto"/>
      </w:pPr>
      <w:r>
        <w:rPr>
          <w:rFonts w:ascii="Calibri" w:hAnsi="Calibri"/>
          <w:color w:val="24292E"/>
          <w:sz w:val="22"/>
        </w:rPr>
        <w:t xml:space="preserve">      options: BaselineSyncOptions</w:t>
      </w:r>
    </w:p>
    <w:p>
      <w:pPr>
        <w:spacing w:before="40" w:after="80" w:line="276" w:lineRule="auto"/>
      </w:pPr>
      <w:r>
        <w:rPr>
          <w:rFonts w:ascii="Calibri" w:hAnsi="Calibri"/>
          <w:color w:val="24292E"/>
          <w:sz w:val="22"/>
        </w:rPr>
        <w:t xml:space="preserve">    ) {</w:t>
      </w:r>
    </w:p>
    <w:p>
      <w:pPr>
        <w:spacing w:before="40" w:after="80" w:line="276" w:lineRule="auto"/>
      </w:pPr>
      <w:r>
        <w:rPr>
          <w:rFonts w:ascii="Calibri" w:hAnsi="Calibri"/>
          <w:color w:val="24292E"/>
          <w:sz w:val="22"/>
        </w:rPr>
        <w:t xml:space="preserve">      // 1. Acquire per-project transaction advisory lock using tagged template literal</w:t>
      </w:r>
    </w:p>
    <w:p>
      <w:pPr>
        <w:spacing w:before="40" w:after="80" w:line="276" w:lineRule="auto"/>
      </w:pPr>
      <w:r>
        <w:rPr>
          <w:rFonts w:ascii="Calibri" w:hAnsi="Calibri"/>
          <w:color w:val="24292E"/>
          <w:sz w:val="22"/>
        </w:rPr>
        <w:t xml:space="preserve">      await tx.$executeRaw</w:t>
      </w:r>
      <w:r>
        <w:rPr>
          <w:rFonts w:ascii="Consolas" w:hAnsi="Consolas"/>
          <w:color w:val="032F62"/>
          <w:sz w:val="21"/>
        </w:rPr>
        <w:t>SELECT pg_advisory_xact_lock(hashtext(${projectId}))</w:t>
      </w:r>
      <w:r>
        <w:rPr>
          <w:rFonts w:ascii="Calibri" w:hAnsi="Calibri"/>
          <w:color w:val="24292E"/>
          <w:sz w:val="22"/>
        </w:rPr>
        <w:t>;</w:t>
      </w:r>
    </w:p>
    <w:p>
      <w:pPr>
        <w:spacing w:before="40" w:after="80" w:line="276" w:lineRule="auto"/>
      </w:pPr>
      <w:r>
        <w:rPr>
          <w:rFonts w:ascii="Calibri" w:hAnsi="Calibri"/>
          <w:color w:val="24292E"/>
          <w:sz w:val="22"/>
        </w:rPr>
        <w:t xml:space="preserve">      // 2. Idempotent check for ACTIVATION: return existing baseline if already activated</w:t>
      </w:r>
    </w:p>
    <w:p>
      <w:pPr>
        <w:spacing w:before="40" w:after="80" w:line="276" w:lineRule="auto"/>
      </w:pPr>
      <w:r>
        <w:rPr>
          <w:rFonts w:ascii="Calibri" w:hAnsi="Calibri"/>
          <w:color w:val="24292E"/>
          <w:sz w:val="22"/>
        </w:rPr>
        <w:t xml:space="preserve">      if (options.source === "ACTIVATION") {</w:t>
      </w:r>
    </w:p>
    <w:p>
      <w:pPr>
        <w:spacing w:before="40" w:after="80" w:line="276" w:lineRule="auto"/>
      </w:pPr>
      <w:r>
        <w:rPr>
          <w:rFonts w:ascii="Calibri" w:hAnsi="Calibri"/>
          <w:color w:val="24292E"/>
          <w:sz w:val="22"/>
        </w:rPr>
        <w:t xml:space="preserve">        const existingActivation = await tx.projectBaseline.findFirst({</w:t>
      </w:r>
    </w:p>
    <w:p>
      <w:pPr>
        <w:spacing w:before="40" w:after="80" w:line="276" w:lineRule="auto"/>
      </w:pPr>
      <w:r>
        <w:rPr>
          <w:rFonts w:ascii="Calibri" w:hAnsi="Calibri"/>
          <w:color w:val="24292E"/>
          <w:sz w:val="22"/>
        </w:rPr>
        <w:t xml:space="preserve">          where: { projectId, source: "ACTIVATION"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(existingActivation) {</w:t>
      </w:r>
    </w:p>
    <w:p>
      <w:pPr>
        <w:spacing w:before="40" w:after="80" w:line="276" w:lineRule="auto"/>
      </w:pPr>
      <w:r>
        <w:rPr>
          <w:rFonts w:ascii="Calibri" w:hAnsi="Calibri"/>
          <w:color w:val="24292E"/>
          <w:sz w:val="22"/>
        </w:rPr>
        <w:t xml:space="preserve">          return existingActivation; // Idempotently return existing baseline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3. Idempotent check and validation for CHANGE_REQUEST</w:t>
      </w:r>
    </w:p>
    <w:p>
      <w:pPr>
        <w:spacing w:before="40" w:after="80" w:line="276" w:lineRule="auto"/>
      </w:pPr>
      <w:r>
        <w:rPr>
          <w:rFonts w:ascii="Calibri" w:hAnsi="Calibri"/>
          <w:color w:val="24292E"/>
          <w:sz w:val="22"/>
        </w:rPr>
        <w:t xml:space="preserve">      if (options.source === "CHANGE_REQUEST") {</w:t>
      </w:r>
    </w:p>
    <w:p>
      <w:pPr>
        <w:spacing w:before="40" w:after="80" w:line="276" w:lineRule="auto"/>
      </w:pPr>
      <w:r>
        <w:rPr>
          <w:rFonts w:ascii="Calibri" w:hAnsi="Calibri"/>
          <w:color w:val="24292E"/>
          <w:sz w:val="22"/>
        </w:rPr>
        <w:t xml:space="preserve">        if (!options.changeRequestId) {</w:t>
      </w:r>
    </w:p>
    <w:p>
      <w:pPr>
        <w:spacing w:before="40" w:after="80" w:line="276" w:lineRule="auto"/>
      </w:pPr>
      <w:r>
        <w:rPr>
          <w:rFonts w:ascii="Calibri" w:hAnsi="Calibri"/>
          <w:color w:val="24292E"/>
          <w:sz w:val="22"/>
        </w:rPr>
        <w:t xml:space="preserve">          throw new Error("CHANGE_REQUEST_ID_REQUIRED: A change request baseline requires a valid changeRequestId.");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STEP 3A: Check existing baseline FIRST to preserve retry safety after CR is APPLIED</w:t>
      </w:r>
    </w:p>
    <w:p>
      <w:pPr>
        <w:spacing w:before="40" w:after="80" w:line="276" w:lineRule="auto"/>
      </w:pPr>
      <w:r>
        <w:rPr>
          <w:rFonts w:ascii="Calibri" w:hAnsi="Calibri"/>
          <w:color w:val="24292E"/>
          <w:sz w:val="22"/>
        </w:rPr>
        <w:t xml:space="preserve">        const existingCRBaseline = await tx.projectBaseline.findUnique({</w:t>
      </w:r>
    </w:p>
    <w:p>
      <w:pPr>
        <w:spacing w:before="40" w:after="80" w:line="276" w:lineRule="auto"/>
      </w:pPr>
      <w:r>
        <w:rPr>
          <w:rFonts w:ascii="Calibri" w:hAnsi="Calibri"/>
          <w:color w:val="24292E"/>
          <w:sz w:val="22"/>
        </w:rPr>
        <w:t xml:space="preserve">          where: { changeRequestId: options.changeRequestId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(existingCRBaseline) {</w:t>
      </w:r>
    </w:p>
    <w:p>
      <w:pPr>
        <w:spacing w:before="40" w:after="80" w:line="276" w:lineRule="auto"/>
      </w:pPr>
      <w:r>
        <w:rPr>
          <w:rFonts w:ascii="Calibri" w:hAnsi="Calibri"/>
          <w:color w:val="24292E"/>
          <w:sz w:val="22"/>
        </w:rPr>
        <w:t xml:space="preserve">          if (existingCRBaseline.projectId !== projectId) {</w:t>
      </w:r>
    </w:p>
    <w:p>
      <w:pPr>
        <w:spacing w:before="40" w:after="80" w:line="276" w:lineRule="auto"/>
      </w:pPr>
      <w:r>
        <w:rPr>
          <w:rFonts w:ascii="Calibri" w:hAnsi="Calibri"/>
          <w:color w:val="24292E"/>
          <w:sz w:val="22"/>
        </w:rPr>
        <w:t xml:space="preserve">            throw new Error("CHANGE_REQUEST_BASELINE_PROJECT_MISMATCH: Baseline project ID does not match.");</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existingCRBaseline; // Idempotently return existing CR baseline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STEP 3B: If baseline does not exist yet, require APPROVED status</w:t>
      </w:r>
    </w:p>
    <w:p>
      <w:pPr>
        <w:spacing w:before="40" w:after="80" w:line="276" w:lineRule="auto"/>
      </w:pPr>
      <w:r>
        <w:rPr>
          <w:rFonts w:ascii="Calibri" w:hAnsi="Calibri"/>
          <w:color w:val="24292E"/>
          <w:sz w:val="22"/>
        </w:rPr>
        <w:t xml:space="preserve">        const approvedChangeRequest = await tx.changeRequest.findFirst({</w:t>
      </w:r>
    </w:p>
    <w:p>
      <w:pPr>
        <w:spacing w:before="40" w:after="80" w:line="276" w:lineRule="auto"/>
      </w:pPr>
      <w:r>
        <w:rPr>
          <w:rFonts w:ascii="Calibri" w:hAnsi="Calibri"/>
          <w:color w:val="24292E"/>
          <w:sz w:val="22"/>
        </w:rPr>
        <w:t xml:space="preserve">          where: { </w:t>
      </w:r>
    </w:p>
    <w:p>
      <w:pPr>
        <w:spacing w:before="40" w:after="80" w:line="276" w:lineRule="auto"/>
      </w:pPr>
      <w:r>
        <w:rPr>
          <w:rFonts w:ascii="Calibri" w:hAnsi="Calibri"/>
          <w:color w:val="24292E"/>
          <w:sz w:val="22"/>
        </w:rPr>
        <w:t xml:space="preserve">            id: options.changeRequestId, </w:t>
      </w:r>
    </w:p>
    <w:p>
      <w:pPr>
        <w:spacing w:before="40" w:after="80" w:line="276" w:lineRule="auto"/>
      </w:pPr>
      <w:r>
        <w:rPr>
          <w:rFonts w:ascii="Calibri" w:hAnsi="Calibri"/>
          <w:color w:val="24292E"/>
          <w:sz w:val="22"/>
        </w:rPr>
        <w:t xml:space="preserve">            projectId, </w:t>
      </w:r>
    </w:p>
    <w:p>
      <w:pPr>
        <w:spacing w:before="40" w:after="80" w:line="276" w:lineRule="auto"/>
      </w:pPr>
      <w:r>
        <w:rPr>
          <w:rFonts w:ascii="Calibri" w:hAnsi="Calibri"/>
          <w:color w:val="24292E"/>
          <w:sz w:val="22"/>
        </w:rPr>
        <w:t xml:space="preserve">            status: "APPROVED"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(!approvedChangeRequest) {</w:t>
      </w:r>
    </w:p>
    <w:p>
      <w:pPr>
        <w:spacing w:before="40" w:after="80" w:line="276" w:lineRule="auto"/>
      </w:pPr>
      <w:r>
        <w:rPr>
          <w:rFonts w:ascii="Calibri" w:hAnsi="Calibri"/>
          <w:color w:val="24292E"/>
          <w:sz w:val="22"/>
        </w:rPr>
        <w:t xml:space="preserve">          throw new Error("INVALID_CHANGE_REQUEST: Change request must belong to this project and be APPROVED.");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4. Archive current baseline in the same atomic transaction</w:t>
      </w:r>
    </w:p>
    <w:p>
      <w:pPr>
        <w:spacing w:before="40" w:after="80" w:line="276" w:lineRule="auto"/>
      </w:pPr>
      <w:r>
        <w:rPr>
          <w:rFonts w:ascii="Calibri" w:hAnsi="Calibri"/>
          <w:color w:val="24292E"/>
          <w:sz w:val="22"/>
        </w:rPr>
        <w:t xml:space="preserve">      await tx.projectBaseline.updateMany({</w:t>
      </w:r>
    </w:p>
    <w:p>
      <w:pPr>
        <w:spacing w:before="40" w:after="80" w:line="276" w:lineRule="auto"/>
      </w:pPr>
      <w:r>
        <w:rPr>
          <w:rFonts w:ascii="Calibri" w:hAnsi="Calibri"/>
          <w:color w:val="24292E"/>
          <w:sz w:val="22"/>
        </w:rPr>
        <w:t xml:space="preserve">        where: { projectId, isCurrent: true },</w:t>
      </w:r>
    </w:p>
    <w:p>
      <w:pPr>
        <w:spacing w:before="40" w:after="80" w:line="276" w:lineRule="auto"/>
      </w:pPr>
      <w:r>
        <w:rPr>
          <w:rFonts w:ascii="Calibri" w:hAnsi="Calibri"/>
          <w:color w:val="24292E"/>
          <w:sz w:val="22"/>
        </w:rPr>
        <w:t xml:space="preserve">        data: { isCurrent: false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5. Fetch latest version number</w:t>
      </w:r>
    </w:p>
    <w:p>
      <w:pPr>
        <w:spacing w:before="40" w:after="80" w:line="276" w:lineRule="auto"/>
      </w:pPr>
      <w:r>
        <w:rPr>
          <w:rFonts w:ascii="Calibri" w:hAnsi="Calibri"/>
          <w:color w:val="24292E"/>
          <w:sz w:val="22"/>
        </w:rPr>
        <w:t xml:space="preserve">      const latest = await tx.projectBaseline.findFirst({</w:t>
      </w:r>
    </w:p>
    <w:p>
      <w:pPr>
        <w:spacing w:before="40" w:after="80" w:line="276" w:lineRule="auto"/>
      </w:pPr>
      <w:r>
        <w:rPr>
          <w:rFonts w:ascii="Calibri" w:hAnsi="Calibri"/>
          <w:color w:val="24292E"/>
          <w:sz w:val="22"/>
        </w:rPr>
        <w:t xml:space="preserve">        where: { projectId },</w:t>
      </w:r>
    </w:p>
    <w:p>
      <w:pPr>
        <w:spacing w:before="40" w:after="80" w:line="276" w:lineRule="auto"/>
      </w:pPr>
      <w:r>
        <w:rPr>
          <w:rFonts w:ascii="Calibri" w:hAnsi="Calibri"/>
          <w:color w:val="24292E"/>
          <w:sz w:val="22"/>
        </w:rPr>
        <w:t xml:space="preserve">        orderBy: { version: 'desc'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const nextVersion = latest ? latest.version + 1 : 1;</w:t>
      </w:r>
    </w:p>
    <w:p>
      <w:pPr>
        <w:spacing w:before="40" w:after="80" w:line="276" w:lineRule="auto"/>
      </w:pPr>
      <w:r>
        <w:rPr>
          <w:rFonts w:ascii="Calibri" w:hAnsi="Calibri"/>
          <w:color w:val="24292E"/>
          <w:sz w:val="22"/>
        </w:rPr>
        <w:t xml:space="preserve">      // 6. Create new current baseline using string template literal</w:t>
      </w:r>
    </w:p>
    <w:p>
      <w:pPr>
        <w:spacing w:before="40" w:after="80" w:line="276" w:lineRule="auto"/>
      </w:pPr>
      <w:r>
        <w:rPr>
          <w:rFonts w:ascii="Calibri" w:hAnsi="Calibri"/>
          <w:color w:val="24292E"/>
          <w:sz w:val="22"/>
        </w:rPr>
        <w:t xml:space="preserve">      return await tx.projectBaseline.create({</w:t>
      </w:r>
    </w:p>
    <w:p>
      <w:pPr>
        <w:spacing w:before="40" w:after="80" w:line="276" w:lineRule="auto"/>
      </w:pPr>
      <w:r>
        <w:rPr>
          <w:rFonts w:ascii="Calibri" w:hAnsi="Calibri"/>
          <w:color w:val="24292E"/>
          <w:sz w:val="22"/>
        </w:rPr>
        <w:t xml:space="preserve">        data: {</w:t>
      </w:r>
    </w:p>
    <w:p>
      <w:pPr>
        <w:spacing w:before="40" w:after="80" w:line="276" w:lineRule="auto"/>
      </w:pPr>
      <w:r>
        <w:rPr>
          <w:rFonts w:ascii="Calibri" w:hAnsi="Calibri"/>
          <w:color w:val="24292E"/>
          <w:sz w:val="22"/>
        </w:rPr>
        <w:t xml:space="preserve">          projectId,</w:t>
      </w:r>
    </w:p>
    <w:p>
      <w:pPr>
        <w:spacing w:before="40" w:after="80" w:line="276" w:lineRule="auto"/>
      </w:pPr>
      <w:r>
        <w:rPr>
          <w:rFonts w:ascii="Calibri" w:hAnsi="Calibri"/>
          <w:color w:val="24292E"/>
          <w:sz w:val="22"/>
        </w:rPr>
        <w:t xml:space="preserve">          version: nextVersion,</w:t>
      </w:r>
    </w:p>
    <w:p>
      <w:pPr>
        <w:spacing w:before="40" w:after="80" w:line="276" w:lineRule="auto"/>
      </w:pPr>
      <w:r>
        <w:rPr>
          <w:rFonts w:ascii="Calibri" w:hAnsi="Calibri"/>
          <w:color w:val="24292E"/>
          <w:sz w:val="22"/>
        </w:rPr>
        <w:t xml:space="preserve">          source: options.source,</w:t>
      </w:r>
    </w:p>
    <w:p>
      <w:pPr>
        <w:spacing w:before="40" w:after="80" w:line="276" w:lineRule="auto"/>
      </w:pPr>
      <w:r>
        <w:rPr>
          <w:rFonts w:ascii="Calibri" w:hAnsi="Calibri"/>
          <w:color w:val="24292E"/>
          <w:sz w:val="22"/>
        </w:rPr>
        <w:t xml:space="preserve">          contractValue: budgetRevision.dppAmount,</w:t>
      </w:r>
    </w:p>
    <w:p>
      <w:pPr>
        <w:spacing w:before="40" w:after="80" w:line="276" w:lineRule="auto"/>
      </w:pPr>
      <w:r>
        <w:rPr>
          <w:rFonts w:ascii="Calibri" w:hAnsi="Calibri"/>
          <w:color w:val="24292E"/>
          <w:sz w:val="22"/>
        </w:rPr>
        <w:t xml:space="preserve">          estimatedCost: budgetRevision.totalCost,</w:t>
      </w:r>
    </w:p>
    <w:p>
      <w:pPr>
        <w:spacing w:before="40" w:after="80" w:line="276" w:lineRule="auto"/>
      </w:pPr>
      <w:r>
        <w:rPr>
          <w:rFonts w:ascii="Calibri" w:hAnsi="Calibri"/>
          <w:color w:val="24292E"/>
          <w:sz w:val="22"/>
        </w:rPr>
        <w:t xml:space="preserve">          isCurrent: true,</w:t>
      </w:r>
    </w:p>
    <w:p>
      <w:pPr>
        <w:spacing w:before="40" w:after="80" w:line="276" w:lineRule="auto"/>
      </w:pPr>
      <w:r>
        <w:rPr>
          <w:rFonts w:ascii="Calibri" w:hAnsi="Calibri"/>
          <w:color w:val="24292E"/>
          <w:sz w:val="22"/>
        </w:rPr>
        <w:t xml:space="preserve">          commercialBudgetRevisionId: budgetRevision.id,</w:t>
      </w:r>
    </w:p>
    <w:p>
      <w:pPr>
        <w:spacing w:before="40" w:after="80" w:line="276" w:lineRule="auto"/>
      </w:pPr>
      <w:r>
        <w:rPr>
          <w:rFonts w:ascii="Calibri" w:hAnsi="Calibri"/>
          <w:color w:val="24292E"/>
          <w:sz w:val="22"/>
        </w:rPr>
        <w:t xml:space="preserve">          changeRequestId: options.source === "CHANGE_REQUEST" ? options.changeRequestId : null,</w:t>
      </w:r>
    </w:p>
    <w:p>
      <w:pPr>
        <w:spacing w:before="40" w:after="80" w:line="276" w:lineRule="auto"/>
      </w:pPr>
      <w:r>
        <w:rPr>
          <w:rFonts w:ascii="Calibri" w:hAnsi="Calibri"/>
          <w:color w:val="24292E"/>
          <w:sz w:val="22"/>
        </w:rPr>
        <w:t xml:space="preserve">          approvedById: budgetRevision.approvedById,</w:t>
      </w:r>
    </w:p>
    <w:p>
      <w:pPr>
        <w:spacing w:before="40" w:after="80" w:line="276" w:lineRule="auto"/>
      </w:pPr>
      <w:r>
        <w:rPr>
          <w:rFonts w:ascii="Calibri" w:hAnsi="Calibri"/>
          <w:color w:val="24292E"/>
          <w:sz w:val="22"/>
        </w:rPr>
        <w:t xml:space="preserve">          approvedAt: budgetRevision.approvedAt || new Date(),</w:t>
      </w:r>
    </w:p>
    <w:p>
      <w:pPr>
        <w:spacing w:before="40" w:after="80" w:line="276" w:lineRule="auto"/>
      </w:pPr>
      <w:r>
        <w:rPr>
          <w:rFonts w:ascii="Calibri" w:hAnsi="Calibri"/>
          <w:color w:val="24292E"/>
          <w:sz w:val="22"/>
        </w:rPr>
        <w:t xml:space="preserve">          scopeSummary: </w:t>
      </w:r>
      <w:r>
        <w:rPr>
          <w:rFonts w:ascii="Consolas" w:hAnsi="Consolas"/>
          <w:color w:val="032F62"/>
          <w:sz w:val="21"/>
        </w:rPr>
        <w:t>Auto-synced from Commercial Budget Revision v${budgetRevision.version}</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00" w:after="80"/>
      </w:pPr>
      <w:r>
        <w:rPr>
          <w:rFonts w:ascii="Calibri" w:hAnsi="Calibri"/>
          <w:b/>
          <w:color w:val="1F4E79"/>
          <w:sz w:val="26"/>
        </w:rPr>
        <w:t>🔄 Category 8: External CRM &amp; Inbound Data Ingestion (</w:t>
      </w:r>
      <w:r>
        <w:rPr>
          <w:rFonts w:ascii="Consolas" w:hAnsi="Consolas"/>
          <w:color w:val="032F62"/>
          <w:sz w:val="25"/>
        </w:rPr>
        <w:t>DEMO-07</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19: Dedicated Pipedrive Product Mapping &amp; Inbound Sync Directionality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"Pipedrive Person/Product/Cost mappings?"</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Pipedrive Person, Product, and Cost fields mapped into SPH?"</w:t>
      </w:r>
    </w:p>
    <w:p>
      <w:pPr>
        <w:pStyle w:val="ListBullet"/>
        <w:spacing w:before="20" w:after="40"/>
        <w:ind w:left="360"/>
      </w:pPr>
      <w:r>
        <w:rPr>
          <w:rFonts w:ascii="Calibri" w:hAnsi="Calibri"/>
          <w:b/>
          <w:color w:val="24292E"/>
          <w:sz w:val="21"/>
        </w:rPr>
        <w:t>In the Simplest Terms</w:t>
      </w:r>
      <w:r>
        <w:rPr>
          <w:rFonts w:ascii="Calibri" w:hAnsi="Calibri"/>
          <w:color w:val="24292E"/>
          <w:sz w:val="21"/>
        </w:rPr>
        <w:t>: Pipedrive Person becomes a Client Contact; Product maps through an explicit mapping table to an Offering. SPH connects to a single official Pipedrive instance.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8.0</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Map Pipedrive Organizations to </w:t>
      </w:r>
      <w:r>
        <w:rPr>
          <w:rFonts w:ascii="Consolas" w:hAnsi="Consolas"/>
          <w:color w:val="032F62"/>
          <w:sz w:val="21"/>
        </w:rPr>
        <w:t>Client</w:t>
      </w:r>
      <w:r>
        <w:rPr>
          <w:rFonts w:ascii="Calibri" w:hAnsi="Calibri"/>
          <w:color w:val="24292E"/>
          <w:sz w:val="22"/>
        </w:rPr>
        <w:t xml:space="preserve"> and Persons to </w:t>
      </w:r>
      <w:r>
        <w:rPr>
          <w:rFonts w:ascii="Consolas" w:hAnsi="Consolas"/>
          <w:color w:val="032F62"/>
          <w:sz w:val="21"/>
        </w:rPr>
        <w:t>ClientContact</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8.0b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SPH operates against a Single Authoritative Pipedrive Connection (</w:t>
      </w:r>
      <w:r>
        <w:rPr>
          <w:rFonts w:ascii="Consolas" w:hAnsi="Consolas"/>
          <w:color w:val="032F62"/>
          <w:sz w:val="21"/>
        </w:rPr>
        <w:t>connectionKey = "DEFAULT"</w:t>
      </w:r>
      <w:r>
        <w:rPr>
          <w:rFonts w:ascii="Calibri" w:hAnsi="Calibri"/>
          <w:color w:val="24292E"/>
          <w:sz w:val="22"/>
        </w:rPr>
        <w:t xml:space="preserve">), while implementing composite uniqueness </w:t>
      </w:r>
      <w:r>
        <w:rPr>
          <w:rFonts w:ascii="Consolas" w:hAnsi="Consolas"/>
          <w:color w:val="032F62"/>
          <w:sz w:val="21"/>
        </w:rPr>
        <w:t>@@unique([connectionKey, pipedriveId])</w:t>
      </w:r>
      <w:r>
        <w:rPr>
          <w:rFonts w:ascii="Calibri" w:hAnsi="Calibri"/>
          <w:color w:val="24292E"/>
          <w:sz w:val="22"/>
        </w:rPr>
        <w:t xml:space="preserve"> on </w:t>
      </w:r>
      <w:r>
        <w:rPr>
          <w:rFonts w:ascii="Consolas" w:hAnsi="Consolas"/>
          <w:color w:val="032F62"/>
          <w:sz w:val="21"/>
        </w:rPr>
        <w:t>PipedriveProductMapping</w:t>
      </w:r>
      <w:r>
        <w:rPr>
          <w:rFonts w:ascii="Calibri" w:hAnsi="Calibri"/>
          <w:color w:val="24292E"/>
          <w:sz w:val="22"/>
        </w:rPr>
        <w:t xml:space="preserve">. Unknown products route to a CRM review queue. Designate Pipedrive product sync as a </w:t>
      </w:r>
      <w:r>
        <w:rPr>
          <w:rFonts w:ascii="Calibri" w:hAnsi="Calibri"/>
          <w:b/>
          <w:color w:val="24292E"/>
          <w:sz w:val="22"/>
        </w:rPr>
        <w:t>Target Design (Not Yet Implemented)</w:t>
      </w:r>
      <w:r>
        <w:rPr>
          <w:rFonts w:ascii="Calibri" w:hAnsi="Calibri"/>
          <w:color w:val="24292E"/>
          <w:sz w:val="22"/>
        </w:rPr>
        <w:t xml:space="preserve">. </w:t>
      </w:r>
      <w:r>
        <w:rPr>
          <w:rFonts w:ascii="Calibri" w:hAnsi="Calibri"/>
          <w:i/>
          <w:color w:val="24292E"/>
          <w:sz w:val="22"/>
        </w:rPr>
        <w:t>(Source: Author Review 2 - Item #8)</w:t>
      </w:r>
    </w:p>
    <w:p>
      <w:pPr>
        <w:spacing w:before="120" w:after="120"/>
        <w:pBdr>
          <w:bottom w:val="single" w:sz="6" w:space="1" w:color="E1E4E8"/>
        </w:pBdr>
      </w:pPr>
    </w:p>
    <w:p>
      <w:pPr>
        <w:keepNext/>
        <w:spacing w:before="200" w:after="80"/>
      </w:pPr>
      <w:r>
        <w:rPr>
          <w:rFonts w:ascii="Calibri" w:hAnsi="Calibri"/>
          <w:b/>
          <w:color w:val="1F4E79"/>
          <w:sz w:val="26"/>
        </w:rPr>
        <w:t>🔒 Category 9: Project Client Attribution Lock &amp; Corrections (</w:t>
      </w:r>
      <w:r>
        <w:rPr>
          <w:rFonts w:ascii="Consolas" w:hAnsi="Consolas"/>
          <w:color w:val="032F62"/>
          <w:sz w:val="25"/>
        </w:rPr>
        <w:t>DEMO-12</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20: Project Client Attribution Lock (Phase 1 Built vs. Phase 2 Design)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"Client attribution correction sebelum/after invoice?"</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client attribution corrected before vs. after invoice generation?"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You cannot change which Client owns a Project (</w:t>
      </w:r>
      <w:r>
        <w:rPr>
          <w:rFonts w:ascii="Consolas" w:hAnsi="Consolas"/>
          <w:color w:val="032F62"/>
          <w:sz w:val="20"/>
        </w:rPr>
        <w:t>Project.clientId</w:t>
      </w:r>
      <w:r>
        <w:rPr>
          <w:rFonts w:ascii="Calibri" w:hAnsi="Calibri"/>
          <w:color w:val="24292E"/>
          <w:sz w:val="21"/>
        </w:rPr>
        <w:t xml:space="preserve"> is locked). If there's a typo in the client name, edit </w:t>
      </w:r>
      <w:r>
        <w:rPr>
          <w:rFonts w:ascii="Consolas" w:hAnsi="Consolas"/>
          <w:color w:val="032F62"/>
          <w:sz w:val="20"/>
        </w:rPr>
        <w:t>Client.name</w:t>
      </w:r>
      <w:r>
        <w:rPr>
          <w:rFonts w:ascii="Calibri" w:hAnsi="Calibri"/>
          <w:color w:val="24292E"/>
          <w:sz w:val="21"/>
        </w:rPr>
        <w:t xml:space="preserve"> directly. If the wrong client was assigned before invoicing, PMO and Finance must both approve an exception. After invoicing, you must void and reissue through Xero.</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9.0 (DEMO-12 Phase 1)</w:t>
      </w:r>
      <w:r>
        <w:rPr>
          <w:rFonts w:ascii="Calibri" w:hAnsi="Calibri"/>
          <w:color w:val="24292E"/>
          <w:sz w:val="22"/>
        </w:rPr>
        <w:t xml:space="preserve"> </w:t>
      </w:r>
      <w:r>
        <w:rPr>
          <w:rFonts w:ascii="Consolas" w:hAnsi="Consolas"/>
          <w:color w:val="032F62"/>
          <w:sz w:val="21"/>
        </w:rPr>
        <w:t>[APPROVED / IMPLEMENTED]</w:t>
      </w:r>
      <w:r>
        <w:rPr>
          <w:rFonts w:ascii="Calibri" w:hAnsi="Calibri"/>
          <w:color w:val="24292E"/>
          <w:sz w:val="22"/>
        </w:rPr>
        <w:t xml:space="preserve">: </w:t>
      </w:r>
      <w:r>
        <w:rPr>
          <w:rFonts w:ascii="Calibri" w:hAnsi="Calibri"/>
          <w:b/>
          <w:color w:val="24292E"/>
          <w:sz w:val="22"/>
        </w:rPr>
        <w:t>Permanently lock `Project.clientId`</w:t>
      </w:r>
      <w:r>
        <w:rPr>
          <w:rFonts w:ascii="Calibri" w:hAnsi="Calibri"/>
          <w:color w:val="24292E"/>
          <w:sz w:val="22"/>
        </w:rPr>
        <w:t xml:space="preserve"> across all roles once created or converted. Re-submitting the identical </w:t>
      </w:r>
      <w:r>
        <w:rPr>
          <w:rFonts w:ascii="Consolas" w:hAnsi="Consolas"/>
          <w:color w:val="032F62"/>
          <w:sz w:val="21"/>
        </w:rPr>
        <w:t>clientId</w:t>
      </w:r>
      <w:r>
        <w:rPr>
          <w:rFonts w:ascii="Calibri" w:hAnsi="Calibri"/>
          <w:color w:val="24292E"/>
          <w:sz w:val="22"/>
        </w:rPr>
        <w:t xml:space="preserve"> is accepted for backward compatibility. Direct mutation attempts are rejected with error </w:t>
      </w:r>
      <w:r>
        <w:rPr>
          <w:rFonts w:ascii="Consolas" w:hAnsi="Consolas"/>
          <w:color w:val="032F62"/>
          <w:sz w:val="21"/>
        </w:rPr>
        <w:t>CLIENT_ATTRIBUTION_LOCKED</w:t>
      </w:r>
      <w:r>
        <w:rPr>
          <w:rFonts w:ascii="Calibri" w:hAnsi="Calibri"/>
          <w:color w:val="24292E"/>
          <w:sz w:val="22"/>
        </w:rPr>
        <w:t xml:space="preserve"> (</w:t>
      </w:r>
      <w:r>
        <w:rPr>
          <w:rFonts w:ascii="Calibri" w:hAnsi="Calibri"/>
          <w:i/>
          <w:color w:val="24292E"/>
          <w:sz w:val="22"/>
        </w:rPr>
        <w:t>"Client attribution cannot be changed after project creation."</w:t>
      </w:r>
      <w:r>
        <w:rPr>
          <w:rFonts w:ascii="Calibri" w:hAnsi="Calibri"/>
          <w:color w:val="24292E"/>
          <w:sz w:val="22"/>
        </w:rPr>
        <w:t xml:space="preserve">). UI displays Client as read-only. </w:t>
      </w:r>
      <w:r>
        <w:rPr>
          <w:rFonts w:ascii="Calibri" w:hAnsi="Calibri"/>
          <w:i/>
          <w:color w:val="24292E"/>
          <w:sz w:val="22"/>
        </w:rPr>
        <w:t>(Source: Implemented in Codebase c7080af)</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9.0b (DEMO-12 Phase 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 formal </w:t>
      </w:r>
      <w:r>
        <w:rPr>
          <w:rFonts w:ascii="Calibri" w:hAnsi="Calibri"/>
          <w:b/>
          <w:color w:val="24292E"/>
          <w:sz w:val="22"/>
        </w:rPr>
        <w:t>Dual-Approval State Machine (`ClientAttributionCorrection`)</w:t>
      </w:r>
      <w:r>
        <w:rPr>
          <w:rFonts w:ascii="Calibri" w:hAnsi="Calibri"/>
          <w:color w:val="24292E"/>
          <w:sz w:val="22"/>
        </w:rPr>
        <w:t xml:space="preserve"> requiring independent sign-offs from both </w:t>
      </w:r>
      <w:r>
        <w:rPr>
          <w:rFonts w:ascii="Calibri" w:hAnsi="Calibri"/>
          <w:b/>
          <w:color w:val="24292E"/>
          <w:sz w:val="22"/>
        </w:rPr>
        <w:t>PMO (`MANAGEMENT`)</w:t>
      </w:r>
      <w:r>
        <w:rPr>
          <w:rFonts w:ascii="Calibri" w:hAnsi="Calibri"/>
          <w:color w:val="24292E"/>
          <w:sz w:val="22"/>
        </w:rPr>
        <w:t xml:space="preserve"> AND </w:t>
      </w:r>
      <w:r>
        <w:rPr>
          <w:rFonts w:ascii="Calibri" w:hAnsi="Calibri"/>
          <w:b/>
          <w:color w:val="24292E"/>
          <w:sz w:val="22"/>
        </w:rPr>
        <w:t>`FINANCE`</w:t>
      </w:r>
      <w:r>
        <w:rPr>
          <w:rFonts w:ascii="Calibri" w:hAnsi="Calibri"/>
          <w:color w:val="24292E"/>
          <w:sz w:val="22"/>
        </w:rPr>
        <w:t xml:space="preserve"> with explicit statuses (</w:t>
      </w:r>
      <w:r>
        <w:rPr>
          <w:rFonts w:ascii="Consolas" w:hAnsi="Consolas"/>
          <w:color w:val="032F62"/>
          <w:sz w:val="21"/>
        </w:rPr>
        <w:t>pmoStatus</w:t>
      </w:r>
      <w:r>
        <w:rPr>
          <w:rFonts w:ascii="Calibri" w:hAnsi="Calibri"/>
          <w:color w:val="24292E"/>
          <w:sz w:val="22"/>
        </w:rPr>
        <w:t xml:space="preserve">, </w:t>
      </w:r>
      <w:r>
        <w:rPr>
          <w:rFonts w:ascii="Consolas" w:hAnsi="Consolas"/>
          <w:color w:val="032F62"/>
          <w:sz w:val="21"/>
        </w:rPr>
        <w:t>financeStatus</w:t>
      </w:r>
      <w:r>
        <w:rPr>
          <w:rFonts w:ascii="Calibri" w:hAnsi="Calibri"/>
          <w:color w:val="24292E"/>
          <w:sz w:val="22"/>
        </w:rPr>
        <w:t xml:space="preserve">), timestamps, rejection reasons, and an </w:t>
      </w:r>
      <w:r>
        <w:rPr>
          <w:rFonts w:ascii="Consolas" w:hAnsi="Consolas"/>
          <w:color w:val="032F62"/>
          <w:sz w:val="21"/>
        </w:rPr>
        <w:t>executedBy</w:t>
      </w:r>
      <w:r>
        <w:rPr>
          <w:rFonts w:ascii="Calibri" w:hAnsi="Calibri"/>
          <w:color w:val="24292E"/>
          <w:sz w:val="22"/>
        </w:rPr>
        <w:t xml:space="preserve"> user relation. </w:t>
      </w:r>
      <w:r>
        <w:rPr>
          <w:rFonts w:ascii="Calibri" w:hAnsi="Calibri"/>
          <w:i/>
          <w:color w:val="24292E"/>
          <w:sz w:val="22"/>
        </w:rPr>
        <w:t>(Source: Author Review 2 - Item #7)</w:t>
      </w:r>
    </w:p>
    <w:p>
      <w:pPr>
        <w:spacing w:before="120" w:after="120"/>
        <w:pBdr>
          <w:bottom w:val="single" w:sz="6" w:space="1" w:color="E1E4E8"/>
        </w:pBdr>
      </w:pPr>
    </w:p>
    <w:p>
      <w:pPr>
        <w:keepNext/>
        <w:spacing w:before="200" w:after="80"/>
      </w:pPr>
      <w:r>
        <w:rPr>
          <w:rFonts w:ascii="Calibri" w:hAnsi="Calibri"/>
          <w:b/>
          <w:color w:val="1F4E79"/>
          <w:sz w:val="26"/>
        </w:rPr>
        <w:t>📦 Category 10: Data Migration &amp; Backward Compatibility</w:t>
      </w:r>
    </w:p>
    <w:p>
      <w:pPr>
        <w:spacing w:before="120" w:after="120"/>
        <w:pBdr>
          <w:bottom w:val="single" w:sz="6" w:space="1" w:color="E1E4E8"/>
        </w:pBdr>
      </w:pPr>
    </w:p>
    <w:p>
      <w:pPr>
        <w:keepNext/>
        <w:spacing w:before="160" w:after="40"/>
      </w:pPr>
      <w:r>
        <w:rPr>
          <w:rFonts w:ascii="Calibri" w:hAnsi="Calibri"/>
          <w:b/>
          <w:color w:val="262626"/>
          <w:sz w:val="23"/>
        </w:rPr>
        <w:t>Question 21: Direct-Write Compatibility &amp; Retention Policy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"Retention period untuk compatibility fields?"</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is the retention period for legacy compatibility fields?"</w:t>
      </w:r>
    </w:p>
    <w:p>
      <w:pPr>
        <w:pStyle w:val="ListBullet"/>
        <w:spacing w:before="20" w:after="40"/>
        <w:ind w:left="360"/>
      </w:pPr>
      <w:r>
        <w:rPr>
          <w:rFonts w:ascii="Calibri" w:hAnsi="Calibri"/>
          <w:b/>
          <w:color w:val="24292E"/>
          <w:sz w:val="21"/>
        </w:rPr>
        <w:t>In the Simplest Terms</w:t>
      </w:r>
      <w:r>
        <w:rPr>
          <w:rFonts w:ascii="Calibri" w:hAnsi="Calibri"/>
          <w:color w:val="24292E"/>
          <w:sz w:val="21"/>
        </w:rPr>
        <w:t>: Keep the old text fields (like free-text contact and industry) for 6 months (2 major release cycles) while data is cleaned up, then safely remove them.</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10.1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Retain legacy scalar columns (</w:t>
      </w:r>
      <w:r>
        <w:rPr>
          <w:rFonts w:ascii="Consolas" w:hAnsi="Consolas"/>
          <w:color w:val="032F62"/>
          <w:sz w:val="21"/>
        </w:rPr>
        <w:t>Lead.contactName</w:t>
      </w:r>
      <w:r>
        <w:rPr>
          <w:rFonts w:ascii="Calibri" w:hAnsi="Calibri"/>
          <w:color w:val="24292E"/>
          <w:sz w:val="22"/>
        </w:rPr>
        <w:t xml:space="preserve">, </w:t>
      </w:r>
      <w:r>
        <w:rPr>
          <w:rFonts w:ascii="Consolas" w:hAnsi="Consolas"/>
          <w:color w:val="032F62"/>
          <w:sz w:val="21"/>
        </w:rPr>
        <w:t>Lead.industry</w:t>
      </w:r>
      <w:r>
        <w:rPr>
          <w:rFonts w:ascii="Calibri" w:hAnsi="Calibri"/>
          <w:color w:val="24292E"/>
          <w:sz w:val="22"/>
        </w:rPr>
        <w:t xml:space="preserve">, </w:t>
      </w:r>
      <w:r>
        <w:rPr>
          <w:rFonts w:ascii="Consolas" w:hAnsi="Consolas"/>
          <w:color w:val="032F62"/>
          <w:sz w:val="21"/>
        </w:rPr>
        <w:t>Client.industry</w:t>
      </w:r>
      <w:r>
        <w:rPr>
          <w:rFonts w:ascii="Calibri" w:hAnsi="Calibri"/>
          <w:color w:val="24292E"/>
          <w:sz w:val="22"/>
        </w:rPr>
        <w:t xml:space="preserve">) as nullable shadow fields for a </w:t>
      </w:r>
      <w:r>
        <w:rPr>
          <w:rFonts w:ascii="Calibri" w:hAnsi="Calibri"/>
          <w:b/>
          <w:color w:val="24292E"/>
          <w:sz w:val="22"/>
        </w:rPr>
        <w:t>6-month / 2-release deprecation grace period</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10.1b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Explicit Direct-Write Policy</w:t>
      </w:r>
      <w:r>
        <w:rPr>
          <w:rFonts w:ascii="Calibri" w:hAnsi="Calibri"/>
          <w:color w:val="24292E"/>
          <w:sz w:val="22"/>
        </w:rPr>
        <w:t xml:space="preserve">. All external integrations MUST use the REST API. Direct database writes for legacy tools require PostgreSQL triggers or scheduled batch reconciliation scripts. Unmapped free-text strings route to the </w:t>
      </w:r>
      <w:r>
        <w:rPr>
          <w:rFonts w:ascii="Consolas" w:hAnsi="Consolas"/>
          <w:color w:val="032F62"/>
          <w:sz w:val="21"/>
        </w:rPr>
        <w:t>UNCLASSIFIED</w:t>
      </w:r>
      <w:r>
        <w:rPr>
          <w:rFonts w:ascii="Calibri" w:hAnsi="Calibri"/>
          <w:color w:val="24292E"/>
          <w:sz w:val="22"/>
        </w:rPr>
        <w:t xml:space="preserve"> review queue, never auto-creating master rows. </w:t>
      </w:r>
      <w:r>
        <w:rPr>
          <w:rFonts w:ascii="Calibri" w:hAnsi="Calibri"/>
          <w:i/>
          <w:color w:val="24292E"/>
          <w:sz w:val="22"/>
        </w:rPr>
        <w:t>(Source: Author Review 1 - Revision #11)</w:t>
      </w:r>
    </w:p>
    <w:p>
      <w:pPr>
        <w:spacing w:before="120" w:after="120"/>
        <w:pBdr>
          <w:bottom w:val="single" w:sz="6" w:space="1" w:color="E1E4E8"/>
        </w:pBdr>
      </w:pPr>
    </w:p>
    <w:p>
      <w:pPr>
        <w:keepNext/>
        <w:spacing w:before="200" w:after="80"/>
      </w:pPr>
      <w:r>
        <w:rPr>
          <w:rFonts w:ascii="Calibri" w:hAnsi="Calibri"/>
          <w:b/>
          <w:color w:val="1F4E79"/>
          <w:sz w:val="26"/>
        </w:rPr>
        <w:t>📊 Category 11: Dual Timeline Revenue Recognition &amp; Finance Gate (</w:t>
      </w:r>
      <w:r>
        <w:rPr>
          <w:rFonts w:ascii="Consolas" w:hAnsi="Consolas"/>
          <w:color w:val="032F62"/>
          <w:sz w:val="25"/>
        </w:rPr>
        <w:t>DEMO-13</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22: Decoupling Billing Milestones from PSAK 115 Revenue Recognition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billing milestone dan revenue recognition harus dipisahkan menjadi dua schedule yang berbeda?"</w:t>
      </w:r>
    </w:p>
    <w:p>
      <w:pPr>
        <w:pStyle w:val="ListBullet"/>
        <w:spacing w:before="20" w:after="40"/>
        <w:ind w:left="360"/>
      </w:pPr>
      <w:r>
        <w:rPr>
          <w:rFonts w:ascii="Calibri" w:hAnsi="Calibri"/>
          <w:b/>
          <w:color w:val="24292E"/>
          <w:sz w:val="21"/>
        </w:rPr>
        <w:t>English Translation</w:t>
      </w:r>
      <w:r>
        <w:rPr>
          <w:rFonts w:ascii="Calibri" w:hAnsi="Calibri"/>
          <w:color w:val="24292E"/>
          <w:sz w:val="21"/>
        </w:rPr>
        <w:t>: "Should billing milestones and revenue recognition be separated into two distinct schedules?"</w:t>
      </w:r>
    </w:p>
    <w:p>
      <w:pPr>
        <w:pStyle w:val="ListBullet"/>
        <w:spacing w:before="20" w:after="40"/>
        <w:ind w:left="360"/>
      </w:pPr>
      <w:r>
        <w:rPr>
          <w:rFonts w:ascii="Calibri" w:hAnsi="Calibri"/>
          <w:b/>
          <w:color w:val="24292E"/>
          <w:sz w:val="21"/>
        </w:rPr>
        <w:t>In the Simplest Terms</w:t>
      </w:r>
      <w:r>
        <w:rPr>
          <w:rFonts w:ascii="Calibri" w:hAnsi="Calibri"/>
          <w:color w:val="24292E"/>
          <w:sz w:val="21"/>
        </w:rPr>
        <w:t>: Yes. Invoicing a customer or collecting cash is a commercial transaction (Terms of Payment). Recognizing revenue is an accounting event that happens only when the performance obligation (service or deliverable) is actually completed under PSAK 115 / IFRS 15. A paid invoice does not automatically mean revenue is recognized.</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 dedicated </w:t>
      </w:r>
      <w:r>
        <w:rPr>
          <w:rFonts w:ascii="Consolas" w:hAnsi="Consolas"/>
          <w:color w:val="032F62"/>
          <w:sz w:val="21"/>
        </w:rPr>
        <w:t>RevenueRecognitionSchedule</w:t>
      </w:r>
      <w:r>
        <w:rPr>
          <w:rFonts w:ascii="Calibri" w:hAnsi="Calibri"/>
          <w:color w:val="24292E"/>
          <w:sz w:val="22"/>
        </w:rPr>
        <w:t xml:space="preserve"> and accounting ledger. </w:t>
      </w:r>
      <w:r>
        <w:rPr>
          <w:rFonts w:ascii="Consolas" w:hAnsi="Consolas"/>
          <w:color w:val="032F62"/>
          <w:sz w:val="21"/>
        </w:rPr>
        <w:t>BillingMilestone</w:t>
      </w:r>
      <w:r>
        <w:rPr>
          <w:rFonts w:ascii="Calibri" w:hAnsi="Calibri"/>
          <w:color w:val="24292E"/>
          <w:sz w:val="22"/>
        </w:rPr>
        <w:t xml:space="preserve"> remains exclusively dedicated to commercial invoicing (DPP, 11% PPN, and accounts receivable) and MUST NOT be used as the accounting source of truth for revenue recognition. </w:t>
      </w:r>
      <w:r>
        <w:rPr>
          <w:rFonts w:ascii="Calibri" w:hAnsi="Calibri"/>
          <w:i/>
          <w:color w:val="24292E"/>
          <w:sz w:val="22"/>
        </w:rPr>
        <w:t>(Source: SPH-DEMO-13-14-Baseline-Rekomendasi-dan-Klarifikasi-ID.docx - Decision 13.1)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Issuing invoices, receiving payments, and recognizing revenue represent distinct economic events. In multi-month delivery contracts with end-loaded payment terms (e.g. 6-month SOC delivery with 100% payment at the end), revenue must be recognized monthly as services are rendered to accurately match revenue against labor costs on the P&amp;L. Conversely, receiving advance cash creates a contract liability, not immediate revenue.</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Does an invoice marked </w:t>
      </w:r>
      <w:r>
        <w:rPr>
          <w:rFonts w:ascii="Consolas" w:hAnsi="Consolas"/>
          <w:color w:val="032F62"/>
          <w:sz w:val="20"/>
        </w:rPr>
        <w:t>PAID</w:t>
      </w:r>
      <w:r>
        <w:rPr>
          <w:rFonts w:ascii="Calibri" w:hAnsi="Calibri"/>
          <w:color w:val="24292E"/>
          <w:sz w:val="21"/>
        </w:rPr>
        <w:t xml:space="preserve"> automatically recognize revenue in the system?</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w:t>
      </w:r>
      <w:r>
        <w:rPr>
          <w:rFonts w:ascii="Calibri" w:hAnsi="Calibri"/>
          <w:b/>
          <w:color w:val="24292E"/>
          <w:sz w:val="21"/>
        </w:rPr>
        <w:t>No.</w:t>
      </w:r>
      <w:r>
        <w:rPr>
          <w:rFonts w:ascii="Calibri" w:hAnsi="Calibri"/>
          <w:color w:val="24292E"/>
          <w:sz w:val="21"/>
        </w:rPr>
        <w:t xml:space="preserve"> Payment receipt is a cash realization event. Revenue recognition strictly requires verified evidence that the underlying performance obligation has been fulfilled. Payment dates may serve as supportive references but never bypass delivery evidence.</w:t>
      </w:r>
    </w:p>
    <w:p>
      <w:pPr>
        <w:spacing w:before="120" w:after="120"/>
        <w:pBdr>
          <w:bottom w:val="single" w:sz="6" w:space="1" w:color="E1E4E8"/>
        </w:pBdr>
      </w:pPr>
    </w:p>
    <w:p>
      <w:pPr>
        <w:keepNext/>
        <w:spacing w:before="160" w:after="40"/>
      </w:pPr>
      <w:r>
        <w:rPr>
          <w:rFonts w:ascii="Calibri" w:hAnsi="Calibri"/>
          <w:b/>
          <w:color w:val="262626"/>
          <w:sz w:val="23"/>
        </w:rPr>
        <w:t>Question 23: Performance Obligation Triggers &amp; Advance Payment Accounting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trigger pengakuan revenue didefinisikan dan apakah uang muka/PO receipt otomatis menjadi trigger revenue?"</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revenue recognition triggers defined, and do advance payments or PO receipts automatically trigger revenue?"</w:t>
      </w:r>
    </w:p>
    <w:p>
      <w:pPr>
        <w:pStyle w:val="ListBullet"/>
        <w:spacing w:before="20" w:after="40"/>
        <w:ind w:left="360"/>
      </w:pPr>
      <w:r>
        <w:rPr>
          <w:rFonts w:ascii="Calibri" w:hAnsi="Calibri"/>
          <w:b/>
          <w:color w:val="24292E"/>
          <w:sz w:val="21"/>
        </w:rPr>
        <w:t>In the Simplest Terms</w:t>
      </w:r>
      <w:r>
        <w:rPr>
          <w:rFonts w:ascii="Calibri" w:hAnsi="Calibri"/>
          <w:color w:val="24292E"/>
          <w:sz w:val="21"/>
        </w:rPr>
        <w:t>: Signing a contract or receiving an advance down payment creates an unearned liability on the balance sheet, not revenue on the P&amp;L. Revenue triggers must represent actual performance obligations: elapsed time for retainers, accepted milestone deliverables, measurable usage, or manual Finance assessment.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Adopt explicit performance obligation triggers: </w:t>
      </w:r>
      <w:r>
        <w:rPr>
          <w:rFonts w:ascii="Consolas" w:hAnsi="Consolas"/>
          <w:color w:val="032F62"/>
          <w:sz w:val="21"/>
        </w:rPr>
        <w:t>TIME_ELAPSED</w:t>
      </w:r>
      <w:r>
        <w:rPr>
          <w:rFonts w:ascii="Calibri" w:hAnsi="Calibri"/>
          <w:color w:val="24292E"/>
          <w:sz w:val="22"/>
        </w:rPr>
        <w:t xml:space="preserve">, </w:t>
      </w:r>
      <w:r>
        <w:rPr>
          <w:rFonts w:ascii="Consolas" w:hAnsi="Consolas"/>
          <w:color w:val="032F62"/>
          <w:sz w:val="21"/>
        </w:rPr>
        <w:t>DELIVERABLE_ACCEPTED</w:t>
      </w:r>
      <w:r>
        <w:rPr>
          <w:rFonts w:ascii="Calibri" w:hAnsi="Calibri"/>
          <w:color w:val="24292E"/>
          <w:sz w:val="22"/>
        </w:rPr>
        <w:t xml:space="preserve">, </w:t>
      </w:r>
      <w:r>
        <w:rPr>
          <w:rFonts w:ascii="Consolas" w:hAnsi="Consolas"/>
          <w:color w:val="032F62"/>
          <w:sz w:val="21"/>
        </w:rPr>
        <w:t>USAGE_BASED</w:t>
      </w:r>
      <w:r>
        <w:rPr>
          <w:rFonts w:ascii="Calibri" w:hAnsi="Calibri"/>
          <w:color w:val="24292E"/>
          <w:sz w:val="22"/>
        </w:rPr>
        <w:t xml:space="preserve">, and </w:t>
      </w:r>
      <w:r>
        <w:rPr>
          <w:rFonts w:ascii="Consolas" w:hAnsi="Consolas"/>
          <w:color w:val="032F62"/>
          <w:sz w:val="21"/>
        </w:rPr>
        <w:t>MANUAL_FINANCE_ASSESSMENT</w:t>
      </w:r>
      <w:r>
        <w:rPr>
          <w:rFonts w:ascii="Calibri" w:hAnsi="Calibri"/>
          <w:color w:val="24292E"/>
          <w:sz w:val="22"/>
        </w:rPr>
        <w:t xml:space="preserve">. Deprecate and replace the ambiguous term </w:t>
      </w:r>
      <w:r>
        <w:rPr>
          <w:rFonts w:ascii="Consolas" w:hAnsi="Consolas"/>
          <w:color w:val="032F62"/>
          <w:sz w:val="21"/>
        </w:rPr>
        <w:t>FIXED_TERM</w:t>
      </w:r>
      <w:r>
        <w:rPr>
          <w:rFonts w:ascii="Calibri" w:hAnsi="Calibri"/>
          <w:color w:val="24292E"/>
          <w:sz w:val="22"/>
        </w:rPr>
        <w:t xml:space="preserve"> with </w:t>
      </w:r>
      <w:r>
        <w:rPr>
          <w:rFonts w:ascii="Consolas" w:hAnsi="Consolas"/>
          <w:color w:val="032F62"/>
          <w:sz w:val="21"/>
        </w:rPr>
        <w:t>TIME_ELAPSED</w:t>
      </w:r>
      <w:r>
        <w:rPr>
          <w:rFonts w:ascii="Calibri" w:hAnsi="Calibri"/>
          <w:color w:val="24292E"/>
          <w:sz w:val="22"/>
        </w:rPr>
        <w:t xml:space="preserve">. Contract signatures, PO receipts, and down payments DO NOT constitute revenue triggers by themselves. </w:t>
      </w:r>
      <w:r>
        <w:rPr>
          <w:rFonts w:ascii="Calibri" w:hAnsi="Calibri"/>
          <w:i/>
          <w:color w:val="24292E"/>
          <w:sz w:val="22"/>
        </w:rPr>
        <w:t>(Source: SPH-DEMO-13-14-Baseline-Rekomendasi-dan-Klarifikasi-ID.docx - Decision 13.2)</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Under PSAK 115, advance payments represent contract liabilities (deferred revenue) until goods or services are transferred to the customer. Scheduled dates under </w:t>
      </w:r>
      <w:r>
        <w:rPr>
          <w:rFonts w:ascii="Consolas" w:hAnsi="Consolas"/>
          <w:color w:val="032F62"/>
          <w:sz w:val="21"/>
        </w:rPr>
        <w:t>TIME_ELAPSED</w:t>
      </w:r>
      <w:r>
        <w:rPr>
          <w:rFonts w:ascii="Calibri" w:hAnsi="Calibri"/>
          <w:color w:val="24292E"/>
          <w:sz w:val="22"/>
        </w:rPr>
        <w:t xml:space="preserve"> make an item eligible for review, but do not bypass Finance audit and operational evidence.</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How are fixed-fee down payments (e.g. 10% on PO receipt) handled if they cannot trigger immediate revenue?</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The 10% advance is invoiced and recorded on </w:t>
      </w:r>
      <w:r>
        <w:rPr>
          <w:rFonts w:ascii="Consolas" w:hAnsi="Consolas"/>
          <w:color w:val="032F62"/>
          <w:sz w:val="20"/>
        </w:rPr>
        <w:t>BillingMilestone</w:t>
      </w:r>
      <w:r>
        <w:rPr>
          <w:rFonts w:ascii="Calibri" w:hAnsi="Calibri"/>
          <w:color w:val="24292E"/>
          <w:sz w:val="21"/>
        </w:rPr>
        <w:t xml:space="preserve"> to drive cash collection. On the RevRec schedule, it is recognized only as performance obligations commence (e.g., mobilization deliverable or pro-rata over project duration), maintaining P&amp;L integrity.</w:t>
      </w:r>
    </w:p>
    <w:p>
      <w:pPr>
        <w:spacing w:before="120" w:after="120"/>
        <w:pBdr>
          <w:bottom w:val="single" w:sz="6" w:space="1" w:color="E1E4E8"/>
        </w:pBdr>
      </w:pPr>
    </w:p>
    <w:p>
      <w:pPr>
        <w:keepNext/>
        <w:spacing w:before="160" w:after="40"/>
      </w:pPr>
      <w:r>
        <w:rPr>
          <w:rFonts w:ascii="Calibri" w:hAnsi="Calibri"/>
          <w:b/>
          <w:color w:val="262626"/>
          <w:sz w:val="23"/>
        </w:rPr>
        <w:t>Question 24: Finance Baseline Governance &amp; PM Evidence Submission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"Siapa yang berwenang membuat schedule awal dan mengajukan evidence pengakuan revenue?"</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is authorized to create the initial schedule and submit evidence for revenue recognition?"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Finance sets and locks the official revenue plan when the project starts. When work is finished, the Project Manager uploads the deliverables (like reports or acceptance letters). Finance independently reviews the proof and approves recognition. PMs cannot approve their own revenue.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Initial </w:t>
      </w:r>
      <w:r>
        <w:rPr>
          <w:rFonts w:ascii="Consolas" w:hAnsi="Consolas"/>
          <w:color w:val="032F62"/>
          <w:sz w:val="21"/>
        </w:rPr>
        <w:t>RevenueRecognitionSchedule</w:t>
      </w:r>
      <w:r>
        <w:rPr>
          <w:rFonts w:ascii="Calibri" w:hAnsi="Calibri"/>
          <w:color w:val="24292E"/>
          <w:sz w:val="22"/>
        </w:rPr>
        <w:t xml:space="preserve"> baselines are created and locked exclusively by </w:t>
      </w:r>
      <w:r>
        <w:rPr>
          <w:rFonts w:ascii="Consolas" w:hAnsi="Consolas"/>
          <w:color w:val="032F62"/>
          <w:sz w:val="21"/>
        </w:rPr>
        <w:t>FINANCE</w:t>
      </w:r>
      <w:r>
        <w:rPr>
          <w:rFonts w:ascii="Calibri" w:hAnsi="Calibri"/>
          <w:color w:val="24292E"/>
          <w:sz w:val="22"/>
        </w:rPr>
        <w:t xml:space="preserve">. The assigned </w:t>
      </w:r>
      <w:r>
        <w:rPr>
          <w:rFonts w:ascii="Consolas" w:hAnsi="Consolas"/>
          <w:color w:val="032F62"/>
          <w:sz w:val="21"/>
        </w:rPr>
        <w:t>PROJECT_MANAGER</w:t>
      </w:r>
      <w:r>
        <w:rPr>
          <w:rFonts w:ascii="Calibri" w:hAnsi="Calibri"/>
          <w:color w:val="24292E"/>
          <w:sz w:val="22"/>
        </w:rPr>
        <w:t xml:space="preserve"> submits operational deliverable evidence (</w:t>
      </w:r>
      <w:r>
        <w:rPr>
          <w:rFonts w:ascii="Consolas" w:hAnsi="Consolas"/>
          <w:color w:val="032F62"/>
          <w:sz w:val="21"/>
        </w:rPr>
        <w:t>RevenueRecognitionEvidence</w:t>
      </w:r>
      <w:r>
        <w:rPr>
          <w:rFonts w:ascii="Calibri" w:hAnsi="Calibri"/>
          <w:color w:val="24292E"/>
          <w:sz w:val="22"/>
        </w:rPr>
        <w:t xml:space="preserve">). </w:t>
      </w:r>
      <w:r>
        <w:rPr>
          <w:rFonts w:ascii="Consolas" w:hAnsi="Consolas"/>
          <w:color w:val="032F62"/>
          <w:sz w:val="21"/>
        </w:rPr>
        <w:t>FINANCE</w:t>
      </w:r>
      <w:r>
        <w:rPr>
          <w:rFonts w:ascii="Calibri" w:hAnsi="Calibri"/>
          <w:color w:val="24292E"/>
          <w:sz w:val="22"/>
        </w:rPr>
        <w:t xml:space="preserve"> independently verifies evidence and approves or rejects recognition. Routine approval authority is strictly restricted to </w:t>
      </w:r>
      <w:r>
        <w:rPr>
          <w:rFonts w:ascii="Consolas" w:hAnsi="Consolas"/>
          <w:color w:val="032F62"/>
          <w:sz w:val="21"/>
        </w:rPr>
        <w:t>FINANCE</w:t>
      </w:r>
      <w:r>
        <w:rPr>
          <w:rFonts w:ascii="Calibri" w:hAnsi="Calibri"/>
          <w:color w:val="24292E"/>
          <w:sz w:val="22"/>
        </w:rPr>
        <w:t xml:space="preserve">; </w:t>
      </w:r>
      <w:r>
        <w:rPr>
          <w:rFonts w:ascii="Consolas" w:hAnsi="Consolas"/>
          <w:color w:val="032F62"/>
          <w:sz w:val="21"/>
        </w:rPr>
        <w:t>MANAGEMENT</w:t>
      </w:r>
      <w:r>
        <w:rPr>
          <w:rFonts w:ascii="Calibri" w:hAnsi="Calibri"/>
          <w:color w:val="24292E"/>
          <w:sz w:val="22"/>
        </w:rPr>
        <w:t xml:space="preserve"> and </w:t>
      </w:r>
      <w:r>
        <w:rPr>
          <w:rFonts w:ascii="Consolas" w:hAnsi="Consolas"/>
          <w:color w:val="032F62"/>
          <w:sz w:val="21"/>
        </w:rPr>
        <w:t>SUPER_ADMIN</w:t>
      </w:r>
      <w:r>
        <w:rPr>
          <w:rFonts w:ascii="Calibri" w:hAnsi="Calibri"/>
          <w:color w:val="24292E"/>
          <w:sz w:val="22"/>
        </w:rPr>
        <w:t xml:space="preserve"> possess emergency recovery/oversight privileges only. </w:t>
      </w:r>
      <w:r>
        <w:rPr>
          <w:rFonts w:ascii="Calibri" w:hAnsi="Calibri"/>
          <w:i/>
          <w:color w:val="24292E"/>
          <w:sz w:val="22"/>
        </w:rPr>
        <w:t>(Source: SPH-DEMO-13-14-Baseline-Rekomendasi-dan-Klarifikasi-ID.docx - Decision 13.3)</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Enforces strict Separation of Duties (SoD). Delivery teams have an inherent bias to accelerate recognition; requiring independent Finance sign-off guarantees compliance with external audit standards.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Can a Project Manager reschedule a recognition milestone if the client delays a review?</w:t>
      </w:r>
    </w:p>
    <w:p>
      <w:pPr>
        <w:pStyle w:val="ListBullet"/>
        <w:spacing w:before="20" w:after="40"/>
        <w:ind w:left="720"/>
      </w:pPr>
      <w:r>
        <w:rPr>
          <w:rFonts w:ascii="Calibri" w:hAnsi="Calibri"/>
          <w:i/>
          <w:color w:val="24292E"/>
          <w:sz w:val="21"/>
        </w:rPr>
        <w:t>Resolved Policy</w:t>
      </w:r>
      <w:r>
        <w:rPr>
          <w:rFonts w:ascii="Calibri" w:hAnsi="Calibri"/>
          <w:color w:val="24292E"/>
          <w:sz w:val="21"/>
        </w:rPr>
        <w:t>: The PM submits a reschedule request with proposed date and justification. The existing planned date remains active on the baseline until Finance reviews and approves the change. Approvals generate an auditable revision record without overwriting history.</w:t>
      </w:r>
    </w:p>
    <w:p>
      <w:pPr>
        <w:spacing w:before="120" w:after="120"/>
        <w:pBdr>
          <w:bottom w:val="single" w:sz="6" w:space="1" w:color="E1E4E8"/>
        </w:pBdr>
      </w:pPr>
    </w:p>
    <w:p>
      <w:pPr>
        <w:keepNext/>
        <w:spacing w:before="160" w:after="40"/>
      </w:pPr>
      <w:r>
        <w:rPr>
          <w:rFonts w:ascii="Calibri" w:hAnsi="Calibri"/>
          <w:b/>
          <w:color w:val="262626"/>
          <w:sz w:val="23"/>
        </w:rPr>
        <w:t>Question 25: Immutable Accounting Ledger &amp; Reversal-Based Corrections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koreksi dilakukan setelah revenue diakui dan bagaimana menjamin atomicity pencatatan?"</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corrections handled once revenue is recognized, and how is posting atomicity guaranteed?"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Once revenue is recognized, the record is frozen forever. If an error was made, you cannot edit or delete it. You must post a linked reversal entry and a replacement entry, exactly as in formal corporate accounting. The entire recognition posting is committed in one atomic database transaction with an idempotency key.</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Recognized accounting entries in </w:t>
      </w:r>
      <w:r>
        <w:rPr>
          <w:rFonts w:ascii="Consolas" w:hAnsi="Consolas"/>
          <w:color w:val="032F62"/>
          <w:sz w:val="21"/>
        </w:rPr>
        <w:t>RevenueRecognitionEntry</w:t>
      </w:r>
      <w:r>
        <w:rPr>
          <w:rFonts w:ascii="Calibri" w:hAnsi="Calibri"/>
          <w:color w:val="24292E"/>
          <w:sz w:val="22"/>
        </w:rPr>
        <w:t xml:space="preserve"> are </w:t>
      </w:r>
      <w:r>
        <w:rPr>
          <w:rFonts w:ascii="Calibri" w:hAnsi="Calibri"/>
          <w:b/>
          <w:color w:val="24292E"/>
          <w:sz w:val="22"/>
        </w:rPr>
        <w:t>permanently immutable</w:t>
      </w:r>
      <w:r>
        <w:rPr>
          <w:rFonts w:ascii="Calibri" w:hAnsi="Calibri"/>
          <w:color w:val="24292E"/>
          <w:sz w:val="22"/>
        </w:rPr>
        <w:t>. Post-recognition corrections MUST be executed via linked reversal (</w:t>
      </w:r>
      <w:r>
        <w:rPr>
          <w:rFonts w:ascii="Consolas" w:hAnsi="Consolas"/>
          <w:color w:val="032F62"/>
          <w:sz w:val="21"/>
        </w:rPr>
        <w:t>reversalOfId</w:t>
      </w:r>
      <w:r>
        <w:rPr>
          <w:rFonts w:ascii="Calibri" w:hAnsi="Calibri"/>
          <w:color w:val="24292E"/>
          <w:sz w:val="22"/>
        </w:rPr>
        <w:t>) and replacement (</w:t>
      </w:r>
      <w:r>
        <w:rPr>
          <w:rFonts w:ascii="Consolas" w:hAnsi="Consolas"/>
          <w:color w:val="032F62"/>
          <w:sz w:val="21"/>
        </w:rPr>
        <w:t>replacedById</w:t>
      </w:r>
      <w:r>
        <w:rPr>
          <w:rFonts w:ascii="Calibri" w:hAnsi="Calibri"/>
          <w:color w:val="24292E"/>
          <w:sz w:val="22"/>
        </w:rPr>
        <w:t xml:space="preserve">) journal entries. Direct updates or row deletions are strictly blocked. </w:t>
      </w:r>
      <w:r>
        <w:rPr>
          <w:rFonts w:ascii="Calibri" w:hAnsi="Calibri"/>
          <w:i/>
          <w:color w:val="24292E"/>
          <w:sz w:val="22"/>
        </w:rPr>
        <w:t>(Source: SPH-DEMO-13-14-Baseline-Rekomendasi-dan-Klarifikasi-ID.docx - Decision 13.4)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13.5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Recognition status transitions to </w:t>
      </w:r>
      <w:r>
        <w:rPr>
          <w:rFonts w:ascii="Consolas" w:hAnsi="Consolas"/>
          <w:color w:val="032F62"/>
          <w:sz w:val="21"/>
        </w:rPr>
        <w:t>RECOGNIZED</w:t>
      </w:r>
      <w:r>
        <w:rPr>
          <w:rFonts w:ascii="Calibri" w:hAnsi="Calibri"/>
          <w:color w:val="24292E"/>
          <w:sz w:val="22"/>
        </w:rPr>
        <w:t xml:space="preserve">, recognized monetary amounts, accounting ledger entries, approver metadata, and audit events MUST commit within a </w:t>
      </w:r>
      <w:r>
        <w:rPr>
          <w:rFonts w:ascii="Calibri" w:hAnsi="Calibri"/>
          <w:b/>
          <w:color w:val="24292E"/>
          <w:sz w:val="22"/>
        </w:rPr>
        <w:t>single atomic database transaction protected by an `idempotencyKey`</w:t>
      </w:r>
      <w:r>
        <w:rPr>
          <w:rFonts w:ascii="Calibri" w:hAnsi="Calibri"/>
          <w:color w:val="24292E"/>
          <w:sz w:val="22"/>
        </w:rPr>
        <w:t xml:space="preserve">. </w:t>
      </w:r>
      <w:r>
        <w:rPr>
          <w:rFonts w:ascii="Calibri" w:hAnsi="Calibri"/>
          <w:i/>
          <w:color w:val="24292E"/>
          <w:sz w:val="22"/>
        </w:rPr>
        <w:t>(Source: SPH-DEMO-13-14-Baseline-Rekomendasi-dan-Klarifikasi-ID.docx - Decision 13.5)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orphaned entries, double-journal posting on network retries, and maintains an uncompromised audit trail for external auditors and Xero reconciliation.</w:t>
      </w:r>
    </w:p>
    <w:p>
      <w:pPr>
        <w:spacing w:before="120" w:after="120"/>
        <w:pBdr>
          <w:bottom w:val="single" w:sz="6" w:space="1" w:color="E1E4E8"/>
        </w:pBdr>
      </w:pPr>
    </w:p>
    <w:p>
      <w:pPr>
        <w:keepNext/>
        <w:spacing w:before="160" w:after="40"/>
      </w:pPr>
      <w:r>
        <w:rPr>
          <w:rFonts w:ascii="Calibri" w:hAnsi="Calibri"/>
          <w:b/>
          <w:color w:val="262626"/>
          <w:sz w:val="23"/>
        </w:rPr>
        <w:t>Question 26: Controlled Legacy Migration &amp; Reviewed Xero Journal Export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data historis dimigrasikan dan bagaimana integrasi dengan Xero dijalankan?"</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historical data migrated and how is Xero integration executed?"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Historical revenue data derived from old BillingMilestones is backfilled with an explicit label marking it as "inferred" rather than Finance-approved. Integration with Xero starts safely with a monthly journal CSV that Finance reviews before any direct automated API sync is built.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13.6</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Backfill historical recognition as explicitly labeled </w:t>
      </w:r>
      <w:r>
        <w:rPr>
          <w:rFonts w:ascii="Calibri" w:hAnsi="Calibri"/>
          <w:b/>
          <w:color w:val="24292E"/>
          <w:sz w:val="22"/>
        </w:rPr>
        <w:t>`inferred` records</w:t>
      </w:r>
      <w:r>
        <w:rPr>
          <w:rFonts w:ascii="Calibri" w:hAnsi="Calibri"/>
          <w:color w:val="24292E"/>
          <w:sz w:val="22"/>
        </w:rPr>
        <w:t xml:space="preserve">. Perform total ledger reconciliation, establish a clean cutover date, and DO NOT automatically promote inferred records to Finance-approved status. </w:t>
      </w:r>
      <w:r>
        <w:rPr>
          <w:rFonts w:ascii="Calibri" w:hAnsi="Calibri"/>
          <w:i/>
          <w:color w:val="24292E"/>
          <w:sz w:val="22"/>
        </w:rPr>
        <w:t>(Source: SPH-DEMO-13-14-Baseline-Rekomendasi-dan-Klarifikasi-ID.docx - Decision 13.6)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13.7</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Phase 1 integration implements a </w:t>
      </w:r>
      <w:r>
        <w:rPr>
          <w:rFonts w:ascii="Calibri" w:hAnsi="Calibri"/>
          <w:b/>
          <w:color w:val="24292E"/>
          <w:sz w:val="22"/>
        </w:rPr>
        <w:t>reviewed monthly journal CSV export</w:t>
      </w:r>
      <w:r>
        <w:rPr>
          <w:rFonts w:ascii="Calibri" w:hAnsi="Calibri"/>
          <w:color w:val="24292E"/>
          <w:sz w:val="22"/>
        </w:rPr>
        <w:t xml:space="preserve"> (</w:t>
      </w:r>
      <w:r>
        <w:rPr>
          <w:rFonts w:ascii="Consolas" w:hAnsi="Consolas"/>
          <w:color w:val="032F62"/>
          <w:sz w:val="21"/>
        </w:rPr>
        <w:t>GET /api/revenue-recognition/exports/xero-journal.csv</w:t>
      </w:r>
      <w:r>
        <w:rPr>
          <w:rFonts w:ascii="Calibri" w:hAnsi="Calibri"/>
          <w:color w:val="24292E"/>
          <w:sz w:val="22"/>
        </w:rPr>
        <w:t xml:space="preserve">). Direct Xero API journal synchronization is deferred to Phase 2 after account mapping, reversal handling, and reconciliation behavior are validated in production. </w:t>
      </w:r>
      <w:r>
        <w:rPr>
          <w:rFonts w:ascii="Calibri" w:hAnsi="Calibri"/>
          <w:i/>
          <w:color w:val="24292E"/>
          <w:sz w:val="22"/>
        </w:rPr>
        <w:t>(Source: SPH-DEMO-13-14-Baseline-Rekomendasi-dan-Klarifikasi-ID.docx - Decision 13.7)</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Mitigates accounting risks by ensuring Finance maintains human-in-the-loop verification while stabilizing the new ledger.</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Target Models for RevRec Ledger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enum RevRecTriggerType {</w:t>
      </w:r>
    </w:p>
    <w:p>
      <w:pPr>
        <w:spacing w:before="40" w:after="80" w:line="276" w:lineRule="auto"/>
      </w:pPr>
      <w:r>
        <w:rPr>
          <w:rFonts w:ascii="Calibri" w:hAnsi="Calibri"/>
          <w:color w:val="24292E"/>
          <w:sz w:val="22"/>
        </w:rPr>
        <w:t xml:space="preserve">      TIME_ELAPSED</w:t>
      </w:r>
    </w:p>
    <w:p>
      <w:pPr>
        <w:spacing w:before="40" w:after="80" w:line="276" w:lineRule="auto"/>
      </w:pPr>
      <w:r>
        <w:rPr>
          <w:rFonts w:ascii="Calibri" w:hAnsi="Calibri"/>
          <w:color w:val="24292E"/>
          <w:sz w:val="22"/>
        </w:rPr>
        <w:t xml:space="preserve">      DELIVERABLE_ACCEPTED</w:t>
      </w:r>
    </w:p>
    <w:p>
      <w:pPr>
        <w:spacing w:before="40" w:after="80" w:line="276" w:lineRule="auto"/>
      </w:pPr>
      <w:r>
        <w:rPr>
          <w:rFonts w:ascii="Calibri" w:hAnsi="Calibri"/>
          <w:color w:val="24292E"/>
          <w:sz w:val="22"/>
        </w:rPr>
        <w:t xml:space="preserve">      USAGE_BASED</w:t>
      </w:r>
    </w:p>
    <w:p>
      <w:pPr>
        <w:spacing w:before="40" w:after="80" w:line="276" w:lineRule="auto"/>
      </w:pPr>
      <w:r>
        <w:rPr>
          <w:rFonts w:ascii="Calibri" w:hAnsi="Calibri"/>
          <w:color w:val="24292E"/>
          <w:sz w:val="22"/>
        </w:rPr>
        <w:t xml:space="preserve">      MANUAL_FINANCE_ASSESSMENT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enum RevRecScheduleStatus {</w:t>
      </w:r>
    </w:p>
    <w:p>
      <w:pPr>
        <w:spacing w:before="40" w:after="80" w:line="276" w:lineRule="auto"/>
      </w:pPr>
      <w:r>
        <w:rPr>
          <w:rFonts w:ascii="Calibri" w:hAnsi="Calibri"/>
          <w:color w:val="24292E"/>
          <w:sz w:val="22"/>
        </w:rPr>
        <w:t xml:space="preserve">      PLANNED</w:t>
      </w:r>
    </w:p>
    <w:p>
      <w:pPr>
        <w:spacing w:before="40" w:after="80" w:line="276" w:lineRule="auto"/>
      </w:pPr>
      <w:r>
        <w:rPr>
          <w:rFonts w:ascii="Calibri" w:hAnsi="Calibri"/>
          <w:color w:val="24292E"/>
          <w:sz w:val="22"/>
        </w:rPr>
        <w:t xml:space="preserve">      PENDING_EVIDENCE</w:t>
      </w:r>
    </w:p>
    <w:p>
      <w:pPr>
        <w:spacing w:before="40" w:after="80" w:line="276" w:lineRule="auto"/>
      </w:pPr>
      <w:r>
        <w:rPr>
          <w:rFonts w:ascii="Calibri" w:hAnsi="Calibri"/>
          <w:color w:val="24292E"/>
          <w:sz w:val="22"/>
        </w:rPr>
        <w:t xml:space="preserve">      PENDING_FINANCE_APPROVAL</w:t>
      </w:r>
    </w:p>
    <w:p>
      <w:pPr>
        <w:spacing w:before="40" w:after="80" w:line="276" w:lineRule="auto"/>
      </w:pPr>
      <w:r>
        <w:rPr>
          <w:rFonts w:ascii="Calibri" w:hAnsi="Calibri"/>
          <w:color w:val="24292E"/>
          <w:sz w:val="22"/>
        </w:rPr>
        <w:t xml:space="preserve">      RECOGNIZED</w:t>
      </w:r>
    </w:p>
    <w:p>
      <w:pPr>
        <w:spacing w:before="40" w:after="80" w:line="276" w:lineRule="auto"/>
      </w:pPr>
      <w:r>
        <w:rPr>
          <w:rFonts w:ascii="Calibri" w:hAnsi="Calibri"/>
          <w:color w:val="24292E"/>
          <w:sz w:val="22"/>
        </w:rPr>
        <w:t xml:space="preserve">      REJECTED</w:t>
      </w:r>
    </w:p>
    <w:p>
      <w:pPr>
        <w:spacing w:before="40" w:after="80" w:line="276" w:lineRule="auto"/>
      </w:pPr>
      <w:r>
        <w:rPr>
          <w:rFonts w:ascii="Calibri" w:hAnsi="Calibri"/>
          <w:color w:val="24292E"/>
          <w:sz w:val="22"/>
        </w:rPr>
        <w:t xml:space="preserve">      CANCELLED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RevenueRecognitionSchedule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projectId        String</w:t>
      </w:r>
    </w:p>
    <w:p>
      <w:pPr>
        <w:spacing w:before="40" w:after="80" w:line="276" w:lineRule="auto"/>
      </w:pPr>
      <w:r>
        <w:rPr>
          <w:rFonts w:ascii="Calibri" w:hAnsi="Calibri"/>
          <w:color w:val="24292E"/>
          <w:sz w:val="22"/>
        </w:rPr>
        <w:t xml:space="preserve">      project          Project               @relation(fields: [projectId], references: [id], onDelete: Cascade)</w:t>
      </w:r>
    </w:p>
    <w:p>
      <w:pPr>
        <w:spacing w:before="40" w:after="80" w:line="276" w:lineRule="auto"/>
      </w:pPr>
      <w:r>
        <w:rPr>
          <w:rFonts w:ascii="Calibri" w:hAnsi="Calibri"/>
          <w:color w:val="24292E"/>
          <w:sz w:val="22"/>
        </w:rPr>
        <w:t xml:space="preserve">      workstreamId     String?</w:t>
      </w:r>
    </w:p>
    <w:p>
      <w:pPr>
        <w:spacing w:before="40" w:after="80" w:line="276" w:lineRule="auto"/>
      </w:pPr>
      <w:r>
        <w:rPr>
          <w:rFonts w:ascii="Calibri" w:hAnsi="Calibri"/>
          <w:color w:val="24292E"/>
          <w:sz w:val="22"/>
        </w:rPr>
        <w:t xml:space="preserve">      workstream       ProjectWorkstream?    @relation(fields: [workstreamId], references: [id], onDelete: SetNull)</w:t>
      </w:r>
    </w:p>
    <w:p>
      <w:pPr>
        <w:spacing w:before="40" w:after="80" w:line="276" w:lineRule="auto"/>
      </w:pPr>
      <w:r>
        <w:rPr>
          <w:rFonts w:ascii="Calibri" w:hAnsi="Calibri"/>
          <w:color w:val="24292E"/>
          <w:sz w:val="22"/>
        </w:rPr>
        <w:t xml:space="preserve">      triggerType      RevRecTriggerType     @default(DELIVERABLE_ACCEPTED)</w:t>
      </w:r>
    </w:p>
    <w:p>
      <w:pPr>
        <w:spacing w:before="40" w:after="80" w:line="276" w:lineRule="auto"/>
      </w:pPr>
      <w:r>
        <w:rPr>
          <w:rFonts w:ascii="Calibri" w:hAnsi="Calibri"/>
          <w:color w:val="24292E"/>
          <w:sz w:val="22"/>
        </w:rPr>
        <w:t xml:space="preserve">      status           RevRecScheduleStatus  @default(PLANNED)</w:t>
      </w:r>
    </w:p>
    <w:p>
      <w:pPr>
        <w:spacing w:before="40" w:after="80" w:line="276" w:lineRule="auto"/>
      </w:pPr>
      <w:r>
        <w:rPr>
          <w:rFonts w:ascii="Calibri" w:hAnsi="Calibri"/>
          <w:color w:val="24292E"/>
          <w:sz w:val="22"/>
        </w:rPr>
        <w:t xml:space="preserve">      allocatedDpp     Decimal               @db.Decimal(15, 2)</w:t>
      </w:r>
    </w:p>
    <w:p>
      <w:pPr>
        <w:spacing w:before="40" w:after="80" w:line="276" w:lineRule="auto"/>
      </w:pPr>
      <w:r>
        <w:rPr>
          <w:rFonts w:ascii="Calibri" w:hAnsi="Calibri"/>
          <w:color w:val="24292E"/>
          <w:sz w:val="22"/>
        </w:rPr>
        <w:t xml:space="preserve">      percentage       Decimal               @db.Decimal(5, 2)</w:t>
      </w:r>
    </w:p>
    <w:p>
      <w:pPr>
        <w:spacing w:before="40" w:after="80" w:line="276" w:lineRule="auto"/>
      </w:pPr>
      <w:r>
        <w:rPr>
          <w:rFonts w:ascii="Calibri" w:hAnsi="Calibri"/>
          <w:color w:val="24292E"/>
          <w:sz w:val="22"/>
        </w:rPr>
        <w:t xml:space="preserve">      currencySnapshot String                @default("IDR")</w:t>
      </w:r>
    </w:p>
    <w:p>
      <w:pPr>
        <w:spacing w:before="40" w:after="80" w:line="276" w:lineRule="auto"/>
      </w:pPr>
      <w:r>
        <w:rPr>
          <w:rFonts w:ascii="Calibri" w:hAnsi="Calibri"/>
          <w:color w:val="24292E"/>
          <w:sz w:val="22"/>
        </w:rPr>
        <w:t xml:space="preserve">      plannedDate      DateTime</w:t>
      </w:r>
    </w:p>
    <w:p>
      <w:pPr>
        <w:spacing w:before="40" w:after="80" w:line="276" w:lineRule="auto"/>
      </w:pPr>
      <w:r>
        <w:rPr>
          <w:rFonts w:ascii="Calibri" w:hAnsi="Calibri"/>
          <w:color w:val="24292E"/>
          <w:sz w:val="22"/>
        </w:rPr>
        <w:t xml:space="preserve">      currentRevision  Int                   @default(1)</w:t>
      </w:r>
    </w:p>
    <w:p>
      <w:pPr>
        <w:spacing w:before="40" w:after="80" w:line="276" w:lineRule="auto"/>
      </w:pPr>
      <w:r>
        <w:rPr>
          <w:rFonts w:ascii="Calibri" w:hAnsi="Calibri"/>
          <w:color w:val="24292E"/>
          <w:sz w:val="22"/>
        </w:rPr>
        <w:t xml:space="preserve">      isInferredLegacy Boolean               @default(false)</w:t>
      </w:r>
    </w:p>
    <w:p>
      <w:pPr>
        <w:spacing w:before="40" w:after="80" w:line="276" w:lineRule="auto"/>
      </w:pPr>
      <w:r>
        <w:rPr>
          <w:rFonts w:ascii="Calibri" w:hAnsi="Calibri"/>
          <w:color w:val="24292E"/>
          <w:sz w:val="22"/>
        </w:rPr>
        <w:t xml:space="preserve">      createdById      String</w:t>
      </w:r>
    </w:p>
    <w:p>
      <w:pPr>
        <w:spacing w:before="40" w:after="80" w:line="276" w:lineRule="auto"/>
      </w:pPr>
      <w:r>
        <w:rPr>
          <w:rFonts w:ascii="Calibri" w:hAnsi="Calibri"/>
          <w:color w:val="24292E"/>
          <w:sz w:val="22"/>
        </w:rPr>
        <w:t xml:space="preserve">      createdBy        User                  @relation("RevRecScheduleCreator", fields: [createdById], references: [id])</w:t>
      </w:r>
    </w:p>
    <w:p>
      <w:pPr>
        <w:spacing w:before="40" w:after="80" w:line="276" w:lineRule="auto"/>
      </w:pPr>
      <w:r>
        <w:rPr>
          <w:rFonts w:ascii="Calibri" w:hAnsi="Calibri"/>
          <w:color w:val="24292E"/>
          <w:sz w:val="22"/>
        </w:rPr>
        <w:t xml:space="preserve">      approvedById     String?</w:t>
      </w:r>
    </w:p>
    <w:p>
      <w:pPr>
        <w:spacing w:before="40" w:after="80" w:line="276" w:lineRule="auto"/>
      </w:pPr>
      <w:r>
        <w:rPr>
          <w:rFonts w:ascii="Calibri" w:hAnsi="Calibri"/>
          <w:color w:val="24292E"/>
          <w:sz w:val="22"/>
        </w:rPr>
        <w:t xml:space="preserve">      approvedBy       User?                 @relation("RevRecScheduleApprover", fields: [approvedById], references: [id])</w:t>
      </w:r>
    </w:p>
    <w:p>
      <w:pPr>
        <w:spacing w:before="40" w:after="80" w:line="276" w:lineRule="auto"/>
      </w:pPr>
      <w:r>
        <w:rPr>
          <w:rFonts w:ascii="Calibri" w:hAnsi="Calibri"/>
          <w:color w:val="24292E"/>
          <w:sz w:val="22"/>
        </w:rPr>
        <w:t xml:space="preserve">      approvedAt       DateTime?</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updatedAt        DateTime              @updatedAt</w:t>
      </w:r>
    </w:p>
    <w:p>
      <w:pPr>
        <w:spacing w:before="40" w:after="80" w:line="276" w:lineRule="auto"/>
      </w:pPr>
      <w:r>
        <w:rPr>
          <w:rFonts w:ascii="Calibri" w:hAnsi="Calibri"/>
          <w:color w:val="24292E"/>
          <w:sz w:val="22"/>
        </w:rPr>
        <w:t xml:space="preserve">      evidenceRecords  RevenueRecognitionEvidence[]</w:t>
      </w:r>
    </w:p>
    <w:p>
      <w:pPr>
        <w:spacing w:before="40" w:after="80" w:line="276" w:lineRule="auto"/>
      </w:pPr>
      <w:r>
        <w:rPr>
          <w:rFonts w:ascii="Calibri" w:hAnsi="Calibri"/>
          <w:color w:val="24292E"/>
          <w:sz w:val="22"/>
        </w:rPr>
        <w:t xml:space="preserve">      ledgerEntries    RevenueRecognitionEntry[]</w:t>
      </w:r>
    </w:p>
    <w:p>
      <w:pPr>
        <w:spacing w:before="40" w:after="80" w:line="276" w:lineRule="auto"/>
      </w:pPr>
      <w:r>
        <w:rPr>
          <w:rFonts w:ascii="Calibri" w:hAnsi="Calibri"/>
          <w:color w:val="24292E"/>
          <w:sz w:val="22"/>
        </w:rPr>
        <w:t xml:space="preserve">      @@index([projectId, status])</w:t>
      </w:r>
    </w:p>
    <w:p>
      <w:pPr>
        <w:spacing w:before="40" w:after="80" w:line="276" w:lineRule="auto"/>
      </w:pPr>
      <w:r>
        <w:rPr>
          <w:rFonts w:ascii="Calibri" w:hAnsi="Calibri"/>
          <w:color w:val="24292E"/>
          <w:sz w:val="22"/>
        </w:rPr>
        <w:t xml:space="preserve">      @@index([plannedDate])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RevenueRecognitionEvidence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scheduleId    String</w:t>
      </w:r>
    </w:p>
    <w:p>
      <w:pPr>
        <w:spacing w:before="40" w:after="80" w:line="276" w:lineRule="auto"/>
      </w:pPr>
      <w:r>
        <w:rPr>
          <w:rFonts w:ascii="Calibri" w:hAnsi="Calibri"/>
          <w:color w:val="24292E"/>
          <w:sz w:val="22"/>
        </w:rPr>
        <w:t xml:space="preserve">      schedule      RevenueRecognitionSchedule @relation(fields: [scheduleId], references: [id], onDelete: Cascade)</w:t>
      </w:r>
    </w:p>
    <w:p>
      <w:pPr>
        <w:spacing w:before="40" w:after="80" w:line="276" w:lineRule="auto"/>
      </w:pPr>
      <w:r>
        <w:rPr>
          <w:rFonts w:ascii="Calibri" w:hAnsi="Calibri"/>
          <w:color w:val="24292E"/>
          <w:sz w:val="22"/>
        </w:rPr>
        <w:t xml:space="preserve">      documentId    String?</w:t>
      </w:r>
    </w:p>
    <w:p>
      <w:pPr>
        <w:spacing w:before="40" w:after="80" w:line="276" w:lineRule="auto"/>
      </w:pPr>
      <w:r>
        <w:rPr>
          <w:rFonts w:ascii="Calibri" w:hAnsi="Calibri"/>
          <w:color w:val="24292E"/>
          <w:sz w:val="22"/>
        </w:rPr>
        <w:t xml:space="preserve">      document      Document? @relation(fields: [documentId], references: [id], onDelete: SetNull)</w:t>
      </w:r>
    </w:p>
    <w:p>
      <w:pPr>
        <w:spacing w:before="40" w:after="80" w:line="276" w:lineRule="auto"/>
      </w:pPr>
      <w:r>
        <w:rPr>
          <w:rFonts w:ascii="Calibri" w:hAnsi="Calibri"/>
          <w:color w:val="24292E"/>
          <w:sz w:val="22"/>
        </w:rPr>
        <w:t xml:space="preserve">      evidenceType  String   // e.g. "BAST", "FINAL_REPORT", "ACCEPTANCE_EMAIL"</w:t>
      </w:r>
    </w:p>
    <w:p>
      <w:pPr>
        <w:spacing w:before="40" w:after="80" w:line="276" w:lineRule="auto"/>
      </w:pPr>
      <w:r>
        <w:rPr>
          <w:rFonts w:ascii="Calibri" w:hAnsi="Calibri"/>
          <w:color w:val="24292E"/>
          <w:sz w:val="22"/>
        </w:rPr>
        <w:t xml:space="preserve">      notes         String?  @db.Text</w:t>
      </w:r>
    </w:p>
    <w:p>
      <w:pPr>
        <w:spacing w:before="40" w:after="80" w:line="276" w:lineRule="auto"/>
      </w:pPr>
      <w:r>
        <w:rPr>
          <w:rFonts w:ascii="Calibri" w:hAnsi="Calibri"/>
          <w:color w:val="24292E"/>
          <w:sz w:val="22"/>
        </w:rPr>
        <w:t xml:space="preserve">      submittedById String</w:t>
      </w:r>
    </w:p>
    <w:p>
      <w:pPr>
        <w:spacing w:before="40" w:after="80" w:line="276" w:lineRule="auto"/>
      </w:pPr>
      <w:r>
        <w:rPr>
          <w:rFonts w:ascii="Calibri" w:hAnsi="Calibri"/>
          <w:color w:val="24292E"/>
          <w:sz w:val="22"/>
        </w:rPr>
        <w:t xml:space="preserve">      submittedBy   User     @relation(fields: [submittedById], references: [id])</w:t>
      </w:r>
    </w:p>
    <w:p>
      <w:pPr>
        <w:spacing w:before="40" w:after="80" w:line="276" w:lineRule="auto"/>
      </w:pPr>
      <w:r>
        <w:rPr>
          <w:rFonts w:ascii="Calibri" w:hAnsi="Calibri"/>
          <w:color w:val="24292E"/>
          <w:sz w:val="22"/>
        </w:rPr>
        <w:t xml:space="preserve">      submittedAt   DateTime @default(now())</w:t>
      </w:r>
    </w:p>
    <w:p>
      <w:pPr>
        <w:spacing w:before="40" w:after="80" w:line="276" w:lineRule="auto"/>
      </w:pPr>
      <w:r>
        <w:rPr>
          <w:rFonts w:ascii="Calibri" w:hAnsi="Calibri"/>
          <w:color w:val="24292E"/>
          <w:sz w:val="22"/>
        </w:rPr>
        <w:t xml:space="preserve">      @@index([scheduleId])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RevenueRecognitionEntry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scheduleId       String</w:t>
      </w:r>
    </w:p>
    <w:p>
      <w:pPr>
        <w:spacing w:before="40" w:after="80" w:line="276" w:lineRule="auto"/>
      </w:pPr>
      <w:r>
        <w:rPr>
          <w:rFonts w:ascii="Calibri" w:hAnsi="Calibri"/>
          <w:color w:val="24292E"/>
          <w:sz w:val="22"/>
        </w:rPr>
        <w:t xml:space="preserve">      schedule         RevenueRecognitionSchedule @relation(fields: [scheduleId], references: [id], onDelete: Cascade)</w:t>
      </w:r>
    </w:p>
    <w:p>
      <w:pPr>
        <w:spacing w:before="40" w:after="80" w:line="276" w:lineRule="auto"/>
      </w:pPr>
      <w:r>
        <w:rPr>
          <w:rFonts w:ascii="Calibri" w:hAnsi="Calibri"/>
          <w:color w:val="24292E"/>
          <w:sz w:val="22"/>
        </w:rPr>
        <w:t xml:space="preserve">      accountingPeriod String   // Format: YYYY-MM</w:t>
      </w:r>
    </w:p>
    <w:p>
      <w:pPr>
        <w:spacing w:before="40" w:after="80" w:line="276" w:lineRule="auto"/>
      </w:pPr>
      <w:r>
        <w:rPr>
          <w:rFonts w:ascii="Calibri" w:hAnsi="Calibri"/>
          <w:color w:val="24292E"/>
          <w:sz w:val="22"/>
        </w:rPr>
        <w:t xml:space="preserve">      recognizedDpp    Decimal  @db.Decimal(15, 2)</w:t>
      </w:r>
    </w:p>
    <w:p>
      <w:pPr>
        <w:spacing w:before="40" w:after="80" w:line="276" w:lineRule="auto"/>
      </w:pPr>
      <w:r>
        <w:rPr>
          <w:rFonts w:ascii="Calibri" w:hAnsi="Calibri"/>
          <w:color w:val="24292E"/>
          <w:sz w:val="22"/>
        </w:rPr>
        <w:t xml:space="preserve">      debitAccount     String   // e.g. "1200 - Unbilled Receivables"</w:t>
      </w:r>
    </w:p>
    <w:p>
      <w:pPr>
        <w:spacing w:before="40" w:after="80" w:line="276" w:lineRule="auto"/>
      </w:pPr>
      <w:r>
        <w:rPr>
          <w:rFonts w:ascii="Calibri" w:hAnsi="Calibri"/>
          <w:color w:val="24292E"/>
          <w:sz w:val="22"/>
        </w:rPr>
        <w:t xml:space="preserve">      creditAccount    String   // e.g. "4000 - Professional Fee Revenue"</w:t>
      </w:r>
    </w:p>
    <w:p>
      <w:pPr>
        <w:spacing w:before="40" w:after="80" w:line="276" w:lineRule="auto"/>
      </w:pPr>
      <w:r>
        <w:rPr>
          <w:rFonts w:ascii="Calibri" w:hAnsi="Calibri"/>
          <w:color w:val="24292E"/>
          <w:sz w:val="22"/>
        </w:rPr>
        <w:t xml:space="preserve">      idempotencyKey   String   @unique</w:t>
      </w:r>
    </w:p>
    <w:p>
      <w:pPr>
        <w:spacing w:before="40" w:after="80" w:line="276" w:lineRule="auto"/>
      </w:pPr>
      <w:r>
        <w:rPr>
          <w:rFonts w:ascii="Calibri" w:hAnsi="Calibri"/>
          <w:color w:val="24292E"/>
          <w:sz w:val="22"/>
        </w:rPr>
        <w:t xml:space="preserve">      reversalOfId     String?  @unique</w:t>
      </w:r>
    </w:p>
    <w:p>
      <w:pPr>
        <w:spacing w:before="40" w:after="80" w:line="276" w:lineRule="auto"/>
      </w:pPr>
      <w:r>
        <w:rPr>
          <w:rFonts w:ascii="Calibri" w:hAnsi="Calibri"/>
          <w:color w:val="24292E"/>
          <w:sz w:val="22"/>
        </w:rPr>
        <w:t xml:space="preserve">      reversalOf       RevenueRecognitionEntry?  @relation("EntryReversal", fields: [reversalOfId], references: [id])</w:t>
      </w:r>
    </w:p>
    <w:p>
      <w:pPr>
        <w:spacing w:before="40" w:after="80" w:line="276" w:lineRule="auto"/>
      </w:pPr>
      <w:r>
        <w:rPr>
          <w:rFonts w:ascii="Calibri" w:hAnsi="Calibri"/>
          <w:color w:val="24292E"/>
          <w:sz w:val="22"/>
        </w:rPr>
        <w:t xml:space="preserve">      replacedBy       RevenueRecognitionEntry?  @relation("EntryReversal")</w:t>
      </w:r>
    </w:p>
    <w:p>
      <w:pPr>
        <w:spacing w:before="40" w:after="80" w:line="276" w:lineRule="auto"/>
      </w:pPr>
      <w:r>
        <w:rPr>
          <w:rFonts w:ascii="Calibri" w:hAnsi="Calibri"/>
          <w:color w:val="24292E"/>
          <w:sz w:val="22"/>
        </w:rPr>
        <w:t xml:space="preserve">      createdById      String</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@@index([accountingPeriod])</w:t>
      </w:r>
    </w:p>
    <w:p>
      <w:pPr>
        <w:spacing w:before="40" w:after="80" w:line="276" w:lineRule="auto"/>
      </w:pPr>
      <w:r>
        <w:rPr>
          <w:rFonts w:ascii="Calibri" w:hAnsi="Calibri"/>
          <w:color w:val="24292E"/>
          <w:sz w:val="22"/>
        </w:rPr>
        <w:t xml:space="preserve">      @@index([scheduleId])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00" w:after="80"/>
      </w:pPr>
      <w:r>
        <w:rPr>
          <w:rFonts w:ascii="Calibri" w:hAnsi="Calibri"/>
          <w:b/>
          <w:color w:val="1F4E79"/>
          <w:sz w:val="26"/>
        </w:rPr>
        <w:t>🛡️ Category 12: Project Activation Data Integrity Hard-Gate (</w:t>
      </w:r>
      <w:r>
        <w:rPr>
          <w:rFonts w:ascii="Consolas" w:hAnsi="Consolas"/>
          <w:color w:val="032F62"/>
          <w:sz w:val="25"/>
        </w:rPr>
        <w:t>DEMO-14</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27: Unified Readiness Evaluator &amp; Effective-State Validation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DEMO-14 merupakan gate baru dan bagaimana validasi data yang sedang di-PATCH ditangani?"</w:t>
      </w:r>
    </w:p>
    <w:p>
      <w:pPr>
        <w:pStyle w:val="ListBullet"/>
        <w:spacing w:before="20" w:after="40"/>
        <w:ind w:left="360"/>
      </w:pPr>
      <w:r>
        <w:rPr>
          <w:rFonts w:ascii="Calibri" w:hAnsi="Calibri"/>
          <w:b/>
          <w:color w:val="24292E"/>
          <w:sz w:val="21"/>
        </w:rPr>
        <w:t>English Translation</w:t>
      </w:r>
      <w:r>
        <w:rPr>
          <w:rFonts w:ascii="Calibri" w:hAnsi="Calibri"/>
          <w:color w:val="24292E"/>
          <w:sz w:val="21"/>
        </w:rPr>
        <w:t>: "Is DEMO-14 a new gate, and how is validation of data being updated in a PATCH handled?"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SecureProfitHub already has an activation check. DEMO-14 refactors and strengthens it into one shared engine. It validates the "effective state"—merging what is currently saved in the database with what the user is submitting in the current request. This lets users fix missing fields and activate the project in a single click without validation drift.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Refactor the existing activation gate</w:t>
      </w:r>
      <w:r>
        <w:rPr>
          <w:rFonts w:ascii="Calibri" w:hAnsi="Calibri"/>
          <w:color w:val="24292E"/>
          <w:sz w:val="22"/>
        </w:rPr>
        <w:t xml:space="preserve"> into a single shared readiness evaluator (</w:t>
      </w:r>
      <w:r>
        <w:rPr>
          <w:rFonts w:ascii="Consolas" w:hAnsi="Consolas"/>
          <w:color w:val="032F62"/>
          <w:sz w:val="21"/>
        </w:rPr>
        <w:t>lib/projectValidators.ts</w:t>
      </w:r>
      <w:r>
        <w:rPr>
          <w:rFonts w:ascii="Calibri" w:hAnsi="Calibri"/>
          <w:color w:val="24292E"/>
          <w:sz w:val="22"/>
        </w:rPr>
        <w:t xml:space="preserve">) consumed identically by </w:t>
      </w:r>
      <w:r>
        <w:rPr>
          <w:rFonts w:ascii="Consolas" w:hAnsi="Consolas"/>
          <w:color w:val="032F62"/>
          <w:sz w:val="21"/>
        </w:rPr>
        <w:t>GET /api/projects/:id/activation-readiness</w:t>
      </w:r>
      <w:r>
        <w:rPr>
          <w:rFonts w:ascii="Calibri" w:hAnsi="Calibri"/>
          <w:color w:val="24292E"/>
          <w:sz w:val="22"/>
        </w:rPr>
        <w:t xml:space="preserve">, </w:t>
      </w:r>
      <w:r>
        <w:rPr>
          <w:rFonts w:ascii="Consolas" w:hAnsi="Consolas"/>
          <w:color w:val="032F62"/>
          <w:sz w:val="21"/>
        </w:rPr>
        <w:t>PATCH /api/projects/:id</w:t>
      </w:r>
      <w:r>
        <w:rPr>
          <w:rFonts w:ascii="Calibri" w:hAnsi="Calibri"/>
          <w:color w:val="24292E"/>
          <w:sz w:val="22"/>
        </w:rPr>
        <w:t xml:space="preserve"> (</w:t>
      </w:r>
      <w:r>
        <w:rPr>
          <w:rFonts w:ascii="Consolas" w:hAnsi="Consolas"/>
          <w:color w:val="032F62"/>
          <w:sz w:val="21"/>
        </w:rPr>
        <w:t>status: ACTIVE</w:t>
      </w:r>
      <w:r>
        <w:rPr>
          <w:rFonts w:ascii="Calibri" w:hAnsi="Calibri"/>
          <w:color w:val="24292E"/>
          <w:sz w:val="22"/>
        </w:rPr>
        <w:t xml:space="preserve">), UI checklists, tests, and reconciliation tools. </w:t>
      </w:r>
      <w:r>
        <w:rPr>
          <w:rFonts w:ascii="Calibri" w:hAnsi="Calibri"/>
          <w:i/>
          <w:color w:val="24292E"/>
          <w:sz w:val="22"/>
        </w:rPr>
        <w:t>(Source: SPH-DEMO-13-14-Baseline-Rekomendasi-dan-Klarifikasi-ID.docx - Decision 14.1)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14.2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The readiness evaluator MUST validate the </w:t>
      </w:r>
      <w:r>
        <w:rPr>
          <w:rFonts w:ascii="Calibri" w:hAnsi="Calibri"/>
          <w:b/>
          <w:color w:val="24292E"/>
          <w:sz w:val="22"/>
        </w:rPr>
        <w:t>Effective State</w:t>
      </w:r>
      <w:r>
        <w:rPr>
          <w:rFonts w:ascii="Calibri" w:hAnsi="Calibri"/>
          <w:color w:val="24292E"/>
          <w:sz w:val="22"/>
        </w:rPr>
        <w:t xml:space="preserve"> by merging persisted database records with proposed request body values (</w:t>
      </w:r>
      <w:r>
        <w:rPr>
          <w:rFonts w:ascii="Consolas" w:hAnsi="Consolas"/>
          <w:color w:val="032F62"/>
          <w:sz w:val="21"/>
        </w:rPr>
        <w:t>const effectiveState = { ...dbRecord, ...patchBody }</w:t>
      </w:r>
      <w:r>
        <w:rPr>
          <w:rFonts w:ascii="Calibri" w:hAnsi="Calibri"/>
          <w:color w:val="24292E"/>
          <w:sz w:val="22"/>
        </w:rPr>
        <w:t xml:space="preserve">). </w:t>
      </w:r>
      <w:r>
        <w:rPr>
          <w:rFonts w:ascii="Calibri" w:hAnsi="Calibri"/>
          <w:i/>
          <w:color w:val="24292E"/>
          <w:sz w:val="22"/>
        </w:rPr>
        <w:t>(Source: SPH-DEMO-13-14-Baseline-Rekomendasi-dan-Klarifikasi-ID.docx - Decision 14.2)</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Having separate evaluators for preview and enforcement causes code drift. Validating effective state allows a single PATCH request to supply missing data and activate the project atomically, without forcing awkward sequential calls.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Will a PATCH call that supplies the final missing field (e.g. </w:t>
      </w:r>
      <w:r>
        <w:rPr>
          <w:rFonts w:ascii="Consolas" w:hAnsi="Consolas"/>
          <w:color w:val="032F62"/>
          <w:sz w:val="20"/>
        </w:rPr>
        <w:t>plannedMandays: 10</w:t>
      </w:r>
      <w:r>
        <w:rPr>
          <w:rFonts w:ascii="Calibri" w:hAnsi="Calibri"/>
          <w:color w:val="24292E"/>
          <w:sz w:val="21"/>
        </w:rPr>
        <w:t xml:space="preserve">) along with </w:t>
      </w:r>
      <w:r>
        <w:rPr>
          <w:rFonts w:ascii="Consolas" w:hAnsi="Consolas"/>
          <w:color w:val="032F62"/>
          <w:sz w:val="20"/>
        </w:rPr>
        <w:t>status: ACTIVE</w:t>
      </w:r>
      <w:r>
        <w:rPr>
          <w:rFonts w:ascii="Calibri" w:hAnsi="Calibri"/>
          <w:color w:val="24292E"/>
          <w:sz w:val="21"/>
        </w:rPr>
        <w:t xml:space="preserve"> be rejected because the database still has </w:t>
      </w:r>
      <w:r>
        <w:rPr>
          <w:rFonts w:ascii="Consolas" w:hAnsi="Consolas"/>
          <w:color w:val="032F62"/>
          <w:sz w:val="20"/>
        </w:rPr>
        <w:t>0</w:t>
      </w:r>
      <w:r>
        <w:rPr>
          <w:rFonts w:ascii="Calibri" w:hAnsi="Calibri"/>
          <w:color w:val="24292E"/>
          <w:sz w:val="21"/>
        </w:rPr>
        <w:t>?</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w:t>
      </w:r>
      <w:r>
        <w:rPr>
          <w:rFonts w:ascii="Calibri" w:hAnsi="Calibri"/>
          <w:b/>
          <w:color w:val="24292E"/>
          <w:sz w:val="21"/>
        </w:rPr>
        <w:t>No.</w:t>
      </w:r>
      <w:r>
        <w:rPr>
          <w:rFonts w:ascii="Calibri" w:hAnsi="Calibri"/>
          <w:color w:val="24292E"/>
          <w:sz w:val="21"/>
        </w:rPr>
        <w:t xml:space="preserve"> Effective-state evaluation evaluates the merged payload, confirming the incoming </w:t>
      </w:r>
      <w:r>
        <w:rPr>
          <w:rFonts w:ascii="Consolas" w:hAnsi="Consolas"/>
          <w:color w:val="032F62"/>
          <w:sz w:val="20"/>
        </w:rPr>
        <w:t>10</w:t>
      </w:r>
      <w:r>
        <w:rPr>
          <w:rFonts w:ascii="Calibri" w:hAnsi="Calibri"/>
          <w:color w:val="24292E"/>
          <w:sz w:val="21"/>
        </w:rPr>
        <w:t xml:space="preserve"> satisfies the invariant before committing.</w:t>
      </w:r>
    </w:p>
    <w:p>
      <w:pPr>
        <w:spacing w:before="120" w:after="120"/>
        <w:pBdr>
          <w:bottom w:val="single" w:sz="6" w:space="1" w:color="E1E4E8"/>
        </w:pBdr>
      </w:pPr>
    </w:p>
    <w:p>
      <w:pPr>
        <w:keepNext/>
        <w:spacing w:before="160" w:after="40"/>
      </w:pPr>
      <w:r>
        <w:rPr>
          <w:rFonts w:ascii="Calibri" w:hAnsi="Calibri"/>
          <w:b/>
          <w:color w:val="262626"/>
          <w:sz w:val="23"/>
        </w:rPr>
        <w:t>Question 28: Approved Commercial Snapshot vs. Duplicate Contract Lines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model ProjectContractLine baru perlu dibuat dan bagaimana pass-through product cost dicatat?"</w:t>
      </w:r>
    </w:p>
    <w:p>
      <w:pPr>
        <w:pStyle w:val="ListBullet"/>
        <w:spacing w:before="20" w:after="40"/>
        <w:ind w:left="360"/>
      </w:pPr>
      <w:r>
        <w:rPr>
          <w:rFonts w:ascii="Calibri" w:hAnsi="Calibri"/>
          <w:b/>
          <w:color w:val="24292E"/>
          <w:sz w:val="21"/>
        </w:rPr>
        <w:t>English Translation</w:t>
      </w:r>
      <w:r>
        <w:rPr>
          <w:rFonts w:ascii="Calibri" w:hAnsi="Calibri"/>
          <w:color w:val="24292E"/>
          <w:sz w:val="21"/>
        </w:rPr>
        <w:t>: "Does a new ProjectContractLine model need to be created, and how is pass-through product cost recorded?"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Do NOT create a separate contract line table. That would duplicate data. Instead, copy the lines from the approved CommercialBudgetRevision from DEMO-10 into the project upon Won conversion. All sales and costs must be positive numbers with classifications like service or product. You are never allowed to enter a negative expense to hide vendor software costs.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Do NOT introduce a redundant `ProjectContractLine` model.</w:t>
      </w:r>
      <w:r>
        <w:rPr>
          <w:rFonts w:ascii="Calibri" w:hAnsi="Calibri"/>
          <w:color w:val="24292E"/>
          <w:sz w:val="22"/>
        </w:rPr>
        <w:t xml:space="preserve"> Contract lines originate from the approved </w:t>
      </w:r>
      <w:r>
        <w:rPr>
          <w:rFonts w:ascii="Consolas" w:hAnsi="Consolas"/>
          <w:color w:val="032F62"/>
          <w:sz w:val="21"/>
        </w:rPr>
        <w:t>CommercialBudgetRevision</w:t>
      </w:r>
      <w:r>
        <w:rPr>
          <w:rFonts w:ascii="Calibri" w:hAnsi="Calibri"/>
          <w:color w:val="24292E"/>
          <w:sz w:val="22"/>
        </w:rPr>
        <w:t xml:space="preserve"> (established in DEMO-02 and DEMO-10) and are copied as an immutable commercial snapshot upon Won deal conversion. Pass-through product costs MUST be represented using positive selling and cost amounts with explicit classification (</w:t>
      </w:r>
      <w:r>
        <w:rPr>
          <w:rFonts w:ascii="Consolas" w:hAnsi="Consolas"/>
          <w:color w:val="032F62"/>
          <w:sz w:val="21"/>
        </w:rPr>
        <w:t>PROFESSIONAL_SERVICE</w:t>
      </w:r>
      <w:r>
        <w:rPr>
          <w:rFonts w:ascii="Calibri" w:hAnsi="Calibri"/>
          <w:color w:val="24292E"/>
          <w:sz w:val="22"/>
        </w:rPr>
        <w:t xml:space="preserve">, </w:t>
      </w:r>
      <w:r>
        <w:rPr>
          <w:rFonts w:ascii="Consolas" w:hAnsi="Consolas"/>
          <w:color w:val="032F62"/>
          <w:sz w:val="21"/>
        </w:rPr>
        <w:t>PRODUCT_SOLUTION</w:t>
      </w:r>
      <w:r>
        <w:rPr>
          <w:rFonts w:ascii="Calibri" w:hAnsi="Calibri"/>
          <w:color w:val="24292E"/>
          <w:sz w:val="22"/>
        </w:rPr>
        <w:t xml:space="preserve">, </w:t>
      </w:r>
      <w:r>
        <w:rPr>
          <w:rFonts w:ascii="Consolas" w:hAnsi="Consolas"/>
          <w:color w:val="032F62"/>
          <w:sz w:val="21"/>
        </w:rPr>
        <w:t>MAINTENANCE_SUBSCRIPTION</w:t>
      </w:r>
      <w:r>
        <w:rPr>
          <w:rFonts w:ascii="Calibri" w:hAnsi="Calibri"/>
          <w:color w:val="24292E"/>
          <w:sz w:val="22"/>
        </w:rPr>
        <w:t xml:space="preserve">). Recording software costs as negative expense rows is strictly prohibited. </w:t>
      </w:r>
      <w:r>
        <w:rPr>
          <w:rFonts w:ascii="Calibri" w:hAnsi="Calibri"/>
          <w:i/>
          <w:color w:val="24292E"/>
          <w:sz w:val="22"/>
        </w:rPr>
        <w:t>(Source: SPH-DEMO-13-14-Baseline-Rekomendasi-dan-Klarifikasi-ID.docx - Decision 14.3)</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Eliminates conflicting sources of truth between sales intake, commercial budgeting, project baseline, and accounting. Negative expense rows severely distort gross margin and cost categorization.</w:t>
      </w:r>
    </w:p>
    <w:p>
      <w:pPr>
        <w:spacing w:before="120" w:after="120"/>
        <w:pBdr>
          <w:bottom w:val="single" w:sz="6" w:space="1" w:color="E1E4E8"/>
        </w:pBdr>
      </w:pPr>
    </w:p>
    <w:p>
      <w:pPr>
        <w:keepNext/>
        <w:spacing w:before="160" w:after="40"/>
      </w:pPr>
      <w:r>
        <w:rPr>
          <w:rFonts w:ascii="Calibri" w:hAnsi="Calibri"/>
          <w:b/>
          <w:color w:val="262626"/>
          <w:sz w:val="23"/>
        </w:rPr>
        <w:t>Question 29: Canonical Primary Business Unit &amp; Field Alignments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menentukan primary Business Unit pada Project dan bagaimana penyelarasan field/role aktual?"</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the primary Business Unit determined on a Project, and how are actual fields and roles aligned?"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The Project table does not have a businessUnitId column in the database right now. We must either add an explicit primary BU column on Project or derive it from the main workstream. Also, use the real code names: </w:t>
      </w:r>
      <w:r>
        <w:rPr>
          <w:rFonts w:ascii="Consolas" w:hAnsi="Consolas"/>
          <w:color w:val="032F62"/>
          <w:sz w:val="20"/>
        </w:rPr>
        <w:t>FINANCE</w:t>
      </w:r>
      <w:r>
        <w:rPr>
          <w:rFonts w:ascii="Calibri" w:hAnsi="Calibri"/>
          <w:color w:val="24292E"/>
          <w:sz w:val="21"/>
        </w:rPr>
        <w:t xml:space="preserve"> (not </w:t>
      </w:r>
      <w:r>
        <w:rPr>
          <w:rFonts w:ascii="Consolas" w:hAnsi="Consolas"/>
          <w:color w:val="032F62"/>
          <w:sz w:val="20"/>
        </w:rPr>
        <w:t>FINANCE_LEAD</w:t>
      </w:r>
      <w:r>
        <w:rPr>
          <w:rFonts w:ascii="Calibri" w:hAnsi="Calibri"/>
          <w:color w:val="24292E"/>
          <w:sz w:val="21"/>
        </w:rPr>
        <w:t xml:space="preserve">), </w:t>
      </w:r>
      <w:r>
        <w:rPr>
          <w:rFonts w:ascii="Consolas" w:hAnsi="Consolas"/>
          <w:color w:val="032F62"/>
          <w:sz w:val="20"/>
        </w:rPr>
        <w:t>PROJECT_MANAGER</w:t>
      </w:r>
      <w:r>
        <w:rPr>
          <w:rFonts w:ascii="Calibri" w:hAnsi="Calibri"/>
          <w:color w:val="24292E"/>
          <w:sz w:val="21"/>
        </w:rPr>
        <w:t xml:space="preserve"> (not </w:t>
      </w:r>
      <w:r>
        <w:rPr>
          <w:rFonts w:ascii="Consolas" w:hAnsi="Consolas"/>
          <w:color w:val="032F62"/>
          <w:sz w:val="20"/>
        </w:rPr>
        <w:t>DELIVERY_LEAD</w:t>
      </w:r>
      <w:r>
        <w:rPr>
          <w:rFonts w:ascii="Calibri" w:hAnsi="Calibri"/>
          <w:color w:val="24292E"/>
          <w:sz w:val="21"/>
        </w:rPr>
        <w:t xml:space="preserve">), and </w:t>
      </w:r>
      <w:r>
        <w:rPr>
          <w:rFonts w:ascii="Consolas" w:hAnsi="Consolas"/>
          <w:color w:val="032F62"/>
          <w:sz w:val="20"/>
        </w:rPr>
        <w:t>pmId</w:t>
      </w:r>
      <w:r>
        <w:rPr>
          <w:rFonts w:ascii="Calibri" w:hAnsi="Calibri"/>
          <w:color w:val="24292E"/>
          <w:sz w:val="21"/>
        </w:rPr>
        <w:t xml:space="preserve"> (not </w:t>
      </w:r>
      <w:r>
        <w:rPr>
          <w:rFonts w:ascii="Consolas" w:hAnsi="Consolas"/>
          <w:color w:val="032F62"/>
          <w:sz w:val="20"/>
        </w:rPr>
        <w:t>projectManagerId</w:t>
      </w:r>
      <w:r>
        <w:rPr>
          <w:rFonts w:ascii="Calibri" w:hAnsi="Calibri"/>
          <w:color w:val="24292E"/>
          <w:sz w:val="21"/>
        </w:rPr>
        <w: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an explicit, canonical source for the project primary Business Unit prior to activation enforcement—either by adding </w:t>
      </w:r>
      <w:r>
        <w:rPr>
          <w:rFonts w:ascii="Consolas" w:hAnsi="Consolas"/>
          <w:color w:val="032F62"/>
          <w:sz w:val="21"/>
        </w:rPr>
        <w:t>Project.businessUnitId</w:t>
      </w:r>
      <w:r>
        <w:rPr>
          <w:rFonts w:ascii="Calibri" w:hAnsi="Calibri"/>
          <w:color w:val="24292E"/>
          <w:sz w:val="22"/>
        </w:rPr>
        <w:t xml:space="preserve"> snapshot or deterministically deriving it from a designated primary workstream (</w:t>
      </w:r>
      <w:r>
        <w:rPr>
          <w:rFonts w:ascii="Consolas" w:hAnsi="Consolas"/>
          <w:color w:val="032F62"/>
          <w:sz w:val="21"/>
        </w:rPr>
        <w:t>sortOrder = 0</w:t>
      </w:r>
      <w:r>
        <w:rPr>
          <w:rFonts w:ascii="Calibri" w:hAnsi="Calibri"/>
          <w:color w:val="24292E"/>
          <w:sz w:val="22"/>
        </w:rPr>
        <w:t xml:space="preserve">). Strictly align role and field naming with the baseline codebase: use </w:t>
      </w:r>
      <w:r>
        <w:rPr>
          <w:rFonts w:ascii="Consolas" w:hAnsi="Consolas"/>
          <w:color w:val="032F62"/>
          <w:sz w:val="21"/>
        </w:rPr>
        <w:t>FINANCE</w:t>
      </w:r>
      <w:r>
        <w:rPr>
          <w:rFonts w:ascii="Calibri" w:hAnsi="Calibri"/>
          <w:color w:val="24292E"/>
          <w:sz w:val="22"/>
        </w:rPr>
        <w:t xml:space="preserve"> (not </w:t>
      </w:r>
      <w:r>
        <w:rPr>
          <w:rFonts w:ascii="Consolas" w:hAnsi="Consolas"/>
          <w:color w:val="032F62"/>
          <w:sz w:val="21"/>
        </w:rPr>
        <w:t>FINANCE_LEAD</w:t>
      </w:r>
      <w:r>
        <w:rPr>
          <w:rFonts w:ascii="Calibri" w:hAnsi="Calibri"/>
          <w:color w:val="24292E"/>
          <w:sz w:val="22"/>
        </w:rPr>
        <w:t xml:space="preserve">), </w:t>
      </w:r>
      <w:r>
        <w:rPr>
          <w:rFonts w:ascii="Consolas" w:hAnsi="Consolas"/>
          <w:color w:val="032F62"/>
          <w:sz w:val="21"/>
        </w:rPr>
        <w:t>PROJECT_MANAGER</w:t>
      </w:r>
      <w:r>
        <w:rPr>
          <w:rFonts w:ascii="Calibri" w:hAnsi="Calibri"/>
          <w:color w:val="24292E"/>
          <w:sz w:val="22"/>
        </w:rPr>
        <w:t xml:space="preserve"> (not </w:t>
      </w:r>
      <w:r>
        <w:rPr>
          <w:rFonts w:ascii="Consolas" w:hAnsi="Consolas"/>
          <w:color w:val="032F62"/>
          <w:sz w:val="21"/>
        </w:rPr>
        <w:t>DELIVERY_LEAD</w:t>
      </w:r>
      <w:r>
        <w:rPr>
          <w:rFonts w:ascii="Calibri" w:hAnsi="Calibri"/>
          <w:color w:val="24292E"/>
          <w:sz w:val="22"/>
        </w:rPr>
        <w:t xml:space="preserve">), and </w:t>
      </w:r>
      <w:r>
        <w:rPr>
          <w:rFonts w:ascii="Consolas" w:hAnsi="Consolas"/>
          <w:color w:val="032F62"/>
          <w:sz w:val="21"/>
        </w:rPr>
        <w:t>pmId</w:t>
      </w:r>
      <w:r>
        <w:rPr>
          <w:rFonts w:ascii="Calibri" w:hAnsi="Calibri"/>
          <w:color w:val="24292E"/>
          <w:sz w:val="22"/>
        </w:rPr>
        <w:t xml:space="preserve"> (not </w:t>
      </w:r>
      <w:r>
        <w:rPr>
          <w:rFonts w:ascii="Consolas" w:hAnsi="Consolas"/>
          <w:color w:val="032F62"/>
          <w:sz w:val="21"/>
        </w:rPr>
        <w:t>projectManagerId</w:t>
      </w:r>
      <w:r>
        <w:rPr>
          <w:rFonts w:ascii="Calibri" w:hAnsi="Calibri"/>
          <w:color w:val="24292E"/>
          <w:sz w:val="22"/>
        </w:rPr>
        <w:t xml:space="preserve">). </w:t>
      </w:r>
      <w:r>
        <w:rPr>
          <w:rFonts w:ascii="Calibri" w:hAnsi="Calibri"/>
          <w:i/>
          <w:color w:val="24292E"/>
          <w:sz w:val="22"/>
        </w:rPr>
        <w:t>(Source: SPH-DEMO-13-14-Baseline-Rekomendasi-dan-Klarifikasi-ID.docx - Decision 14.4)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Activation gates cannot enforce dependencies on non-existent or ambiguous database columns.</w:t>
      </w:r>
    </w:p>
    <w:p>
      <w:pPr>
        <w:spacing w:before="120" w:after="120"/>
        <w:pBdr>
          <w:bottom w:val="single" w:sz="6" w:space="1" w:color="E1E4E8"/>
        </w:pBdr>
      </w:pPr>
    </w:p>
    <w:p>
      <w:pPr>
        <w:keepNext/>
        <w:spacing w:before="160" w:after="40"/>
      </w:pPr>
      <w:r>
        <w:rPr>
          <w:rFonts w:ascii="Calibri" w:hAnsi="Calibri"/>
          <w:b/>
          <w:color w:val="262626"/>
          <w:sz w:val="23"/>
        </w:rPr>
        <w:t>Question 30: Project Kind Invariant Matrix &amp; Atomic Activation Transaction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aturan aktivasi sama untuk semua jenis project dan bagaimana atomicity aktivasi dijamin?"</w:t>
      </w:r>
    </w:p>
    <w:p>
      <w:pPr>
        <w:pStyle w:val="ListBullet"/>
        <w:spacing w:before="20" w:after="40"/>
        <w:ind w:left="360"/>
      </w:pPr>
      <w:r>
        <w:rPr>
          <w:rFonts w:ascii="Calibri" w:hAnsi="Calibri"/>
          <w:b/>
          <w:color w:val="24292E"/>
          <w:sz w:val="21"/>
        </w:rPr>
        <w:t>English Translation</w:t>
      </w:r>
      <w:r>
        <w:rPr>
          <w:rFonts w:ascii="Calibri" w:hAnsi="Calibri"/>
          <w:color w:val="24292E"/>
          <w:sz w:val="21"/>
        </w:rPr>
        <w:t>: "Are activation rules identical across all project kinds, and how is activation atomicity guaranteed?"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Internal and training projects do not require clients, commercial contracts, or billing milestones. Only commercial client projects require commercial sign-offs. When activating, checking rules, updating status, creating the initial ProjectBaseline v1.00, and logging audit records must all happen in one database transaction so an active project is never left without a baseline.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Apply activation invariants differentiated by </w:t>
      </w:r>
      <w:r>
        <w:rPr>
          <w:rFonts w:ascii="Consolas" w:hAnsi="Consolas"/>
          <w:color w:val="032F62"/>
          <w:sz w:val="21"/>
        </w:rPr>
        <w:t>ProjectKind</w:t>
      </w:r>
      <w:r>
        <w:rPr>
          <w:rFonts w:ascii="Calibri" w:hAnsi="Calibri"/>
          <w:color w:val="24292E"/>
          <w:sz w:val="22"/>
        </w:rPr>
        <w:t xml:space="preserve"> (</w:t>
      </w:r>
      <w:r>
        <w:rPr>
          <w:rFonts w:ascii="Consolas" w:hAnsi="Consolas"/>
          <w:color w:val="032F62"/>
          <w:sz w:val="21"/>
        </w:rPr>
        <w:t>CLIENT</w:t>
      </w:r>
      <w:r>
        <w:rPr>
          <w:rFonts w:ascii="Calibri" w:hAnsi="Calibri"/>
          <w:color w:val="24292E"/>
          <w:sz w:val="22"/>
        </w:rPr>
        <w:t xml:space="preserve">, </w:t>
      </w:r>
      <w:r>
        <w:rPr>
          <w:rFonts w:ascii="Consolas" w:hAnsi="Consolas"/>
          <w:color w:val="032F62"/>
          <w:sz w:val="21"/>
        </w:rPr>
        <w:t>INTERNAL</w:t>
      </w:r>
      <w:r>
        <w:rPr>
          <w:rFonts w:ascii="Calibri" w:hAnsi="Calibri"/>
          <w:color w:val="24292E"/>
          <w:sz w:val="22"/>
        </w:rPr>
        <w:t xml:space="preserve">, </w:t>
      </w:r>
      <w:r>
        <w:rPr>
          <w:rFonts w:ascii="Consolas" w:hAnsi="Consolas"/>
          <w:color w:val="032F62"/>
          <w:sz w:val="21"/>
        </w:rPr>
        <w:t>PRESALES</w:t>
      </w:r>
      <w:r>
        <w:rPr>
          <w:rFonts w:ascii="Calibri" w:hAnsi="Calibri"/>
          <w:color w:val="24292E"/>
          <w:sz w:val="22"/>
        </w:rPr>
        <w:t xml:space="preserve">, </w:t>
      </w:r>
      <w:r>
        <w:rPr>
          <w:rFonts w:ascii="Consolas" w:hAnsi="Consolas"/>
          <w:color w:val="032F62"/>
          <w:sz w:val="21"/>
        </w:rPr>
        <w:t>TRAINING</w:t>
      </w:r>
      <w:r>
        <w:rPr>
          <w:rFonts w:ascii="Calibri" w:hAnsi="Calibri"/>
          <w:color w:val="24292E"/>
          <w:sz w:val="22"/>
        </w:rPr>
        <w:t xml:space="preserve">). Commercial checks apply strictly to </w:t>
      </w:r>
      <w:r>
        <w:rPr>
          <w:rFonts w:ascii="Consolas" w:hAnsi="Consolas"/>
          <w:color w:val="032F62"/>
          <w:sz w:val="21"/>
        </w:rPr>
        <w:t>CLIENT</w:t>
      </w:r>
      <w:r>
        <w:rPr>
          <w:rFonts w:ascii="Calibri" w:hAnsi="Calibri"/>
          <w:color w:val="24292E"/>
          <w:sz w:val="22"/>
        </w:rPr>
        <w:t xml:space="preserve"> projects, while delivery readiness applies across all types:  </w:t>
      </w:r>
    </w:p>
    <w:p>
      <w:pPr>
        <w:spacing w:before="40" w:after="80" w:line="276" w:lineRule="auto"/>
      </w:pPr>
      <w:r>
        <w:rPr>
          <w:rFonts w:ascii="Calibri" w:hAnsi="Calibri"/>
          <w:color w:val="24292E"/>
          <w:sz w:val="22"/>
        </w:rPr>
        <w:t xml:space="preserve">  &gt; </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spacing w:before="40" w:after="40"/>
            </w:pPr>
            <w:r>
              <w:rPr>
                <w:rFonts w:ascii="Calibri" w:hAnsi="Calibri"/>
                <w:b/>
                <w:color w:val="FFFFFF"/>
                <w:sz w:val="20"/>
              </w:rPr>
              <w:t>&gt;</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Activation Invariant</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CLIENT</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INTERNAL</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PRESALES</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TRAINING</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Valid Client Attached</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Conditional</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Positive Contract Value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Approved Commercial Revision</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Billing Milestones Total 100%</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Positive Planned Mandays</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Positive Estimated Cost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Valid Chronological Dates &amp; Active PM</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T&amp;M Resource Daily Rates $&gt;0$</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 (if T&amp;M)</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p>
        </w:tc>
      </w:tr>
    </w:tbl>
    <w:p>
      <w:pPr>
        <w:spacing w:before="0" w:after="120"/>
      </w:pP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w:t>
      </w:r>
      <w:r>
        <w:rPr>
          <w:rFonts w:ascii="Calibri" w:hAnsi="Calibri"/>
          <w:i/>
          <w:color w:val="24292E"/>
          <w:sz w:val="22"/>
        </w:rPr>
        <w:t>(Source: SPH-DEMO-13-14-Baseline-Rekomendasi-dan-Klarifikasi-ID.docx - Decision 14.5)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w:t>
      </w:r>
      <w:r>
        <w:rPr>
          <w:rFonts w:ascii="Calibri" w:hAnsi="Calibri"/>
          <w:b/>
          <w:color w:val="24292E"/>
          <w:sz w:val="22"/>
        </w:rPr>
        <w:t>Decision 14.6</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Return </w:t>
      </w:r>
      <w:r>
        <w:rPr>
          <w:rFonts w:ascii="Consolas" w:hAnsi="Consolas"/>
          <w:color w:val="032F62"/>
          <w:sz w:val="21"/>
        </w:rPr>
        <w:t>HTTP 422 Unprocessable Entity</w:t>
      </w:r>
      <w:r>
        <w:rPr>
          <w:rFonts w:ascii="Calibri" w:hAnsi="Calibri"/>
          <w:color w:val="24292E"/>
          <w:sz w:val="22"/>
        </w:rPr>
        <w:t xml:space="preserve"> with error code </w:t>
      </w:r>
      <w:r>
        <w:rPr>
          <w:rFonts w:ascii="Consolas" w:hAnsi="Consolas"/>
          <w:color w:val="032F62"/>
          <w:sz w:val="21"/>
        </w:rPr>
        <w:t>ACTIVATION_GATE_VIOLATION</w:t>
      </w:r>
      <w:r>
        <w:rPr>
          <w:rFonts w:ascii="Calibri" w:hAnsi="Calibri"/>
          <w:color w:val="24292E"/>
          <w:sz w:val="22"/>
        </w:rPr>
        <w:t xml:space="preserve">, a structured </w:t>
      </w:r>
      <w:r>
        <w:rPr>
          <w:rFonts w:ascii="Consolas" w:hAnsi="Consolas"/>
          <w:color w:val="032F62"/>
          <w:sz w:val="21"/>
        </w:rPr>
        <w:t>checklist</w:t>
      </w:r>
      <w:r>
        <w:rPr>
          <w:rFonts w:ascii="Calibri" w:hAnsi="Calibri"/>
          <w:color w:val="24292E"/>
          <w:sz w:val="22"/>
        </w:rPr>
        <w:t xml:space="preserve"> array, and temporarily preserve the legacy </w:t>
      </w:r>
      <w:r>
        <w:rPr>
          <w:rFonts w:ascii="Consolas" w:hAnsi="Consolas"/>
          <w:color w:val="032F62"/>
          <w:sz w:val="21"/>
        </w:rPr>
        <w:t>missing: string[]</w:t>
      </w:r>
      <w:r>
        <w:rPr>
          <w:rFonts w:ascii="Calibri" w:hAnsi="Calibri"/>
          <w:color w:val="24292E"/>
          <w:sz w:val="22"/>
        </w:rPr>
        <w:t xml:space="preserve"> array for backward compatibility with existing web and mobile frontends. </w:t>
      </w:r>
      <w:r>
        <w:rPr>
          <w:rFonts w:ascii="Calibri" w:hAnsi="Calibri"/>
          <w:i/>
          <w:color w:val="24292E"/>
          <w:sz w:val="22"/>
        </w:rPr>
        <w:t>(Source: SPH-DEMO-13-14-Baseline-Rekomendasi-dan-Klarifikasi-ID.docx - Decision 14.6)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14.7</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Readiness validation, status transition to </w:t>
      </w:r>
      <w:r>
        <w:rPr>
          <w:rFonts w:ascii="Consolas" w:hAnsi="Consolas"/>
          <w:color w:val="032F62"/>
          <w:sz w:val="21"/>
        </w:rPr>
        <w:t>ACTIVE</w:t>
      </w:r>
      <w:r>
        <w:rPr>
          <w:rFonts w:ascii="Calibri" w:hAnsi="Calibri"/>
          <w:color w:val="24292E"/>
          <w:sz w:val="22"/>
        </w:rPr>
        <w:t xml:space="preserve">, </w:t>
      </w:r>
      <w:r>
        <w:rPr>
          <w:rFonts w:ascii="Consolas" w:hAnsi="Consolas"/>
          <w:color w:val="032F62"/>
          <w:sz w:val="21"/>
        </w:rPr>
        <w:t>ProjectBaseline</w:t>
      </w:r>
      <w:r>
        <w:rPr>
          <w:rFonts w:ascii="Calibri" w:hAnsi="Calibri"/>
          <w:color w:val="24292E"/>
          <w:sz w:val="22"/>
        </w:rPr>
        <w:t xml:space="preserve"> v1.00 initialization (</w:t>
      </w:r>
      <w:r>
        <w:rPr>
          <w:rFonts w:ascii="Consolas" w:hAnsi="Consolas"/>
          <w:color w:val="032F62"/>
          <w:sz w:val="21"/>
        </w:rPr>
        <w:t>source: ACTIVATION</w:t>
      </w:r>
      <w:r>
        <w:rPr>
          <w:rFonts w:ascii="Calibri" w:hAnsi="Calibri"/>
          <w:color w:val="24292E"/>
          <w:sz w:val="22"/>
        </w:rPr>
        <w:t xml:space="preserve">), and audit event creation MUST commit within a </w:t>
      </w:r>
      <w:r>
        <w:rPr>
          <w:rFonts w:ascii="Calibri" w:hAnsi="Calibri"/>
          <w:b/>
          <w:color w:val="24292E"/>
          <w:sz w:val="22"/>
        </w:rPr>
        <w:t>single atomic database transaction</w:t>
      </w:r>
      <w:r>
        <w:rPr>
          <w:rFonts w:ascii="Calibri" w:hAnsi="Calibri"/>
          <w:color w:val="24292E"/>
          <w:sz w:val="22"/>
        </w:rPr>
        <w:t xml:space="preserve"> protected against concurrent duplicate activation calls. </w:t>
      </w:r>
      <w:r>
        <w:rPr>
          <w:rFonts w:ascii="Calibri" w:hAnsi="Calibri"/>
          <w:i/>
          <w:color w:val="24292E"/>
          <w:sz w:val="22"/>
        </w:rPr>
        <w:t>(Source: SPH-DEMO-13-14-Baseline-Rekomendasi-dan-Klarifikasi-ID.docx - Decision 14.7)</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Structured Error Response Contract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`json</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"code": "ACTIVATION_GATE_VIOLATION",</w:t>
      </w:r>
    </w:p>
    <w:p>
      <w:pPr>
        <w:spacing w:before="40" w:after="80" w:line="276" w:lineRule="auto"/>
      </w:pPr>
      <w:r>
        <w:rPr>
          <w:rFonts w:ascii="Calibri" w:hAnsi="Calibri"/>
          <w:color w:val="24292E"/>
          <w:sz w:val="22"/>
        </w:rPr>
        <w:t xml:space="preserve">      "message": "Project is not ready for activation.",</w:t>
      </w:r>
    </w:p>
    <w:p>
      <w:pPr>
        <w:spacing w:before="40" w:after="80" w:line="276" w:lineRule="auto"/>
      </w:pPr>
      <w:r>
        <w:rPr>
          <w:rFonts w:ascii="Calibri" w:hAnsi="Calibri"/>
          <w:color w:val="24292E"/>
          <w:sz w:val="22"/>
        </w:rPr>
        <w:t xml:space="preserve">      "canActivate": false,</w:t>
      </w:r>
    </w:p>
    <w:p>
      <w:pPr>
        <w:spacing w:before="40" w:after="80" w:line="276" w:lineRule="auto"/>
      </w:pPr>
      <w:r>
        <w:rPr>
          <w:rFonts w:ascii="Calibri" w:hAnsi="Calibri"/>
          <w:color w:val="24292E"/>
          <w:sz w:val="22"/>
        </w:rPr>
        <w:t xml:space="preserve">      "blockerCount": 2,</w:t>
      </w:r>
    </w:p>
    <w:p>
      <w:pPr>
        <w:spacing w:before="40" w:after="80" w:line="276" w:lineRule="auto"/>
      </w:pPr>
      <w:r>
        <w:rPr>
          <w:rFonts w:ascii="Calibri" w:hAnsi="Calibri"/>
          <w:color w:val="24292E"/>
          <w:sz w:val="22"/>
        </w:rPr>
        <w:t xml:space="preserve">      "missing": [</w:t>
      </w:r>
    </w:p>
    <w:p>
      <w:pPr>
        <w:spacing w:before="40" w:after="80" w:line="276" w:lineRule="auto"/>
      </w:pPr>
      <w:r>
        <w:rPr>
          <w:rFonts w:ascii="Calibri" w:hAnsi="Calibri"/>
          <w:color w:val="24292E"/>
          <w:sz w:val="22"/>
        </w:rPr>
        <w:t xml:space="preserve">        "Planned mandays",</w:t>
      </w:r>
    </w:p>
    <w:p>
      <w:pPr>
        <w:spacing w:before="40" w:after="80" w:line="276" w:lineRule="auto"/>
      </w:pPr>
      <w:r>
        <w:rPr>
          <w:rFonts w:ascii="Calibri" w:hAnsi="Calibri"/>
          <w:color w:val="24292E"/>
          <w:sz w:val="22"/>
        </w:rPr>
        <w:t xml:space="preserve">        "Commercial approval"</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"checklist":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"code": "MANDAYS_REQUIRED",</w:t>
      </w:r>
    </w:p>
    <w:p>
      <w:pPr>
        <w:spacing w:before="40" w:after="80" w:line="276" w:lineRule="auto"/>
      </w:pPr>
      <w:r>
        <w:rPr>
          <w:rFonts w:ascii="Calibri" w:hAnsi="Calibri"/>
          <w:color w:val="24292E"/>
          <w:sz w:val="22"/>
        </w:rPr>
        <w:t xml:space="preserve">          "label": "Planned Mandays / Budget Hours",</w:t>
      </w:r>
    </w:p>
    <w:p>
      <w:pPr>
        <w:spacing w:before="40" w:after="80" w:line="276" w:lineRule="auto"/>
      </w:pPr>
      <w:r>
        <w:rPr>
          <w:rFonts w:ascii="Calibri" w:hAnsi="Calibri"/>
          <w:color w:val="24292E"/>
          <w:sz w:val="22"/>
        </w:rPr>
        <w:t xml:space="preserve">          "passed": false,</w:t>
      </w:r>
    </w:p>
    <w:p>
      <w:pPr>
        <w:spacing w:before="40" w:after="80" w:line="276" w:lineRule="auto"/>
      </w:pPr>
      <w:r>
        <w:rPr>
          <w:rFonts w:ascii="Calibri" w:hAnsi="Calibri"/>
          <w:color w:val="24292E"/>
          <w:sz w:val="22"/>
        </w:rPr>
        <w:t xml:space="preserve">          "targetTab": "workstreams"</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"code": "COMMERCIAL_APPROVAL_REQUIRED",</w:t>
      </w:r>
    </w:p>
    <w:p>
      <w:pPr>
        <w:spacing w:before="40" w:after="80" w:line="276" w:lineRule="auto"/>
      </w:pPr>
      <w:r>
        <w:rPr>
          <w:rFonts w:ascii="Calibri" w:hAnsi="Calibri"/>
          <w:color w:val="24292E"/>
          <w:sz w:val="22"/>
        </w:rPr>
        <w:t xml:space="preserve">          "label": "Finance Margin Approval",</w:t>
      </w:r>
    </w:p>
    <w:p>
      <w:pPr>
        <w:spacing w:before="40" w:after="80" w:line="276" w:lineRule="auto"/>
      </w:pPr>
      <w:r>
        <w:rPr>
          <w:rFonts w:ascii="Calibri" w:hAnsi="Calibri"/>
          <w:color w:val="24292E"/>
          <w:sz w:val="22"/>
        </w:rPr>
        <w:t xml:space="preserve">          "passed": false,</w:t>
      </w:r>
    </w:p>
    <w:p>
      <w:pPr>
        <w:spacing w:before="40" w:after="80" w:line="276" w:lineRule="auto"/>
      </w:pPr>
      <w:r>
        <w:rPr>
          <w:rFonts w:ascii="Calibri" w:hAnsi="Calibri"/>
          <w:color w:val="24292E"/>
          <w:sz w:val="22"/>
        </w:rPr>
        <w:t xml:space="preserve">          "targetTab": "financials"</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80" w:after="120"/>
      </w:pPr>
      <w:r>
        <w:rPr>
          <w:rFonts w:ascii="Calibri" w:hAnsi="Calibri"/>
          <w:b/>
          <w:color w:val="2E75B6"/>
          <w:sz w:val="32"/>
        </w:rPr>
        <w:t>3. Comprehensive FSD Traceability Matrix (DEMO-01 to DEMO-14)</w:t>
      </w:r>
    </w:p>
    <w:p>
      <w:pPr>
        <w:spacing w:before="40" w:after="80" w:line="276" w:lineRule="auto"/>
      </w:pPr>
      <w:r>
        <w:rPr>
          <w:rFonts w:ascii="Calibri" w:hAnsi="Calibri"/>
          <w:color w:val="24292E"/>
          <w:sz w:val="22"/>
        </w:rPr>
        <w:t>The matrix below maps all 14 WRICEF Functional Specification Documents with verified decision references and granular sub-feature implementation statuses.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c>
          <w:tcPr>
            <w:tcW w:type="dxa" w:w="1170"/>
            <w:shd w:fill="1F4E79"/>
            <w:tcMar>
              <w:top w:w="140" w:type="dxa"/>
              <w:bottom w:w="140" w:type="dxa"/>
              <w:left w:w="150" w:type="dxa"/>
              <w:right w:w="150" w:type="dxa"/>
            </w:tcMar>
          </w:tcPr>
          <w:p>
            <w:pPr>
              <w:spacing w:before="40" w:after="40"/>
            </w:pPr>
            <w:r>
              <w:rPr>
                <w:rFonts w:ascii="Calibri" w:hAnsi="Calibri"/>
                <w:b/>
                <w:color w:val="FFFFFF"/>
                <w:sz w:val="20"/>
              </w:rPr>
              <w:t>FSD Code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FSD Title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Decision References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Target Model / API Route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Upstream Dependencies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Primary Acceptance Criteria</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Industry Sector Classification</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1.1, 1.2, 1.3, 1.4, 1.5</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IndustrySector</w:t>
            </w:r>
            <w:r>
              <w:rPr>
                <w:rFonts w:ascii="Calibri" w:hAnsi="Calibri"/>
                <w:color w:val="24292E"/>
                <w:sz w:val="19"/>
              </w:rPr>
              <w:t xml:space="preserve">, </w:t>
            </w:r>
            <w:r>
              <w:rPr>
                <w:rFonts w:ascii="Consolas" w:hAnsi="Consolas"/>
                <w:color w:val="032F62"/>
                <w:sz w:val="18"/>
              </w:rPr>
              <w:t>LeadSector</w:t>
            </w:r>
            <w:r>
              <w:rPr>
                <w:rFonts w:ascii="Calibri" w:hAnsi="Calibri"/>
                <w:color w:val="24292E"/>
                <w:sz w:val="19"/>
              </w:rPr>
              <w:t xml:space="preserve">, </w:t>
            </w:r>
            <w:r>
              <w:rPr>
                <w:rFonts w:ascii="Consolas" w:hAnsi="Consolas"/>
                <w:color w:val="032F62"/>
                <w:sz w:val="18"/>
              </w:rPr>
              <w:t>ClientSector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DB Migration</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1–5 sectors mandatory at </w:t>
            </w:r>
            <w:r>
              <w:rPr>
                <w:rFonts w:ascii="Consolas" w:hAnsi="Consolas"/>
                <w:color w:val="032F62"/>
                <w:sz w:val="18"/>
              </w:rPr>
              <w:t>QUALIFIED</w:t>
            </w:r>
            <w:r>
              <w:rPr>
                <w:rFonts w:ascii="Calibri" w:hAnsi="Calibri"/>
                <w:color w:val="24292E"/>
                <w:sz w:val="19"/>
              </w:rPr>
              <w:t>/</w:t>
            </w:r>
            <w:r>
              <w:rPr>
                <w:rFonts w:ascii="Consolas" w:hAnsi="Consolas"/>
                <w:color w:val="032F62"/>
                <w:sz w:val="18"/>
              </w:rPr>
              <w:t>PROPOSAL</w:t>
            </w:r>
            <w:r>
              <w:rPr>
                <w:rFonts w:ascii="Calibri" w:hAnsi="Calibri"/>
                <w:color w:val="24292E"/>
                <w:sz w:val="19"/>
              </w:rPr>
              <w:t>; newly added sectors must be active; existing inactive valid; exactly one primary sector through a partial unique index enforcing at most one and transactional application validation enforcing at least one whenever sector assignments exist.</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`DEMO-02`</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Offering Catalog &amp; Workstreams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 6.1</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OfferingCatalog</w:t>
            </w:r>
            <w:r>
              <w:rPr>
                <w:rFonts w:ascii="Calibri" w:hAnsi="Calibri"/>
                <w:color w:val="24292E"/>
                <w:sz w:val="19"/>
              </w:rPr>
              <w:t xml:space="preserve">, </w:t>
            </w:r>
            <w:r>
              <w:rPr>
                <w:rFonts w:ascii="Consolas" w:hAnsi="Consolas"/>
                <w:color w:val="032F62"/>
                <w:sz w:val="18"/>
              </w:rPr>
              <w:t>LeadOffering</w:t>
            </w:r>
            <w:r>
              <w:rPr>
                <w:rFonts w:ascii="Calibri" w:hAnsi="Calibri"/>
                <w:color w:val="24292E"/>
                <w:sz w:val="19"/>
              </w:rPr>
              <w:t xml:space="preserve">, </w:t>
            </w:r>
            <w:r>
              <w:rPr>
                <w:rFonts w:ascii="Consolas" w:hAnsi="Consolas"/>
                <w:color w:val="032F62"/>
                <w:sz w:val="18"/>
              </w:rPr>
              <w:t>ProjectWorkstream</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DEMO-04</w:t>
            </w:r>
            <w:r>
              <w:rPr>
                <w:rFonts w:ascii="Calibri" w:hAnsi="Calibri"/>
                <w:color w:val="24292E"/>
                <w:sz w:val="19"/>
              </w:rPr>
              <w:t xml:space="preserve"> (BU)</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Offering lines create corresponding </w:t>
            </w:r>
            <w:r>
              <w:rPr>
                <w:rFonts w:ascii="Consolas" w:hAnsi="Consolas"/>
                <w:color w:val="032F62"/>
                <w:sz w:val="18"/>
              </w:rPr>
              <w:t>ProjectWorkstream</w:t>
            </w:r>
            <w:r>
              <w:rPr>
                <w:rFonts w:ascii="Calibri" w:hAnsi="Calibri"/>
                <w:color w:val="24292E"/>
                <w:sz w:val="19"/>
              </w:rPr>
              <w:t xml:space="preserve"> on project conversion.</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`DEMO-03`</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Client Management &amp; Contacts</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1.3</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Client</w:t>
            </w:r>
            <w:r>
              <w:rPr>
                <w:rFonts w:ascii="Calibri" w:hAnsi="Calibri"/>
                <w:color w:val="24292E"/>
                <w:sz w:val="19"/>
              </w:rPr>
              <w:t xml:space="preserve">, </w:t>
            </w:r>
            <w:r>
              <w:rPr>
                <w:rFonts w:ascii="Consolas" w:hAnsi="Consolas"/>
                <w:color w:val="032F62"/>
                <w:sz w:val="18"/>
              </w:rPr>
              <w:t>ClientContact</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Base Auth</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Point-in-time contact snapshot; scalar contact fallback for unregistered leads.</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`DEMO-04`</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Business Unit &amp; Principal Routing</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2.1, 2.2</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BusinessUnit</w:t>
            </w:r>
            <w:r>
              <w:rPr>
                <w:rFonts w:ascii="Calibri" w:hAnsi="Calibri"/>
                <w:color w:val="24292E"/>
                <w:sz w:val="19"/>
              </w:rPr>
              <w:t xml:space="preserve">, </w:t>
            </w:r>
            <w:r>
              <w:rPr>
                <w:rFonts w:ascii="Consolas" w:hAnsi="Consolas"/>
                <w:color w:val="032F62"/>
                <w:sz w:val="18"/>
              </w:rPr>
              <w:t>BusinessUnitPrincipal</w:t>
            </w:r>
            <w:r>
              <w:rPr>
                <w:rFonts w:ascii="Calibri" w:hAnsi="Calibri"/>
                <w:color w:val="24292E"/>
                <w:sz w:val="19"/>
              </w:rPr>
              <w:t xml:space="preserve">, </w:t>
            </w:r>
            <w:r>
              <w:rPr>
                <w:rFonts w:ascii="Consolas" w:hAnsi="Consolas"/>
                <w:color w:val="032F62"/>
                <w:sz w:val="18"/>
              </w:rPr>
              <w:t>LeadSupportingBusinessUnit</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Base Users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Single Primary BU; normalized supporting BU junction table; </w:t>
            </w:r>
            <w:r>
              <w:rPr>
                <w:rFonts w:ascii="Consolas" w:hAnsi="Consolas"/>
                <w:color w:val="032F62"/>
                <w:sz w:val="18"/>
              </w:rPr>
              <w:t>MANAGEMENT</w:t>
            </w:r>
            <w:r>
              <w:rPr>
                <w:rFonts w:ascii="Calibri" w:hAnsi="Calibri"/>
                <w:color w:val="24292E"/>
                <w:sz w:val="19"/>
              </w:rPr>
              <w:t xml:space="preserve"> fallback routing.</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`DEMO-05`</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Deal Types, Lineage &amp; NRR</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3.1, 3.2</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LeadType</w:t>
            </w:r>
            <w:r>
              <w:rPr>
                <w:rFonts w:ascii="Calibri" w:hAnsi="Calibri"/>
                <w:color w:val="24292E"/>
                <w:sz w:val="19"/>
              </w:rPr>
              <w:t xml:space="preserve">, </w:t>
            </w:r>
            <w:r>
              <w:rPr>
                <w:rFonts w:ascii="Consolas" w:hAnsi="Consolas"/>
                <w:color w:val="032F62"/>
                <w:sz w:val="18"/>
              </w:rPr>
              <w:t>Lead.parentProjectId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w:t>
            </w:r>
            <w:r>
              <w:rPr>
                <w:rFonts w:ascii="Calibri" w:hAnsi="Calibri"/>
                <w:color w:val="24292E"/>
                <w:sz w:val="19"/>
              </w:rPr>
              <w:t xml:space="preserve"> Master</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Strict Project-only parentage for </w:t>
            </w:r>
            <w:r>
              <w:rPr>
                <w:rFonts w:ascii="Consolas" w:hAnsi="Consolas"/>
                <w:color w:val="032F62"/>
                <w:sz w:val="18"/>
              </w:rPr>
              <w:t>RENEWAL</w:t>
            </w:r>
            <w:r>
              <w:rPr>
                <w:rFonts w:ascii="Calibri" w:hAnsi="Calibri"/>
                <w:color w:val="24292E"/>
                <w:sz w:val="19"/>
              </w:rPr>
              <w:t>/</w:t>
            </w:r>
            <w:r>
              <w:rPr>
                <w:rFonts w:ascii="Consolas" w:hAnsi="Consolas"/>
                <w:color w:val="032F62"/>
                <w:sz w:val="18"/>
              </w:rPr>
              <w:t>UP_SELL</w:t>
            </w:r>
            <w:r>
              <w:rPr>
                <w:rFonts w:ascii="Calibri" w:hAnsi="Calibri"/>
                <w:color w:val="24292E"/>
                <w:sz w:val="19"/>
              </w:rPr>
              <w:t>; cohort ARR retention formula.</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`DEMO-06`</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Sequential Lead Numbering</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3.3, 3.3b</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LeadNumberCounter</w:t>
            </w:r>
            <w:r>
              <w:rPr>
                <w:rFonts w:ascii="Calibri" w:hAnsi="Calibri"/>
                <w:color w:val="24292E"/>
                <w:sz w:val="19"/>
              </w:rPr>
              <w:t xml:space="preserve">, </w:t>
            </w:r>
            <w:r>
              <w:rPr>
                <w:rFonts w:ascii="Consolas" w:hAnsi="Consolas"/>
                <w:color w:val="032F62"/>
                <w:sz w:val="18"/>
              </w:rPr>
              <w:t>allocateNextLeadNumber(tx)</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DB Sequence</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Same-transaction allocation with </w:t>
            </w:r>
            <w:r>
              <w:rPr>
                <w:rFonts w:ascii="Consolas" w:hAnsi="Consolas"/>
                <w:color w:val="032F62"/>
                <w:sz w:val="18"/>
              </w:rPr>
              <w:t>tx.lead.create</w:t>
            </w:r>
            <w:r>
              <w:rPr>
                <w:rFonts w:ascii="Calibri" w:hAnsi="Calibri"/>
                <w:color w:val="24292E"/>
                <w:sz w:val="19"/>
              </w:rPr>
              <w:t>; best-effort reconciliation only for ambiguous commit outcomes.</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`DEMO-07`</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Inbound CRM (Pipedrive) Sync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8.0, 8.0b</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PipedriveProductMapping</w:t>
            </w:r>
            <w:r>
              <w:rPr>
                <w:rFonts w:ascii="Calibri" w:hAnsi="Calibri"/>
                <w:color w:val="24292E"/>
                <w:sz w:val="19"/>
              </w:rPr>
              <w:t>, Webhook handler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Basic Import: </w:t>
            </w:r>
            <w:r>
              <w:rPr>
                <w:rFonts w:ascii="Consolas" w:hAnsi="Consolas"/>
                <w:color w:val="032F62"/>
                <w:sz w:val="18"/>
              </w:rPr>
              <w:t>IMPLEMENTED</w:t>
            </w:r>
            <w:r>
              <w:rPr>
                <w:rFonts w:ascii="Calibri" w:hAnsi="Calibri"/>
                <w:color w:val="24292E"/>
                <w:sz w:val="19"/>
              </w:rPr>
              <w:t xml:space="preserve">&lt;br&gt;• Converted Lock: </w:t>
            </w:r>
            <w:r>
              <w:rPr>
                <w:rFonts w:ascii="Consolas" w:hAnsi="Consolas"/>
                <w:color w:val="032F62"/>
                <w:sz w:val="18"/>
              </w:rPr>
              <w:t>IMPLEMENTED</w:t>
            </w:r>
            <w:r>
              <w:rPr>
                <w:rFonts w:ascii="Calibri" w:hAnsi="Calibri"/>
                <w:color w:val="24292E"/>
                <w:sz w:val="19"/>
              </w:rPr>
              <w:t xml:space="preserve">&lt;br&gt;• Product Mapping: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DEMO-02</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Single-instance connection key; quarantine review for unmapped products; converted leads locked from CRM overwrite.</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`DEMO-08`</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Sales Stage &amp; Probability Policy</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5.1, 5.2</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LeadStage</w:t>
            </w:r>
            <w:r>
              <w:rPr>
                <w:rFonts w:ascii="Calibri" w:hAnsi="Calibri"/>
                <w:color w:val="24292E"/>
                <w:sz w:val="19"/>
              </w:rPr>
              <w:t xml:space="preserve">, </w:t>
            </w:r>
            <w:r>
              <w:rPr>
                <w:rFonts w:ascii="Consolas" w:hAnsi="Consolas"/>
                <w:color w:val="032F62"/>
                <w:sz w:val="18"/>
              </w:rPr>
              <w:t>Lead.probability</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Base Stages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6 canonical stages; automated default win probability; audited manual overrides with reason.</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`DEMO-09`</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Presales Workspace &amp; CAC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4.1, 4.2, 4.3</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ProjectKind.PRESALES</w:t>
            </w:r>
            <w:r>
              <w:rPr>
                <w:rFonts w:ascii="Calibri" w:hAnsi="Calibri"/>
                <w:color w:val="24292E"/>
                <w:sz w:val="19"/>
              </w:rPr>
              <w:t>, Timesheet CAC ledger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DEMO-04</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Strictly opt-in at </w:t>
            </w:r>
            <w:r>
              <w:rPr>
                <w:rFonts w:ascii="Consolas" w:hAnsi="Consolas"/>
                <w:color w:val="032F62"/>
                <w:sz w:val="18"/>
              </w:rPr>
              <w:t>QUALIFIED</w:t>
            </w:r>
            <w:r>
              <w:rPr>
                <w:rFonts w:ascii="Calibri" w:hAnsi="Calibri"/>
                <w:color w:val="24292E"/>
                <w:sz w:val="19"/>
              </w:rPr>
              <w:t>; presales hours isolated from delivery EVM/BAC.</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`DEMO-10`</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Margin Governance &amp; Finance SoD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6.2, 6.3</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CommercialBudgetRevision</w:t>
            </w:r>
            <w:r>
              <w:rPr>
                <w:rFonts w:ascii="Calibri" w:hAnsi="Calibri"/>
                <w:color w:val="24292E"/>
                <w:sz w:val="19"/>
              </w:rPr>
              <w:t xml:space="preserve">, </w:t>
            </w:r>
            <w:r>
              <w:rPr>
                <w:rFonts w:ascii="Consolas" w:hAnsi="Consolas"/>
                <w:color w:val="032F62"/>
                <w:sz w:val="18"/>
              </w:rPr>
              <w:t>calculateMargin()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DEMO-02</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Configurable VAT snapshot (</w:t>
            </w:r>
            <w:r>
              <w:rPr>
                <w:rFonts w:ascii="Consolas" w:hAnsi="Consolas"/>
                <w:color w:val="032F62"/>
                <w:sz w:val="18"/>
              </w:rPr>
              <w:t>Decimal(5, 2)</w:t>
            </w:r>
            <w:r>
              <w:rPr>
                <w:rFonts w:ascii="Calibri" w:hAnsi="Calibri"/>
                <w:color w:val="24292E"/>
                <w:sz w:val="19"/>
              </w:rPr>
              <w:t>); Separation of Duties (owner cannot approve); dual Management escalation for $&lt;20\%$.</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Project Baseline Auto-Sync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7.0</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ProjectBaseline</w:t>
            </w:r>
            <w:r>
              <w:rPr>
                <w:rFonts w:ascii="Calibri" w:hAnsi="Calibri"/>
                <w:color w:val="24292E"/>
                <w:sz w:val="19"/>
              </w:rPr>
              <w:t xml:space="preserve"> (</w:t>
            </w:r>
            <w:r>
              <w:rPr>
                <w:rFonts w:ascii="Consolas" w:hAnsi="Consolas"/>
                <w:color w:val="032F62"/>
                <w:sz w:val="18"/>
              </w:rPr>
              <w:t>source: ACTIVATION / CHANGE_REQUEST</w:t>
            </w:r>
            <w:r>
              <w:rPr>
                <w:rFonts w:ascii="Calibri" w:hAnsi="Calibri"/>
                <w:color w:val="24292E"/>
                <w:sz w:val="19"/>
              </w:rPr>
              <w:t>)</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Core Model: </w:t>
            </w:r>
            <w:r>
              <w:rPr>
                <w:rFonts w:ascii="Consolas" w:hAnsi="Consolas"/>
                <w:color w:val="032F62"/>
                <w:sz w:val="18"/>
              </w:rPr>
              <w:t>EXISTING</w:t>
            </w:r>
            <w:r>
              <w:rPr>
                <w:rFonts w:ascii="Calibri" w:hAnsi="Calibri"/>
                <w:color w:val="24292E"/>
                <w:sz w:val="19"/>
              </w:rPr>
              <w:t xml:space="preserve">&lt;br&gt;• Activation Flow: </w:t>
            </w:r>
            <w:r>
              <w:rPr>
                <w:rFonts w:ascii="Consolas" w:hAnsi="Consolas"/>
                <w:color w:val="032F62"/>
                <w:sz w:val="18"/>
              </w:rPr>
              <w:t>EXISTING/PARTIAL</w:t>
            </w:r>
            <w:r>
              <w:rPr>
                <w:rFonts w:ascii="Calibri" w:hAnsi="Calibri"/>
                <w:color w:val="24292E"/>
                <w:sz w:val="19"/>
              </w:rPr>
              <w:t xml:space="preserve">&lt;br&gt;• Commercial Auto-Sync: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DEMO-10</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Partial unique index enforces at most one current baseline; atomic lifecycle validation and reconciliation ensure at least one for active delivery projects.</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`DEMO-12 (P1)`</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Project Client Attribution Hard Lock</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 9.0</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PATCH /api/projects/:id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Live API</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Project.clientId</w:t>
            </w:r>
            <w:r>
              <w:rPr>
                <w:rFonts w:ascii="Calibri" w:hAnsi="Calibri"/>
                <w:color w:val="24292E"/>
                <w:sz w:val="19"/>
              </w:rPr>
              <w:t xml:space="preserve"> locked for all roles; returns </w:t>
            </w:r>
            <w:r>
              <w:rPr>
                <w:rFonts w:ascii="Consolas" w:hAnsi="Consolas"/>
                <w:color w:val="032F62"/>
                <w:sz w:val="18"/>
              </w:rPr>
              <w:t>CLIENT_ATTRIBUTION_LOCKED</w:t>
            </w:r>
            <w:r>
              <w:rPr>
                <w:rFonts w:ascii="Calibri" w:hAnsi="Calibri"/>
                <w:color w:val="24292E"/>
                <w:sz w:val="19"/>
              </w:rPr>
              <w:t xml:space="preserve"> (</w:t>
            </w:r>
            <w:r>
              <w:rPr>
                <w:rFonts w:ascii="Consolas" w:hAnsi="Consolas"/>
                <w:color w:val="032F62"/>
                <w:sz w:val="18"/>
              </w:rPr>
              <w:t>409</w:t>
            </w:r>
            <w:r>
              <w:rPr>
                <w:rFonts w:ascii="Calibri" w:hAnsi="Calibri"/>
                <w:color w:val="24292E"/>
                <w:sz w:val="19"/>
              </w:rPr>
              <w:t>); read-only UI.</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`DEMO-12 (P2)`</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Client Attribution Dual Approval</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9.0b</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ClientAttributionCorrection</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DEMO-12 (P1)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Dual independent sign-off from </w:t>
            </w:r>
            <w:r>
              <w:rPr>
                <w:rFonts w:ascii="Consolas" w:hAnsi="Consolas"/>
                <w:color w:val="032F62"/>
                <w:sz w:val="18"/>
              </w:rPr>
              <w:t>MANAGEMENT</w:t>
            </w:r>
            <w:r>
              <w:rPr>
                <w:rFonts w:ascii="Calibri" w:hAnsi="Calibri"/>
                <w:color w:val="24292E"/>
                <w:sz w:val="19"/>
              </w:rPr>
              <w:t xml:space="preserve"> and </w:t>
            </w:r>
            <w:r>
              <w:rPr>
                <w:rFonts w:ascii="Consolas" w:hAnsi="Consolas"/>
                <w:color w:val="032F62"/>
                <w:sz w:val="18"/>
              </w:rPr>
              <w:t>FINANCE</w:t>
            </w:r>
            <w:r>
              <w:rPr>
                <w:rFonts w:ascii="Calibri" w:hAnsi="Calibri"/>
                <w:color w:val="24292E"/>
                <w:sz w:val="19"/>
              </w:rPr>
              <w:t>; strictly blocked if invoice paid (requires Novation).</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`DEMO-13`</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Revenue Recognition Dual-Timeline</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13.1 to 13.7</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RevenueRecognitionSchedule</w:t>
            </w:r>
            <w:r>
              <w:rPr>
                <w:rFonts w:ascii="Calibri" w:hAnsi="Calibri"/>
                <w:color w:val="24292E"/>
                <w:sz w:val="19"/>
              </w:rPr>
              <w:t xml:space="preserve">, </w:t>
            </w:r>
            <w:r>
              <w:rPr>
                <w:rFonts w:ascii="Consolas" w:hAnsi="Consolas"/>
                <w:color w:val="032F62"/>
                <w:sz w:val="18"/>
              </w:rPr>
              <w:t>RevenueRecognitionEvidence</w:t>
            </w:r>
            <w:r>
              <w:rPr>
                <w:rFonts w:ascii="Calibri" w:hAnsi="Calibri"/>
                <w:color w:val="24292E"/>
                <w:sz w:val="19"/>
              </w:rPr>
              <w:t xml:space="preserve">, </w:t>
            </w:r>
            <w:r>
              <w:rPr>
                <w:rFonts w:ascii="Consolas" w:hAnsi="Consolas"/>
                <w:color w:val="032F62"/>
                <w:sz w:val="18"/>
              </w:rPr>
              <w:t>RevenueRecognitionEntry</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DEMO-02</w:t>
            </w:r>
            <w:r>
              <w:rPr>
                <w:rFonts w:ascii="Calibri" w:hAnsi="Calibri"/>
                <w:color w:val="24292E"/>
                <w:sz w:val="19"/>
              </w:rPr>
              <w:t xml:space="preserve">, </w:t>
            </w:r>
            <w:r>
              <w:rPr>
                <w:rFonts w:ascii="Consolas" w:hAnsi="Consolas"/>
                <w:color w:val="032F62"/>
                <w:sz w:val="18"/>
              </w:rPr>
              <w:t>DEMO-10</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Decoupled RevRec ledger; performance obligation triggers; Finance baseline lock; PM evidence upload; immutable reversal-based entries; reviewed Xero CSV export.</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`DEMO-14`</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Project Activation Data Integrity Gate</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14.1 to 14.7</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lib/projectValidators.ts</w:t>
            </w:r>
            <w:r>
              <w:rPr>
                <w:rFonts w:ascii="Calibri" w:hAnsi="Calibri"/>
                <w:color w:val="24292E"/>
                <w:sz w:val="19"/>
              </w:rPr>
              <w:t xml:space="preserve">, </w:t>
            </w:r>
            <w:r>
              <w:rPr>
                <w:rFonts w:ascii="Consolas" w:hAnsi="Consolas"/>
                <w:color w:val="032F62"/>
                <w:sz w:val="18"/>
              </w:rPr>
              <w:t>Project.businessUnitId</w:t>
            </w:r>
            <w:r>
              <w:rPr>
                <w:rFonts w:ascii="Calibri" w:hAnsi="Calibri"/>
                <w:color w:val="24292E"/>
                <w:sz w:val="19"/>
              </w:rPr>
              <w:t xml:space="preserve">, </w:t>
            </w:r>
            <w:r>
              <w:rPr>
                <w:rFonts w:ascii="Consolas" w:hAnsi="Consolas"/>
                <w:color w:val="032F62"/>
                <w:sz w:val="18"/>
              </w:rPr>
              <w:t>ProjectBaseline</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Basic Gate: </w:t>
            </w:r>
            <w:r>
              <w:rPr>
                <w:rFonts w:ascii="Consolas" w:hAnsi="Consolas"/>
                <w:color w:val="032F62"/>
                <w:sz w:val="18"/>
              </w:rPr>
              <w:t>EXISTING</w:t>
            </w:r>
            <w:r>
              <w:rPr>
                <w:rFonts w:ascii="Calibri" w:hAnsi="Calibri"/>
                <w:color w:val="24292E"/>
                <w:sz w:val="19"/>
              </w:rPr>
              <w:t xml:space="preserve">&lt;br&gt;• Kind Matrix &amp; T&amp;M Rate Check: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DEMO-02</w:t>
            </w:r>
            <w:r>
              <w:rPr>
                <w:rFonts w:ascii="Calibri" w:hAnsi="Calibri"/>
                <w:color w:val="24292E"/>
                <w:sz w:val="19"/>
              </w:rPr>
              <w:t xml:space="preserve">, </w:t>
            </w:r>
            <w:r>
              <w:rPr>
                <w:rFonts w:ascii="Consolas" w:hAnsi="Consolas"/>
                <w:color w:val="032F62"/>
                <w:sz w:val="18"/>
              </w:rPr>
              <w:t>DEMO-10</w:t>
            </w:r>
            <w:r>
              <w:rPr>
                <w:rFonts w:ascii="Calibri" w:hAnsi="Calibri"/>
                <w:color w:val="24292E"/>
                <w:sz w:val="19"/>
              </w:rPr>
              <w:t xml:space="preserve">, </w:t>
            </w:r>
            <w:r>
              <w:rPr>
                <w:rFonts w:ascii="Consolas" w:hAnsi="Consolas"/>
                <w:color w:val="032F62"/>
                <w:sz w:val="18"/>
              </w:rPr>
              <w:t>DEMO-11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Shared readiness evaluator; effective-state validation; approved commercial snapshot (no negative expenses); explicit ProjectKind matrix; atomic activation transaction with baseline initialization.</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4. Go/No-Go Compliance Matrix</w:t>
      </w:r>
    </w:p>
    <w:p>
      <w:pPr>
        <w:keepNext/>
        <w:spacing w:before="200" w:after="80"/>
      </w:pPr>
      <w:r>
        <w:rPr>
          <w:rFonts w:ascii="Calibri" w:hAnsi="Calibri"/>
          <w:b/>
          <w:color w:val="1F4E79"/>
          <w:sz w:val="26"/>
        </w:rPr>
        <w:t>🛑 14 NO-GO Pitfalls Evaluation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spacing w:before="40" w:after="40"/>
            </w:pPr>
            <w:r>
              <w:rPr>
                <w:rFonts w:ascii="Calibri" w:hAnsi="Calibri"/>
                <w:b/>
                <w:color w:val="FFFFFF"/>
                <w:sz w:val="20"/>
              </w:rPr>
              <w: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NO-GO Condition (Author Threat)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Decision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Design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Target Safeguard &amp; Codebase Reality</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Auto-spawn makes CLIENT OBSERVATION for every Lead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Opt-in restricted PRESALES workspace; zero auto-spawning on lead creation.</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Lead ID preview treated as reserved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UI badge is non-authoritative; sequence allocated atomically on DB commit.</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Lineage / contact validated in UI only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Multi-tenant isolation and same-client validation enforced server-side.</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Approval is only a timestamp on mutable Lead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Immutable </w:t>
            </w:r>
            <w:r>
              <w:rPr>
                <w:rFonts w:ascii="Consolas" w:hAnsi="Consolas"/>
                <w:color w:val="032F62"/>
                <w:sz w:val="18"/>
              </w:rPr>
              <w:t>CommercialBudgetRevision</w:t>
            </w:r>
            <w:r>
              <w:rPr>
                <w:rFonts w:ascii="Calibri" w:hAnsi="Calibri"/>
                <w:color w:val="24292E"/>
                <w:sz w:val="19"/>
              </w:rPr>
              <w:t xml:space="preserve"> hash binding; edits create new revisions.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5</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Manual and Pipedrive margins calculate differently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Unified </w:t>
            </w:r>
            <w:r>
              <w:rPr>
                <w:rFonts w:ascii="Consolas" w:hAnsi="Consolas"/>
                <w:color w:val="032F62"/>
                <w:sz w:val="18"/>
              </w:rPr>
              <w:t>calculateMargin()</w:t>
            </w:r>
            <w:r>
              <w:rPr>
                <w:rFonts w:ascii="Calibri" w:hAnsi="Calibri"/>
                <w:color w:val="24292E"/>
                <w:sz w:val="19"/>
              </w:rPr>
              <w:t xml:space="preserve"> engine shared across manual and CRM deals.</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6</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approve-margin auto-creates delivery Project</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Approval only unlocks sales stages; delivery project created strictly on </w:t>
            </w:r>
            <w:r>
              <w:rPr>
                <w:rFonts w:ascii="Consolas" w:hAnsi="Consolas"/>
                <w:color w:val="032F62"/>
                <w:sz w:val="18"/>
              </w:rPr>
              <w:t>WON</w:t>
            </w:r>
            <w:r>
              <w:rPr>
                <w:rFonts w:ascii="Calibri" w:hAnsi="Calibri"/>
                <w:color w:val="24292E"/>
                <w:sz w:val="19"/>
              </w:rPr>
              <w:t>.</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7</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New baseline engine outside ProjectBaseline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Reuses and extends existing </w:t>
            </w:r>
            <w:r>
              <w:rPr>
                <w:rFonts w:ascii="Consolas" w:hAnsi="Consolas"/>
                <w:color w:val="032F62"/>
                <w:sz w:val="18"/>
              </w:rPr>
              <w:t>ProjectBaseline</w:t>
            </w:r>
            <w:r>
              <w:rPr>
                <w:rFonts w:ascii="Calibri" w:hAnsi="Calibri"/>
                <w:color w:val="24292E"/>
                <w:sz w:val="19"/>
              </w:rPr>
              <w:t xml:space="preserve"> (</w:t>
            </w:r>
            <w:r>
              <w:rPr>
                <w:rFonts w:ascii="Consolas" w:hAnsi="Consolas"/>
                <w:color w:val="032F62"/>
                <w:sz w:val="18"/>
              </w:rPr>
              <w:t>source: ACTIVATION / CHANGE_REQUEST</w:t>
            </w:r>
            <w:r>
              <w:rPr>
                <w:rFonts w:ascii="Calibri" w:hAnsi="Calibri"/>
                <w:color w:val="24292E"/>
                <w:sz w:val="19"/>
              </w:rPr>
              <w:t>).</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8</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Client.name permanently frozen</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 /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IMPLEMENTED</w:t>
            </w:r>
            <w:r>
              <w:rPr>
                <w:rFonts w:ascii="Calibri" w:hAnsi="Calibri"/>
                <w:color w:val="24292E"/>
                <w:sz w:val="19"/>
              </w:rPr>
              <w:t xml:space="preserve"> (Phase 1)</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TESTED</w:t>
            </w:r>
            <w:r>
              <w:rPr>
                <w:rFonts w:ascii="Calibri" w:hAnsi="Calibri"/>
                <w:color w:val="24292E"/>
                <w:sz w:val="19"/>
              </w:rPr>
              <w:t xml:space="preserve"> (Phase 1)</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Locks </w:t>
            </w:r>
            <w:r>
              <w:rPr>
                <w:rFonts w:ascii="Consolas" w:hAnsi="Consolas"/>
                <w:color w:val="032F62"/>
                <w:sz w:val="18"/>
              </w:rPr>
              <w:t>Project.clientId</w:t>
            </w:r>
            <w:r>
              <w:rPr>
                <w:rFonts w:ascii="Calibri" w:hAnsi="Calibri"/>
                <w:color w:val="24292E"/>
                <w:sz w:val="19"/>
              </w:rPr>
              <w:t xml:space="preserve"> (</w:t>
            </w:r>
            <w:r>
              <w:rPr>
                <w:rFonts w:ascii="Consolas" w:hAnsi="Consolas"/>
                <w:color w:val="032F62"/>
                <w:sz w:val="18"/>
              </w:rPr>
              <w:t>CLIENT_ATTRIBUTION_LOCKED</w:t>
            </w:r>
            <w:r>
              <w:rPr>
                <w:rFonts w:ascii="Calibri" w:hAnsi="Calibri"/>
                <w:color w:val="24292E"/>
                <w:sz w:val="19"/>
              </w:rPr>
              <w:t xml:space="preserve">) while keeping </w:t>
            </w:r>
            <w:r>
              <w:rPr>
                <w:rFonts w:ascii="Consolas" w:hAnsi="Consolas"/>
                <w:color w:val="032F62"/>
                <w:sz w:val="18"/>
              </w:rPr>
              <w:t>Client.name</w:t>
            </w:r>
            <w:r>
              <w:rPr>
                <w:rFonts w:ascii="Calibri" w:hAnsi="Calibri"/>
                <w:color w:val="24292E"/>
                <w:sz w:val="19"/>
              </w:rPr>
              <w:t xml:space="preserve"> editable.</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9</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New fields mandatory before imports are ready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Optional at </w:t>
            </w:r>
            <w:r>
              <w:rPr>
                <w:rFonts w:ascii="Consolas" w:hAnsi="Consolas"/>
                <w:color w:val="032F62"/>
                <w:sz w:val="18"/>
              </w:rPr>
              <w:t>NEW</w:t>
            </w:r>
            <w:r>
              <w:rPr>
                <w:rFonts w:ascii="Calibri" w:hAnsi="Calibri"/>
                <w:color w:val="24292E"/>
                <w:sz w:val="19"/>
              </w:rPr>
              <w:t xml:space="preserve"> stage; mandatory validation enforced at </w:t>
            </w:r>
            <w:r>
              <w:rPr>
                <w:rFonts w:ascii="Consolas" w:hAnsi="Consolas"/>
                <w:color w:val="032F62"/>
                <w:sz w:val="18"/>
              </w:rPr>
              <w:t>QUALIFIED</w:t>
            </w:r>
            <w:r>
              <w:rPr>
                <w:rFonts w:ascii="Calibri" w:hAnsi="Calibri"/>
                <w:color w:val="24292E"/>
                <w:sz w:val="19"/>
              </w:rPr>
              <w:t>/</w:t>
            </w:r>
            <w:r>
              <w:rPr>
                <w:rFonts w:ascii="Consolas" w:hAnsi="Consolas"/>
                <w:color w:val="032F62"/>
                <w:sz w:val="18"/>
              </w:rPr>
              <w:t>PROPOSAL</w:t>
            </w:r>
            <w:r>
              <w:rPr>
                <w:rFonts w:ascii="Calibri" w:hAnsi="Calibri"/>
                <w:color w:val="24292E"/>
                <w:sz w:val="19"/>
              </w:rPr>
              <w:t>.</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10</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New Float fields without precision policy</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Strict </w:t>
            </w:r>
            <w:r>
              <w:rPr>
                <w:rFonts w:ascii="Consolas" w:hAnsi="Consolas"/>
                <w:color w:val="032F62"/>
                <w:sz w:val="18"/>
              </w:rPr>
              <w:t>Decimal</w:t>
            </w:r>
            <w:r>
              <w:rPr>
                <w:rFonts w:ascii="Calibri" w:hAnsi="Calibri"/>
                <w:color w:val="24292E"/>
                <w:sz w:val="19"/>
              </w:rPr>
              <w:t xml:space="preserve"> precision policy and explicit rounding rules.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Invoice payment automatically recognized as revenue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RevRec decoupled from BillingMilestone; payment creates contract liability, recognition mandates fulfilled performance obligations.</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In-place mutation or deletion of recognized revenue entries</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RevenueRecognitionEntry is strictly immutable; corrections mandate linked reversal and replacement records.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Creating a disconnected ProjectContractLine table instead of using approved commercial snapshot</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Contract lines snapshot directly from approved CommercialBudgetRevision upon Won conversion; negative expense masking strictly rejected.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Activation evaluator checks DB state only or request body only</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Evaluator validates merged effective state so single-request PATCH can supply missing data and activate atomically.</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 11 GO Prerequisites Evaluation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spacing w:before="40" w:after="40"/>
            </w:pPr>
            <w:r>
              <w:rPr>
                <w:rFonts w:ascii="Calibri" w:hAnsi="Calibri"/>
                <w:b/>
                <w:color w:val="FFFFFF"/>
                <w:sz w:val="20"/>
              </w:rPr>
              <w: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GO Prerequisite (Author Requirement)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Decision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Design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Target Verification Scope</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Domain decisions and role/security matrix 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Complete role matrix and Separation of Duties (SoD)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Canonical models and immutable revision strategy accepted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 xml:space="preserve">Normalized models and versioned </w:t>
            </w:r>
            <w:r>
              <w:rPr>
                <w:rFonts w:ascii="Consolas" w:hAnsi="Consolas"/>
                <w:color w:val="032F62"/>
                <w:sz w:val="18"/>
              </w:rPr>
              <w:t>CommercialBudgetRevision</w:t>
            </w:r>
            <w:r>
              <w:rPr>
                <w:rFonts w:ascii="Calibri" w:hAnsi="Calibri"/>
                <w:color w:val="24292E"/>
                <w:sz w:val="19"/>
              </w:rPr>
              <w:t xml:space="preserve">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Client/contact/lineage/BU constraints enforced server-side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Server-side validation middleware and Prisma transaction constraints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PRESALES workspace isolated and idempotent</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Presales CAC isolated from delivery EVM, BAC, and billing milestones.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5</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Pipedrive/CSV mappings have quarantine path</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UNCLASSIFIED</w:t>
            </w:r>
            <w:r>
              <w:rPr>
                <w:rFonts w:ascii="Calibri" w:hAnsi="Calibri"/>
                <w:color w:val="24292E"/>
                <w:sz w:val="19"/>
              </w:rPr>
              <w:t xml:space="preserve"> sector and </w:t>
            </w:r>
            <w:r>
              <w:rPr>
                <w:rFonts w:ascii="Consolas" w:hAnsi="Consolas"/>
                <w:color w:val="032F62"/>
                <w:sz w:val="18"/>
              </w:rPr>
              <w:t>UNVERIFIED</w:t>
            </w:r>
            <w:r>
              <w:rPr>
                <w:rFonts w:ascii="Calibri" w:hAnsi="Calibri"/>
                <w:color w:val="24292E"/>
                <w:sz w:val="19"/>
              </w:rPr>
              <w:t xml:space="preserve"> margin quarantine workflows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6</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Approval/conversion/baseline lifecycle atomic</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Atomic conversion transaction and baseline auto-sync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7</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Project.clientId lock and correction workflow tested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SATISFIED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Phase 1 Lock: </w:t>
            </w:r>
            <w:r>
              <w:rPr>
                <w:rFonts w:ascii="Consolas" w:hAnsi="Consolas"/>
                <w:color w:val="032F62"/>
                <w:sz w:val="18"/>
              </w:rPr>
              <w:t>IMPLEMENTED</w:t>
            </w:r>
            <w:r>
              <w:rPr>
                <w:rFonts w:ascii="Calibri" w:hAnsi="Calibri"/>
                <w:color w:val="24292E"/>
                <w:sz w:val="19"/>
              </w:rPr>
              <w:t xml:space="preserve">&lt;br&gt;• Phase 2 Workflow: </w:t>
            </w: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TESTED</w:t>
            </w:r>
            <w:r>
              <w:rPr>
                <w:rFonts w:ascii="Calibri" w:hAnsi="Calibri"/>
                <w:color w:val="24292E"/>
                <w:sz w:val="19"/>
              </w:rPr>
              <w:t xml:space="preserve">&lt;br&gt;• Phase 1 Lock: </w:t>
            </w:r>
            <w:r>
              <w:rPr>
                <w:rFonts w:ascii="Consolas" w:hAnsi="Consolas"/>
                <w:color w:val="032F62"/>
                <w:sz w:val="18"/>
              </w:rPr>
              <w:t>TESTED</w:t>
            </w:r>
            <w:r>
              <w:rPr>
                <w:rFonts w:ascii="Calibri" w:hAnsi="Calibri"/>
                <w:color w:val="24292E"/>
                <w:sz w:val="19"/>
              </w:rPr>
              <w:t xml:space="preserve">&lt;br&gt;• Phase 2 Workflow: </w:t>
            </w: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Hard lock (</w:t>
            </w:r>
            <w:r>
              <w:rPr>
                <w:rFonts w:ascii="Consolas" w:hAnsi="Consolas"/>
                <w:color w:val="032F62"/>
                <w:sz w:val="18"/>
              </w:rPr>
              <w:t>CLIENT_ATTRIBUTION_LOCKED</w:t>
            </w:r>
            <w:r>
              <w:rPr>
                <w:rFonts w:ascii="Calibri" w:hAnsi="Calibri"/>
                <w:color w:val="24292E"/>
                <w:sz w:val="19"/>
              </w:rPr>
              <w:t xml:space="preserve">) verified live in </w:t>
            </w:r>
            <w:r>
              <w:rPr>
                <w:rFonts w:ascii="Consolas" w:hAnsi="Consolas"/>
                <w:color w:val="032F62"/>
                <w:sz w:val="18"/>
              </w:rPr>
              <w:t>c7080af</w:t>
            </w:r>
            <w:r>
              <w:rPr>
                <w:rFonts w:ascii="Calibri" w:hAnsi="Calibri"/>
                <w:color w:val="24292E"/>
                <w:sz w:val="19"/>
              </w:rPr>
              <w:t>; Phase 2 dual-approval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8</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Legacy compatibility and invoice regressions verified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6-month dual-write compatibility window and invoice protection rules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9</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Revenue recognition schedule decoupled with immutable reversal-based ledger entries</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Target data model with RevenueRecognitionSchedule, Evidence, and Entry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10</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Shared readiness evaluator enforcing effective state and ProjectKind matrix across API and UI</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Single shared evaluator contract and backward-compatible structured checklist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Controlled legacy migration with explicit inferred labeling and idempotency locks</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Backfill tagging, reconciliation rules, cutover lock, and reviewed Xero CSV export specified.</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5. Implementation Readiness &amp; Sign-Off Governance</w:t>
      </w:r>
    </w:p>
    <w:tbl>
      <w:tblPr>
        <w:tblW w:type="auto" w:w="0"/>
        <w:jc w:val="center"/>
        <w:tblLook w:firstColumn="1" w:firstRow="1" w:lastColumn="0" w:lastRow="0" w:noHBand="0" w:noVBand="1" w:val="04A0"/>
      </w:tblPr>
      <w:tblGrid>
        <w:gridCol w:w="9360"/>
      </w:tblGrid>
      <w:tr>
        <w:tc>
          <w:tcPr>
            <w:tcW w:type="dxa" w:w="9360"/>
            <w:shd w:fill="FFF8F0"/>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D97706"/>
                <w:sz w:val="21"/>
              </w:rPr>
              <w:t xml:space="preserve">[IMPORTANT] </w:t>
            </w:r>
            <w:r>
              <w:rPr>
                <w:rFonts w:ascii="Calibri" w:hAnsi="Calibri"/>
                <w:b/>
                <w:color w:val="24292E"/>
                <w:sz w:val="21"/>
              </w:rPr>
              <w:t>Governance Definition for Baseline v1.01</w:t>
            </w:r>
            <w:r>
              <w:rPr>
                <w:rFonts w:ascii="Calibri" w:hAnsi="Calibri"/>
                <w:color w:val="24292E"/>
                <w:sz w:val="21"/>
              </w:rPr>
              <w:t xml:space="preserve">: </w:t>
            </w:r>
            <w:r>
              <w:rPr>
                <w:rFonts w:ascii="Calibri" w:hAnsi="Calibri"/>
                <w:b/>
                <w:color w:val="24292E"/>
                <w:sz w:val="21"/>
              </w:rPr>
              <w:t>`v1.01 represents the formally approved decision and target-design baseline across all 14 FSDs (DEMO-01 through DEMO-14). Implementation and test validation remain separately tracked delivery gates and must not be inferred from document approval.`</w:t>
            </w:r>
            <w:r>
              <w:rPr>
                <w:rFonts w:ascii="Calibri" w:hAnsi="Calibri"/>
                <w:color w:val="24292E"/>
                <w:sz w:val="21"/>
              </w:rPr>
              <w:t xml:space="preserve">  With all 30 clarification items across 12 categories resolved with approved decisions, complete narrative rationales, edge-case ambiguity resolutions, illustrative technical reference specifications, accurate </w:t>
            </w:r>
            <w:r>
              <w:rPr>
                <w:rFonts w:ascii="Consolas" w:hAnsi="Consolas"/>
                <w:color w:val="032F62"/>
                <w:sz w:val="20"/>
              </w:rPr>
              <w:t>c7080af</w:t>
            </w:r>
            <w:r>
              <w:rPr>
                <w:rFonts w:ascii="Calibri" w:hAnsi="Calibri"/>
                <w:color w:val="24292E"/>
                <w:sz w:val="21"/>
              </w:rPr>
              <w:t xml:space="preserve"> source baseline model, non-destructive target extensions with PostgreSQL partial unique index, preserved idempotent retry ordering, PSAK 115 revenue recognition decoupling with reversal-based ledger audit, effective-state activation gating, and the comprehensive 14-FSD Traceability Matrix (DEMO-01 to DEMO-14), this document is formally sealed as the </w:t>
            </w:r>
            <w:r>
              <w:rPr>
                <w:rFonts w:ascii="Calibri" w:hAnsi="Calibri"/>
                <w:b/>
                <w:color w:val="24292E"/>
                <w:sz w:val="21"/>
              </w:rPr>
              <w:t>Approved 14-FSD Decision Baseline (v1.01)</w:t>
            </w:r>
            <w:r>
              <w:rPr>
                <w:rFonts w:ascii="Calibri" w:hAnsi="Calibri"/>
                <w:color w:val="24292E"/>
                <w:sz w:val="21"/>
              </w:rPr>
              <w:t>.</w:t>
            </w:r>
          </w:p>
        </w:tc>
      </w:tr>
    </w:tbl>
    <w:p>
      <w:pPr>
        <w:spacing w:before="0"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A737D"/>
        <w:sz w:val="18"/>
      </w:rPr>
      <w:t xml:space="preserve">SecureProfit Hub System Documentation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