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991B1B"/>
          <w:sz w:val="22"/>
        </w:rPr>
        <w:t>SECUREPROFIT HUB</w:t>
      </w:r>
    </w:p>
    <w:p>
      <w:pPr>
        <w:jc w:val="center"/>
      </w:pPr>
      <w:r>
        <w:rPr>
          <w:b/>
          <w:color w:val="242E3E"/>
          <w:sz w:val="48"/>
        </w:rPr>
        <w:t>14 DEMO — Detail Request Perubahan</w:t>
      </w:r>
    </w:p>
    <w:p>
      <w:pPr>
        <w:jc w:val="center"/>
      </w:pPr>
      <w:r>
        <w:rPr>
          <w:color w:val="5A5A5A"/>
          <w:sz w:val="24"/>
        </w:rPr>
        <w:t>DEMO-01 sampai DEMO-14</w:t>
      </w:r>
    </w:p>
    <w:p>
      <w:r>
        <w:br w:type="page"/>
      </w:r>
    </w:p>
    <w:p>
      <w:pPr>
        <w:pStyle w:val="Heading1"/>
      </w:pPr>
      <w:r>
        <w:t>DEMO-01 — Multi-Industry Selector</w:t>
      </w:r>
    </w:p>
    <w:p>
      <w:pPr>
        <w:pStyle w:val="ListBullet"/>
        <w:spacing w:after="60"/>
      </w:pPr>
      <w:r>
        <w:t>Ganti industry dropdown menjadi searchable multi-select berbentuk chip.</w:t>
      </w:r>
    </w:p>
    <w:p>
      <w:pPr>
        <w:pStyle w:val="ListBullet"/>
        <w:spacing w:after="60"/>
      </w:pPr>
      <w:r>
        <w:t>Wajibkan tepat satu sektor sebagai primary sector.</w:t>
      </w:r>
    </w:p>
    <w:p>
      <w:pPr>
        <w:pStyle w:val="ListBullet"/>
        <w:spacing w:after="60"/>
      </w:pPr>
      <w:r>
        <w:t>Batasi pengelolaan katalog sektor kepada SITE_ADMIN dan MANAGEMENT.</w:t>
      </w:r>
    </w:p>
    <w:p>
      <w:pPr>
        <w:pStyle w:val="ListBullet"/>
        <w:spacing w:after="60"/>
      </w:pPr>
      <w:r>
        <w:t>Gunakan IndustrySector dengan parentSectorId dan isActive; go-live tetap menggunakan daftar flat.</w:t>
      </w:r>
    </w:p>
    <w:p>
      <w:pPr>
        <w:pStyle w:val="ListBullet"/>
        <w:spacing w:after="60"/>
      </w:pPr>
      <w:r>
        <w:t>Gunakan relasi LeadSector dengan isPrimary dan otherDetail; jangan gunakan bobot persentase.</w:t>
      </w:r>
    </w:p>
    <w:p>
      <w:pPr>
        <w:pStyle w:val="ListBullet"/>
        <w:spacing w:after="60"/>
      </w:pPr>
      <w:r>
        <w:t>Tegakkan tepat satu primary sector melalui partial unique index one_primary_sector_per_lead.</w:t>
      </w:r>
    </w:p>
    <w:p>
      <w:pPr>
        <w:pStyle w:val="ListBullet"/>
        <w:spacing w:after="60"/>
      </w:pPr>
      <w:r>
        <w:t>Pertahankan relasi historis terhadap sektor yang sudah inactive.</w:t>
      </w:r>
    </w:p>
    <w:p>
      <w:pPr>
        <w:pStyle w:val="ListBullet"/>
        <w:spacing w:after="60"/>
      </w:pPr>
      <w:r>
        <w:t>Pada update Lead, tolak penambahan sektor inactive berdasarkan selisih requestedIds dan existingIds.</w:t>
      </w:r>
    </w:p>
    <w:p>
      <w:pPr>
        <w:pStyle w:val="ListBullet"/>
        <w:spacing w:after="60"/>
      </w:pPr>
      <w:r>
        <w:t>Simpan detail pilihan Other pada LeadSector.otherDetail.</w:t>
      </w:r>
    </w:p>
    <w:p>
      <w:pPr>
        <w:pStyle w:val="Heading1"/>
      </w:pPr>
      <w:r>
        <w:t>DEMO-02 — Products &amp; Services Details</w:t>
      </w:r>
    </w:p>
    <w:p>
      <w:pPr>
        <w:pStyle w:val="ListBullet"/>
        <w:spacing w:after="60"/>
      </w:pPr>
      <w:r>
        <w:t>Buat line item LeadOffering yang merujuk OfferingCatalog.</w:t>
      </w:r>
    </w:p>
    <w:p>
      <w:pPr>
        <w:pStyle w:val="ListBullet"/>
        <w:spacing w:after="60"/>
      </w:pPr>
      <w:r>
        <w:t>Simpan snapshot harga dan deskripsi saat line dibuat agar perubahan katalog tidak mengubah riwayat.</w:t>
      </w:r>
    </w:p>
    <w:p>
      <w:pPr>
        <w:pStyle w:val="ListBullet"/>
        <w:spacing w:after="60"/>
      </w:pPr>
      <w:r>
        <w:t>Gunakan unitPriceAtSnapshot untuk snapshot harga.</w:t>
      </w:r>
    </w:p>
    <w:p>
      <w:pPr>
        <w:pStyle w:val="ListBullet"/>
        <w:spacing w:after="60"/>
      </w:pPr>
      <w:r>
        <w:t>Dukung custom offering menggunakan isCustom: true.</w:t>
      </w:r>
    </w:p>
    <w:p>
      <w:pPr>
        <w:pStyle w:val="ListBullet"/>
        <w:spacing w:after="60"/>
      </w:pPr>
      <w:r>
        <w:t>Saat Lead dikonversi menjadi active delivery project, buat ProjectWorkstream dari approved LeadOffering.</w:t>
      </w:r>
    </w:p>
    <w:p>
      <w:pPr>
        <w:pStyle w:val="ListBullet"/>
        <w:spacing w:after="60"/>
      </w:pPr>
      <w:r>
        <w:t>Pre-populate WBS task templates berdasarkan approved LeadOffering.</w:t>
      </w:r>
    </w:p>
    <w:p>
      <w:pPr>
        <w:pStyle w:val="Heading1"/>
      </w:pPr>
      <w:r>
        <w:t>DEMO-03 — Company Contacts Dropdown</w:t>
      </w:r>
    </w:p>
    <w:p>
      <w:pPr>
        <w:pStyle w:val="ListBullet"/>
        <w:spacing w:after="60"/>
      </w:pPr>
      <w:r>
        <w:t>Hubungkan contact Lead secara dinamis dengan company yang dipilih melalui ClientContact.</w:t>
      </w:r>
    </w:p>
    <w:p>
      <w:pPr>
        <w:pStyle w:val="ListBullet"/>
        <w:spacing w:after="60"/>
      </w:pPr>
      <w:r>
        <w:t>Filter pilihan contact berdasarkan company/client terpilih.</w:t>
      </w:r>
    </w:p>
    <w:p>
      <w:pPr>
        <w:pStyle w:val="ListBullet"/>
        <w:spacing w:after="60"/>
      </w:pPr>
      <w:r>
        <w:t>Saat Lead dibuat, simpan contactNameSnapshot, contactEmailSnapshot, dan contactPhoneSnapshot.</w:t>
      </w:r>
    </w:p>
    <w:p>
      <w:pPr>
        <w:pStyle w:val="ListBullet"/>
        <w:spacing w:after="60"/>
      </w:pPr>
      <w:r>
        <w:t>Pertahankan scalar contact fallback untuk inbound external Lead yang belum terstruktur.</w:t>
      </w:r>
    </w:p>
    <w:p>
      <w:r>
        <w:br w:type="page"/>
      </w:r>
    </w:p>
    <w:p>
      <w:pPr>
        <w:pStyle w:val="Heading1"/>
      </w:pPr>
      <w:r>
        <w:t>DEMO-04 — Business Unit Intake Routing</w:t>
      </w:r>
    </w:p>
    <w:p>
      <w:pPr>
        <w:pStyle w:val="ListBullet"/>
        <w:spacing w:after="60"/>
      </w:pPr>
      <w:r>
        <w:t>Tetapkan tepat satu Primary Business Unit pada Lead.businessUnitId untuk revenue attribution.</w:t>
      </w:r>
    </w:p>
    <w:p>
      <w:pPr>
        <w:pStyle w:val="ListBullet"/>
        <w:spacing w:after="60"/>
      </w:pPr>
      <w:r>
        <w:t>Dukung satu atau lebih Supporting Business Unit melalui LeadSupportingBusinessUnit.</w:t>
      </w:r>
    </w:p>
    <w:p>
      <w:pPr>
        <w:pStyle w:val="ListBullet"/>
        <w:spacing w:after="60"/>
      </w:pPr>
      <w:r>
        <w:t>Kirim notifikasi intake kepada Practice Principal dari Primary Business Unit.</w:t>
      </w:r>
    </w:p>
    <w:p>
      <w:pPr>
        <w:pStyle w:val="ListBullet"/>
        <w:spacing w:after="60"/>
      </w:pPr>
      <w:r>
        <w:t>Jika Primary Business Unit tidak memiliki principal, kirim fallback notification kepada MANAGEMENT.</w:t>
      </w:r>
    </w:p>
    <w:p>
      <w:pPr>
        <w:pStyle w:val="Heading1"/>
      </w:pPr>
      <w:r>
        <w:t>DEMO-05 — Lead Types and Deal Lineage</w:t>
      </w:r>
    </w:p>
    <w:p>
      <w:pPr>
        <w:pStyle w:val="ListBullet"/>
        <w:spacing w:after="60"/>
      </w:pPr>
      <w:r>
        <w:t>Tambahkan taxonomy LeadType.</w:t>
      </w:r>
    </w:p>
    <w:p>
      <w:pPr>
        <w:pStyle w:val="ListBullet"/>
        <w:spacing w:after="60"/>
      </w:pPr>
      <w:r>
        <w:t>Dukung tipe RENEWAL, UP_SELL, dan CROSS_SELL.</w:t>
      </w:r>
    </w:p>
    <w:p>
      <w:pPr>
        <w:pStyle w:val="ListBullet"/>
        <w:spacing w:after="60"/>
      </w:pPr>
      <w:r>
        <w:t>Untuk tipe tersebut, parent wajib berupa existing approved Project.</w:t>
      </w:r>
    </w:p>
    <w:p>
      <w:pPr>
        <w:pStyle w:val="ListBullet"/>
        <w:spacing w:after="60"/>
      </w:pPr>
      <w:r>
        <w:t>Jangan izinkan un-won atau cancelled Lead menjadi parent.</w:t>
      </w:r>
    </w:p>
    <w:p>
      <w:pPr>
        <w:pStyle w:val="ListBullet"/>
        <w:spacing w:after="60"/>
      </w:pPr>
      <w:r>
        <w:t>Hitung Net Revenue Retention menggunakan formula: NRR = (Ending ARR + Expansion - Contraction - Churn) / Starting ARR × 100%.</w:t>
      </w:r>
    </w:p>
    <w:p>
      <w:pPr>
        <w:pStyle w:val="Heading1"/>
      </w:pPr>
      <w:r>
        <w:t>DEMO-06 — Lead ID Preview</w:t>
      </w:r>
    </w:p>
    <w:p>
      <w:pPr>
        <w:pStyle w:val="ListBullet"/>
        <w:spacing w:after="60"/>
      </w:pPr>
      <w:r>
        <w:t>Tampilkan prospective Lead ID sebagai badge read-only pada form.</w:t>
      </w:r>
    </w:p>
    <w:p>
      <w:pPr>
        <w:pStyle w:val="ListBullet"/>
        <w:spacing w:after="60"/>
      </w:pPr>
      <w:r>
        <w:t>Preview tidak boleh mengonsumsi atau mereservasi sequence final.</w:t>
      </w:r>
    </w:p>
    <w:p>
      <w:pPr>
        <w:pStyle w:val="ListBullet"/>
        <w:spacing w:after="60"/>
      </w:pPr>
      <w:r>
        <w:t>Alokasikan Lead ID secara atomik dalam transaksi database yang sama dengan tx.lead.create.</w:t>
      </w:r>
    </w:p>
    <w:p>
      <w:pPr>
        <w:pStyle w:val="ListBullet"/>
        <w:spacing w:after="60"/>
      </w:pPr>
      <w:r>
        <w:t>Gunakan allocateNextLeadNumber(tx) dan SELECT ... FOR UPDATE.</w:t>
      </w:r>
    </w:p>
    <w:p>
      <w:pPr>
        <w:pStyle w:val="ListBullet"/>
        <w:spacing w:after="60"/>
      </w:pPr>
      <w:r>
        <w:t>Reset sequence tahunan pada tengah malam WIB (UTC+7).</w:t>
      </w:r>
    </w:p>
    <w:p>
      <w:pPr>
        <w:pStyle w:val="ListBullet"/>
        <w:spacing w:after="60"/>
      </w:pPr>
      <w:r>
        <w:t>Gunakan uniqueness-first gap reconciliation.</w:t>
      </w:r>
    </w:p>
    <w:p>
      <w:r>
        <w:br w:type="page"/>
      </w:r>
    </w:p>
    <w:p>
      <w:pPr>
        <w:pStyle w:val="Heading1"/>
      </w:pPr>
      <w:r>
        <w:t>DEMO-07 — Pipedrive Margin Evaluation</w:t>
      </w:r>
    </w:p>
    <w:p>
      <w:pPr>
        <w:pStyle w:val="ListBullet"/>
        <w:spacing w:after="60"/>
      </w:pPr>
      <w:r>
        <w:t>Ikat webhook Pipedrive ke konfigurasi otoritatif connectionKey = DEFAULT.</w:t>
      </w:r>
    </w:p>
    <w:p>
      <w:pPr>
        <w:pStyle w:val="ListBullet"/>
        <w:spacing w:after="60"/>
      </w:pPr>
      <w:r>
        <w:t>Map produk CRM ke offering internal melalui PipedriveProductMapping.</w:t>
      </w:r>
    </w:p>
    <w:p>
      <w:pPr>
        <w:pStyle w:val="ListBullet"/>
        <w:spacing w:after="60"/>
      </w:pPr>
      <w:r>
        <w:t>Tegakkan composite uniqueness pada connectionKey dan pipedriveProductId.</w:t>
      </w:r>
    </w:p>
    <w:p>
      <w:pPr>
        <w:pStyle w:val="ListBullet"/>
        <w:spacing w:after="60"/>
      </w:pPr>
      <w:r>
        <w:t>Masukkan Deal dengan product mapping yang belum tersedia ke quarantined review queue.</w:t>
      </w:r>
    </w:p>
    <w:p>
      <w:pPr>
        <w:pStyle w:val="ListBullet"/>
        <w:spacing w:after="60"/>
      </w:pPr>
      <w:r>
        <w:t>Masukkan Deal dengan gross margin di bawah 25% ke quarantined review queue.</w:t>
      </w:r>
    </w:p>
    <w:p>
      <w:pPr>
        <w:pStyle w:val="ListBullet"/>
        <w:spacing w:after="60"/>
      </w:pPr>
      <w:r>
        <w:t>Kirim notifikasi kepada Commercial Ops untuk Deal yang dikarantina.</w:t>
      </w:r>
    </w:p>
    <w:p>
      <w:pPr>
        <w:pStyle w:val="Heading1"/>
      </w:pPr>
      <w:r>
        <w:t>DEMO-08 — Stage Probability Defaults</w:t>
      </w:r>
    </w:p>
    <w:p>
      <w:pPr>
        <w:pStyle w:val="ListBullet"/>
        <w:spacing w:after="60"/>
      </w:pPr>
      <w:r>
        <w:t>Gunakan enam stage canonical: DISCOVERY, QUALIFIED, PROPOSAL, NEGOTIATION, WON, dan LOST.</w:t>
      </w:r>
    </w:p>
    <w:p>
      <w:pPr>
        <w:pStyle w:val="ListBullet"/>
        <w:spacing w:after="60"/>
      </w:pPr>
      <w:r>
        <w:t>Tetapkan default probability: DISCOVERY 10%, QUALIFIED 30%, PROPOSAL 60%, NEGOTIATION 80%, WON 100%, dan LOST 0%.</w:t>
      </w:r>
    </w:p>
    <w:p>
      <w:pPr>
        <w:pStyle w:val="ListBullet"/>
        <w:spacing w:after="60"/>
      </w:pPr>
      <w:r>
        <w:t>Setiap perubahan stage otomatis menyinkronkan probability.</w:t>
      </w:r>
    </w:p>
    <w:p>
      <w:pPr>
        <w:pStyle w:val="ListBullet"/>
        <w:spacing w:after="60"/>
      </w:pPr>
      <w:r>
        <w:t>Izinkan Sales berwenang melakukan override probability.</w:t>
      </w:r>
    </w:p>
    <w:p>
      <w:pPr>
        <w:pStyle w:val="ListBullet"/>
        <w:spacing w:after="60"/>
      </w:pPr>
      <w:r>
        <w:t>Wajibkan probabilityOverrideReason untuk setiap override.</w:t>
      </w:r>
    </w:p>
    <w:p>
      <w:pPr>
        <w:pStyle w:val="ListBullet"/>
        <w:spacing w:after="60"/>
      </w:pPr>
      <w:r>
        <w:t>Simpan setiap override sebagai audit record.</w:t>
      </w:r>
    </w:p>
    <w:p>
      <w:pPr>
        <w:pStyle w:val="Heading1"/>
      </w:pPr>
      <w:r>
        <w:t>DEMO-09 — Presales Project and Cost Capture</w:t>
      </w:r>
    </w:p>
    <w:p>
      <w:pPr>
        <w:pStyle w:val="ListBullet"/>
        <w:spacing w:after="60"/>
      </w:pPr>
      <w:r>
        <w:t>Sediakan toggle opt-in pada stage QUALIFIED untuk membuat presales project.</w:t>
      </w:r>
    </w:p>
    <w:p>
      <w:pPr>
        <w:pStyle w:val="ListBullet"/>
        <w:spacing w:after="60"/>
      </w:pPr>
      <w:r>
        <w:t>Jika toggle aktif, buat Project dengan status OBSERVATION.</w:t>
      </w:r>
    </w:p>
    <w:p>
      <w:pPr>
        <w:pStyle w:val="ListBullet"/>
        <w:spacing w:after="60"/>
      </w:pPr>
      <w:r>
        <w:t>Buat WBS standar: Scoping, Proposal Drafting, dan Pitch.</w:t>
      </w:r>
    </w:p>
    <w:p>
      <w:pPr>
        <w:pStyle w:val="ListBullet"/>
        <w:spacing w:after="60"/>
      </w:pPr>
      <w:r>
        <w:t>Catat presales timesheet dan expense ke CAC ledger.</w:t>
      </w:r>
    </w:p>
    <w:p>
      <w:pPr>
        <w:pStyle w:val="ListBullet"/>
        <w:spacing w:after="60"/>
      </w:pPr>
      <w:r>
        <w:t>Isolasi presales cost dari delivery EVM di lib/evm.ts.</w:t>
      </w:r>
    </w:p>
    <w:p>
      <w:pPr>
        <w:pStyle w:val="ListBullet"/>
        <w:spacing w:after="60"/>
      </w:pPr>
      <w:r>
        <w:t>Ketika Lead menjadi LOST, ubah presales workspace menjadi CLOSED.</w:t>
      </w:r>
    </w:p>
    <w:p>
      <w:pPr>
        <w:pStyle w:val="ListBullet"/>
        <w:spacing w:after="60"/>
      </w:pPr>
      <w:r>
        <w:t>Simpan ringkasan total CAC ketika workspace ditutup.</w:t>
      </w:r>
    </w:p>
    <w:p>
      <w:r>
        <w:br w:type="page"/>
      </w:r>
    </w:p>
    <w:p>
      <w:pPr>
        <w:pStyle w:val="Heading1"/>
      </w:pPr>
      <w:r>
        <w:t>DEMO-10 — Proposal Budgeting and Margin Gate</w:t>
      </w:r>
    </w:p>
    <w:p>
      <w:pPr>
        <w:pStyle w:val="ListBullet"/>
        <w:spacing w:after="60"/>
      </w:pPr>
      <w:r>
        <w:t>Simpan proposal berversi melalui CommercialBudgetRevision.</w:t>
      </w:r>
    </w:p>
    <w:p>
      <w:pPr>
        <w:pStyle w:val="ListBullet"/>
        <w:spacing w:after="60"/>
      </w:pPr>
      <w:r>
        <w:t>Hitung Gross Margin % = ((Contract Value excl. VAT − Baseline Cost) / Contract Value excl. VAT) × 100%.</w:t>
      </w:r>
    </w:p>
    <w:p>
      <w:pPr>
        <w:pStyle w:val="ListBullet"/>
        <w:spacing w:after="60"/>
      </w:pPr>
      <w:r>
        <w:t>Snapshot VAT aktif sebagai Decimal(5,2) pada saat proposal disubmit.</w:t>
      </w:r>
    </w:p>
    <w:p>
      <w:pPr>
        <w:pStyle w:val="ListBullet"/>
        <w:spacing w:after="60"/>
      </w:pPr>
      <w:r>
        <w:t>Owner atau commercial lead tidak boleh melakukan self-approval.</w:t>
      </w:r>
    </w:p>
    <w:p>
      <w:pPr>
        <w:pStyle w:val="ListBullet"/>
        <w:spacing w:after="60"/>
      </w:pPr>
      <w:r>
        <w:t>Wajibkan approval FINANCE_LEAD.</w:t>
      </w:r>
    </w:p>
    <w:p>
      <w:pPr>
        <w:pStyle w:val="ListBullet"/>
        <w:spacing w:after="60"/>
      </w:pPr>
      <w:r>
        <w:t>Jika margin di bawah 20%, wajibkan escalation dan co-approval MANAGEMENT.</w:t>
      </w:r>
    </w:p>
    <w:p>
      <w:pPr>
        <w:pStyle w:val="Heading1"/>
      </w:pPr>
      <w:r>
        <w:t>DEMO-11 — Approved Margin Baseline Auto-Sync</w:t>
      </w:r>
    </w:p>
    <w:p>
      <w:pPr>
        <w:pStyle w:val="ListBullet"/>
        <w:spacing w:after="60"/>
      </w:pPr>
      <w:r>
        <w:t>Pisahkan lifecycle ACTIVATION dan CHANGE_REQUEST.</w:t>
      </w:r>
    </w:p>
    <w:p>
      <w:pPr>
        <w:pStyle w:val="ListBullet"/>
        <w:spacing w:after="60"/>
      </w:pPr>
      <w:r>
        <w:t>Gunakan ACTIVATION untuk inisialisasi baseline otomatis saat Won conversion.</w:t>
      </w:r>
    </w:p>
    <w:p>
      <w:pPr>
        <w:pStyle w:val="ListBullet"/>
        <w:spacing w:after="60"/>
      </w:pPr>
      <w:r>
        <w:t>Gunakan CHANGE_REQUEST untuk amendment baseline versi v1.01 dan seterusnya.</w:t>
      </w:r>
    </w:p>
    <w:p>
      <w:pPr>
        <w:pStyle w:val="ListBullet"/>
        <w:spacing w:after="60"/>
      </w:pPr>
      <w:r>
        <w:t>Gunakan Decimal(15,2) untuk seluruh nilai uang.</w:t>
      </w:r>
    </w:p>
    <w:p>
      <w:pPr>
        <w:pStyle w:val="ListBullet"/>
        <w:spacing w:after="60"/>
      </w:pPr>
      <w:r>
        <w:t>Gunakan discriminated-union validation.</w:t>
      </w:r>
    </w:p>
    <w:p>
      <w:pPr>
        <w:pStyle w:val="ListBullet"/>
        <w:spacing w:after="60"/>
      </w:pPr>
      <w:r>
        <w:t>Terapkan idempotent retry ordering.</w:t>
      </w:r>
    </w:p>
    <w:p>
      <w:pPr>
        <w:pStyle w:val="ListBullet"/>
        <w:spacing w:after="60"/>
      </w:pPr>
      <w:r>
        <w:t>Tegakkan hanya satu current baseline per project melalui partial unique index one_current_baseline_per_project dengan WHERE isCurrent = true.</w:t>
      </w:r>
    </w:p>
    <w:p>
      <w:pPr>
        <w:pStyle w:val="Heading1"/>
      </w:pPr>
      <w:r>
        <w:t>DEMO-12 — Client Attribution Lock</w:t>
      </w:r>
    </w:p>
    <w:p>
      <w:pPr>
        <w:pStyle w:val="ListBullet"/>
        <w:spacing w:after="60"/>
      </w:pPr>
      <w:r>
        <w:t>Kunci Project.clientId setelah Project dibuat; jangan mengunci Client.name.</w:t>
      </w:r>
    </w:p>
    <w:p>
      <w:pPr>
        <w:pStyle w:val="ListBullet"/>
        <w:spacing w:after="60"/>
      </w:pPr>
      <w:r>
        <w:t>Client.name harus tetap dapat diedit.</w:t>
      </w:r>
    </w:p>
    <w:p>
      <w:pPr>
        <w:pStyle w:val="ListBullet"/>
        <w:spacing w:after="60"/>
      </w:pPr>
      <w:r>
        <w:t>Jika PUT /api/projects/:id mencoba mengganti clientId, kembalikan HTTP 409 Conflict dengan code CLIENT_ATTRIBUTION_LOCKED.</w:t>
      </w:r>
    </w:p>
    <w:p>
      <w:pPr>
        <w:pStyle w:val="ListBullet"/>
        <w:spacing w:after="60"/>
      </w:pPr>
      <w:r>
        <w:t>Phase 2 target design: buat ClientAttributionCorrection.</w:t>
      </w:r>
    </w:p>
    <w:p>
      <w:pPr>
        <w:pStyle w:val="ListBullet"/>
        <w:spacing w:after="60"/>
      </w:pPr>
      <w:r>
        <w:t>Untuk koreksi attribution, wajibkan dual approval MANAGEMENT dan FINANCE_LEAD.</w:t>
      </w:r>
    </w:p>
    <w:p>
      <w:pPr>
        <w:pStyle w:val="ListBullet"/>
        <w:spacing w:after="60"/>
      </w:pPr>
      <w:r>
        <w:t>Setelah approval, lakukan reassignment client dan tulis audit event.</w:t>
      </w:r>
    </w:p>
    <w:p>
      <w:r>
        <w:br w:type="page"/>
      </w:r>
    </w:p>
    <w:p>
      <w:pPr>
        <w:pStyle w:val="Heading1"/>
      </w:pPr>
      <w:r>
        <w:t>DEMO-13 — Revenue Recognition Dual Timeline</w:t>
      </w:r>
    </w:p>
    <w:p>
      <w:pPr>
        <w:pStyle w:val="ListBullet"/>
        <w:spacing w:after="60"/>
      </w:pPr>
      <w:r>
        <w:t>Pisahkan billing timeline dan revenue-recognition timeline.</w:t>
      </w:r>
    </w:p>
    <w:p>
      <w:pPr>
        <w:pStyle w:val="ListBullet"/>
        <w:spacing w:after="60"/>
      </w:pPr>
      <w:r>
        <w:t>Jangan gunakan contract signing, PO receipt, atau advance payment sebagai pengakuan revenue otomatis.</w:t>
      </w:r>
    </w:p>
    <w:p>
      <w:pPr>
        <w:pStyle w:val="ListBullet"/>
        <w:spacing w:after="60"/>
      </w:pPr>
      <w:r>
        <w:t>Gunakan RevenueRecognitionSchedule.</w:t>
      </w:r>
    </w:p>
    <w:p>
      <w:pPr>
        <w:pStyle w:val="ListBullet"/>
        <w:spacing w:after="60"/>
      </w:pPr>
      <w:r>
        <w:t>Gunakan trigger TIME_ELAPSED, DELIVERABLE_ACCEPTED, USAGE_BASED, dan MANUAL_FINANCE_ASSESSMENT.</w:t>
      </w:r>
    </w:p>
    <w:p>
      <w:pPr>
        <w:pStyle w:val="ListBullet"/>
        <w:spacing w:after="60"/>
      </w:pPr>
      <w:r>
        <w:t>Finance membuat dan mengunci recognition baseline.</w:t>
      </w:r>
    </w:p>
    <w:p>
      <w:pPr>
        <w:pStyle w:val="ListBullet"/>
        <w:spacing w:after="60"/>
      </w:pPr>
      <w:r>
        <w:t>PROJECT_MANAGER mengajukan evidence; FINANCE melakukan approval.</w:t>
      </w:r>
    </w:p>
    <w:p>
      <w:pPr>
        <w:pStyle w:val="ListBullet"/>
        <w:spacing w:after="60"/>
      </w:pPr>
      <w:r>
        <w:t>Gunakan role aktual FINANCE dan PROJECT_MANAGER.</w:t>
      </w:r>
    </w:p>
    <w:p>
      <w:pPr>
        <w:pStyle w:val="ListBullet"/>
        <w:spacing w:after="60"/>
      </w:pPr>
      <w:r>
        <w:t>Jadikan recognized accounting entry immutable.</w:t>
      </w:r>
    </w:p>
    <w:p>
      <w:pPr>
        <w:pStyle w:val="ListBullet"/>
        <w:spacing w:after="60"/>
      </w:pPr>
      <w:r>
        <w:t>Lakukan koreksi melalui linked reversal dan replacement entry, bukan edit in-place.</w:t>
      </w:r>
    </w:p>
    <w:p>
      <w:pPr>
        <w:pStyle w:val="ListBullet"/>
        <w:spacing w:after="60"/>
      </w:pPr>
      <w:r>
        <w:t>Commit recognition, ledger posting, approver metadata, dan audit secara atomik dan idempotent.</w:t>
      </w:r>
    </w:p>
    <w:p>
      <w:pPr>
        <w:pStyle w:val="ListBullet"/>
        <w:spacing w:after="60"/>
      </w:pPr>
      <w:r>
        <w:t>Backfill history BillingMilestone sebagai inferred history, bukan Finance-approved history.</w:t>
      </w:r>
    </w:p>
    <w:p>
      <w:pPr>
        <w:pStyle w:val="ListBullet"/>
        <w:spacing w:after="60"/>
      </w:pPr>
      <w:r>
        <w:t>Mulai dengan reviewed Xero journal CSV export sebelum direct journal posting.</w:t>
      </w:r>
    </w:p>
    <w:p>
      <w:pPr>
        <w:pStyle w:val="Heading1"/>
      </w:pPr>
      <w:r>
        <w:t>DEMO-14 — Project Activation Integrity Gate</w:t>
      </w:r>
    </w:p>
    <w:p>
      <w:pPr>
        <w:pStyle w:val="ListBullet"/>
        <w:spacing w:after="60"/>
      </w:pPr>
      <w:r>
        <w:t>Perluas dan konsolidasikan activation gate yang sudah ada; jangan membuat gate kedua.</w:t>
      </w:r>
    </w:p>
    <w:p>
      <w:pPr>
        <w:pStyle w:val="ListBullet"/>
        <w:spacing w:after="60"/>
      </w:pPr>
      <w:r>
        <w:t>Gunakan satu shared evaluator untuk readiness endpoint, activation PATCH, web/mobile checklist, tests, dan reconciliation tooling.</w:t>
      </w:r>
    </w:p>
    <w:p>
      <w:pPr>
        <w:pStyle w:val="ListBullet"/>
        <w:spacing w:after="60"/>
      </w:pPr>
      <w:r>
        <w:t>Evaluasi effective state dari gabungan persisted values dan proposed PATCH values.</w:t>
      </w:r>
    </w:p>
    <w:p>
      <w:pPr>
        <w:pStyle w:val="ListBullet"/>
        <w:spacing w:after="60"/>
      </w:pPr>
      <w:r>
        <w:t>Jangan menambah atau menggunakan ProjectContractLine yang tidak terkait.</w:t>
      </w:r>
    </w:p>
    <w:p>
      <w:pPr>
        <w:pStyle w:val="ListBullet"/>
        <w:spacing w:after="60"/>
      </w:pPr>
      <w:r>
        <w:t>Jangan menjadikan businessUnitId sebagai final must-pass invariant sebelum ownership primary BU diputuskan.</w:t>
      </w:r>
    </w:p>
    <w:p>
      <w:pPr>
        <w:pStyle w:val="ListBullet"/>
        <w:spacing w:after="60"/>
      </w:pPr>
      <w:r>
        <w:t>Gunakan pmId, bukan projectManagerId.</w:t>
      </w:r>
    </w:p>
    <w:p>
      <w:pPr>
        <w:pStyle w:val="ListBullet"/>
        <w:spacing w:after="60"/>
      </w:pPr>
      <w:r>
        <w:t>Gunakan target HTTP 422 dengan code ACTIVATION_GATE_VIOLATION.</w:t>
      </w:r>
    </w:p>
    <w:p>
      <w:pPr>
        <w:pStyle w:val="ListBullet"/>
        <w:spacing w:after="60"/>
      </w:pPr>
      <w:r>
        <w:t>Pertahankan missing array dan detail code seperti MANDAYS_REQUIRED, INVALID_DATE_RANGE, serta TM_RATE_MISSING untuk compatibility.</w:t>
      </w:r>
    </w:p>
    <w:p>
      <w:pPr>
        <w:pStyle w:val="ListBullet"/>
        <w:spacing w:after="60"/>
      </w:pPr>
      <w:r>
        <w:t>Commit activation, baseline creation, current-baseline selection, dan audit secara atomik.</w:t>
      </w:r>
    </w:p>
    <w:p>
      <w:pPr>
        <w:pStyle w:val="ListBullet"/>
        <w:spacing w:after="60"/>
      </w:pPr>
      <w:r>
        <w:t>Bedakan activation rules berdasarkan Project kind: CLIENT, INTERNAL, PRESALES, dan TRAINING.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SecureProfit Hub — 14 DEMO Detail Request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991B1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242E3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