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0F172A"/>
          <w:sz w:val="40"/>
          <w:szCs w:val="40"/>
        </w:rPr>
        <w:t xml:space="preserve">Fit-Gap Analysis: SecureProfit Hub vs PSOhub</w:t>
      </w:r>
    </w:p>
    <w:p>
      <w:r>
        <w:t xml:space="preserve">Tanggal: 23 Mei 2026</w:t>
      </w:r>
    </w:p>
    <w:p>
      <w:r>
        <w:t xml:space="preserve">Sumber pembanding: psohub.com (Essentials / Professional / Enterprise)</w:t>
      </w:r>
    </w:p>
    <w:p>
      <w:r>
        <w:t xml:space="preserve">Sistem internal: SecureProfit Hub - PSA untuk konsultan keamanan TI (Indonesia)</w:t>
      </w:r>
    </w:p>
    <w:p>
      <w:pPr>
        <w:pStyle w:val="Heading2"/>
        <w:spacing w:after="120" w:before="240"/>
      </w:pPr>
      <w:r>
        <w:rPr>
          <w:b/>
          <w:bCs/>
          <w:color w:val="0F172A"/>
          <w:sz w:val="26"/>
          <w:szCs w:val="26"/>
        </w:rPr>
        <w:t xml:space="preserve">Ringkasan Eksekutif</w:t>
      </w:r>
    </w:p>
    <w:p>
      <w:r>
        <w:t xml:space="preserve">SecureProfit Hub adalah Professional Services Automation (PSA) internal yang sudah memenuhi sebagian besar fitur inti PSOhub di tier </w:t>
      </w:r>
      <w:r>
        <w:rPr>
          <w:b/>
          <w:bCs/>
        </w:rPr>
        <w:t xml:space="preserve">Essentials</w:t>
      </w:r>
      <w:r>
        <w:t xml:space="preserve"> dan </w:t>
      </w:r>
      <w:r>
        <w:rPr>
          <w:b/>
          <w:bCs/>
        </w:rPr>
        <w:t xml:space="preserve">Professional</w:t>
      </w:r>
      <w:r>
        <w:t xml:space="preserve">, terutama pada area manajemen proyek, timesheet, resource planning, milestone billing, dan reporting. Kelebihan utama kami adalah kekayaan domain lokal (VAT/PPN 11% Indonesia, dokumen BAST, struktur Principal supervisor, multi-business-unit konsultan keamanan).</w:t>
      </w:r>
    </w:p>
    <w:p>
      <w:r>
        <w:t xml:space="preserve">Gap utama berada pada area </w:t>
      </w:r>
      <w:r>
        <w:rPr>
          <w:b/>
          <w:bCs/>
        </w:rPr>
        <w:t xml:space="preserve">AI Copilot, integrasi pihak ketiga (CRM/accounting/collaboration), kontrak multi-tipe, generate PDF invoice otomatis, multi-currency, dan guest portal</w:t>
      </w:r>
      <w:r>
        <w:t xml:space="preserve"> - sebagian besar adalah fitur tier Enterprise PSOhub.</w:t>
      </w:r>
    </w:p>
    <w:tbl>
      <w:tblPr>
        <w:tblW w:type="dxa" w:w="56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tblGrid>
      <w:tr>
        <w:trPr>
          <w:tblHeader/>
        </w:trPr>
        <w:tc>
          <w:tcPr>
            <w:tcW w:type="dxa" w:w="2400"/>
            <w:shd w:fill="0F172A" w:color="0F172A" w:val="solid"/>
            <w:tcMar>
              <w:top w:type="dxa" w:w="80"/>
              <w:left w:type="dxa" w:w="100"/>
              <w:bottom w:type="dxa" w:w="80"/>
              <w:right w:type="dxa" w:w="100"/>
            </w:tcMar>
          </w:tcPr>
          <w:p>
            <w:r>
              <w:rPr>
                <w:b/>
                <w:bCs/>
                <w:color w:val="FFFFFF"/>
              </w:rPr>
              <w:t xml:space="preserve">Status</w:t>
            </w:r>
          </w:p>
        </w:tc>
        <w:tc>
          <w:tcPr>
            <w:tcW w:type="dxa" w:w="1600"/>
            <w:shd w:fill="0F172A" w:color="0F172A" w:val="solid"/>
            <w:tcMar>
              <w:top w:type="dxa" w:w="80"/>
              <w:left w:type="dxa" w:w="100"/>
              <w:bottom w:type="dxa" w:w="80"/>
              <w:right w:type="dxa" w:w="100"/>
            </w:tcMar>
          </w:tcPr>
          <w:p>
            <w:r>
              <w:rPr>
                <w:b/>
                <w:bCs/>
                <w:color w:val="FFFFFF"/>
              </w:rPr>
              <w:t xml:space="preserve">Jumlah</w:t>
            </w:r>
          </w:p>
        </w:tc>
        <w:tc>
          <w:tcPr>
            <w:tcW w:type="dxa" w:w="1600"/>
            <w:shd w:fill="0F172A" w:color="0F172A" w:val="solid"/>
            <w:tcMar>
              <w:top w:type="dxa" w:w="80"/>
              <w:left w:type="dxa" w:w="100"/>
              <w:bottom w:type="dxa" w:w="80"/>
              <w:right w:type="dxa" w:w="100"/>
            </w:tcMar>
          </w:tcPr>
          <w:p>
            <w:r>
              <w:rPr>
                <w:b/>
                <w:bCs/>
                <w:color w:val="FFFFFF"/>
              </w:rPr>
              <w:t xml:space="preserve">Persentase</w:t>
            </w:r>
          </w:p>
        </w:tc>
      </w:tr>
      <w:tr>
        <w:tc>
          <w:tcPr>
            <w:tcW w:type="dxa" w:w="2400"/>
            <w:shd w:fill="16A34A" w:color="16A34A" w:val="solid"/>
            <w:tcMar>
              <w:top w:type="dxa" w:w="60"/>
              <w:left w:type="dxa" w:w="100"/>
              <w:bottom w:type="dxa" w:w="60"/>
              <w:right w:type="dxa" w:w="100"/>
            </w:tcMar>
          </w:tcPr>
          <w:p>
            <w:r>
              <w:rPr>
                <w:b/>
                <w:bCs/>
                <w:color w:val="FFFFFF"/>
              </w:rPr>
              <w:t xml:space="preserve">Fit</w:t>
            </w:r>
          </w:p>
        </w:tc>
        <w:tc>
          <w:tcPr>
            <w:tcW w:type="dxa" w:w="1600"/>
            <w:tcMar>
              <w:top w:type="dxa" w:w="60"/>
              <w:left w:type="dxa" w:w="100"/>
              <w:bottom w:type="dxa" w:w="60"/>
              <w:right w:type="dxa" w:w="100"/>
            </w:tcMar>
          </w:tcPr>
          <w:p>
            <w:pPr>
              <w:jc w:val="center"/>
            </w:pPr>
            <w:r>
              <w:t xml:space="preserve">21</w:t>
            </w:r>
          </w:p>
        </w:tc>
        <w:tc>
          <w:tcPr>
            <w:tcW w:type="dxa" w:w="1600"/>
            <w:tcMar>
              <w:top w:type="dxa" w:w="60"/>
              <w:left w:type="dxa" w:w="100"/>
              <w:bottom w:type="dxa" w:w="60"/>
              <w:right w:type="dxa" w:w="100"/>
            </w:tcMar>
          </w:tcPr>
          <w:p>
            <w:pPr>
              <w:jc w:val="center"/>
            </w:pPr>
            <w:r>
              <w:t xml:space="preserve">40.4%</w:t>
            </w:r>
          </w:p>
        </w:tc>
      </w:tr>
      <w:tr>
        <w:tc>
          <w:tcPr>
            <w:tcW w:type="dxa" w:w="2400"/>
            <w:shd w:fill="D97706" w:color="D97706" w:val="solid"/>
            <w:tcMar>
              <w:top w:type="dxa" w:w="60"/>
              <w:left w:type="dxa" w:w="100"/>
              <w:bottom w:type="dxa" w:w="60"/>
              <w:right w:type="dxa" w:w="100"/>
            </w:tcMar>
          </w:tcPr>
          <w:p>
            <w:r>
              <w:rPr>
                <w:b/>
                <w:bCs/>
                <w:color w:val="FFFFFF"/>
              </w:rPr>
              <w:t xml:space="preserve">Partial</w:t>
            </w:r>
          </w:p>
        </w:tc>
        <w:tc>
          <w:tcPr>
            <w:tcW w:type="dxa" w:w="1600"/>
            <w:tcMar>
              <w:top w:type="dxa" w:w="60"/>
              <w:left w:type="dxa" w:w="100"/>
              <w:bottom w:type="dxa" w:w="60"/>
              <w:right w:type="dxa" w:w="100"/>
            </w:tcMar>
          </w:tcPr>
          <w:p>
            <w:pPr>
              <w:jc w:val="center"/>
            </w:pPr>
            <w:r>
              <w:t xml:space="preserve">8</w:t>
            </w:r>
          </w:p>
        </w:tc>
        <w:tc>
          <w:tcPr>
            <w:tcW w:type="dxa" w:w="1600"/>
            <w:tcMar>
              <w:top w:type="dxa" w:w="60"/>
              <w:left w:type="dxa" w:w="100"/>
              <w:bottom w:type="dxa" w:w="60"/>
              <w:right w:type="dxa" w:w="100"/>
            </w:tcMar>
          </w:tcPr>
          <w:p>
            <w:pPr>
              <w:jc w:val="center"/>
            </w:pPr>
            <w:r>
              <w:t xml:space="preserve">15.4%</w:t>
            </w:r>
          </w:p>
        </w:tc>
      </w:tr>
      <w:tr>
        <w:tc>
          <w:tcPr>
            <w:tcW w:type="dxa" w:w="2400"/>
            <w:shd w:fill="DC2626" w:color="DC2626" w:val="solid"/>
            <w:tcMar>
              <w:top w:type="dxa" w:w="60"/>
              <w:left w:type="dxa" w:w="100"/>
              <w:bottom w:type="dxa" w:w="60"/>
              <w:right w:type="dxa" w:w="100"/>
            </w:tcMar>
          </w:tcPr>
          <w:p>
            <w:r>
              <w:rPr>
                <w:b/>
                <w:bCs/>
                <w:color w:val="FFFFFF"/>
              </w:rPr>
              <w:t xml:space="preserve">Gap</w:t>
            </w:r>
          </w:p>
        </w:tc>
        <w:tc>
          <w:tcPr>
            <w:tcW w:type="dxa" w:w="1600"/>
            <w:tcMar>
              <w:top w:type="dxa" w:w="60"/>
              <w:left w:type="dxa" w:w="100"/>
              <w:bottom w:type="dxa" w:w="60"/>
              <w:right w:type="dxa" w:w="100"/>
            </w:tcMar>
          </w:tcPr>
          <w:p>
            <w:pPr>
              <w:jc w:val="center"/>
            </w:pPr>
            <w:r>
              <w:t xml:space="preserve">23</w:t>
            </w:r>
          </w:p>
        </w:tc>
        <w:tc>
          <w:tcPr>
            <w:tcW w:type="dxa" w:w="1600"/>
            <w:tcMar>
              <w:top w:type="dxa" w:w="60"/>
              <w:left w:type="dxa" w:w="100"/>
              <w:bottom w:type="dxa" w:w="60"/>
              <w:right w:type="dxa" w:w="100"/>
            </w:tcMar>
          </w:tcPr>
          <w:p>
            <w:pPr>
              <w:jc w:val="center"/>
            </w:pPr>
            <w:r>
              <w:t xml:space="preserve">44.2%</w:t>
            </w:r>
          </w:p>
        </w:tc>
      </w:tr>
      <w:tr>
        <w:tc>
          <w:tcPr>
            <w:tcW w:type="dxa" w:w="2400"/>
            <w:tcMar>
              <w:top w:type="dxa" w:w="60"/>
              <w:left w:type="dxa" w:w="100"/>
              <w:bottom w:type="dxa" w:w="60"/>
              <w:right w:type="dxa" w:w="100"/>
            </w:tcMar>
          </w:tcPr>
          <w:p>
            <w:r>
              <w:rPr>
                <w:b/>
                <w:bCs/>
                <w:color w:val="000000"/>
              </w:rPr>
              <w:t xml:space="preserve">Total</w:t>
            </w:r>
          </w:p>
        </w:tc>
        <w:tc>
          <w:tcPr>
            <w:tcW w:type="dxa" w:w="1600"/>
            <w:tcMar>
              <w:top w:type="dxa" w:w="60"/>
              <w:left w:type="dxa" w:w="100"/>
              <w:bottom w:type="dxa" w:w="60"/>
              <w:right w:type="dxa" w:w="100"/>
            </w:tcMar>
          </w:tcPr>
          <w:p>
            <w:pPr>
              <w:jc w:val="center"/>
            </w:pPr>
            <w:r>
              <w:t xml:space="preserve">52</w:t>
            </w:r>
          </w:p>
        </w:tc>
        <w:tc>
          <w:tcPr>
            <w:tcW w:type="dxa" w:w="1600"/>
            <w:tcMar>
              <w:top w:type="dxa" w:w="60"/>
              <w:left w:type="dxa" w:w="100"/>
              <w:bottom w:type="dxa" w:w="60"/>
              <w:right w:type="dxa" w:w="100"/>
            </w:tcMar>
          </w:tcPr>
          <w:p>
            <w:pPr>
              <w:jc w:val="center"/>
            </w:pPr>
            <w:r>
              <w:t xml:space="preserve">100%</w:t>
            </w:r>
          </w:p>
        </w:tc>
      </w:tr>
    </w:tbl>
    <w:p>
      <w:pPr>
        <w:pStyle w:val="Heading2"/>
        <w:spacing w:after="120" w:before="240"/>
      </w:pPr>
      <w:r>
        <w:rPr>
          <w:b/>
          <w:bCs/>
          <w:color w:val="0F172A"/>
          <w:sz w:val="26"/>
          <w:szCs w:val="26"/>
        </w:rPr>
        <w:t xml:space="preserve">Metodologi</w:t>
      </w:r>
    </w:p>
    <w:p>
      <w:r>
        <w:t xml:space="preserve">Analisis dilakukan dengan membandingkan fitur publik PSOhub (homepage, halaman fitur, halaman pricing tiga tier) dengan modul yang sudah terimplementasi di SecureProfit Hub berdasarkan schema Prisma, route Express, dan halaman React. Klasifikasi:</w:t>
      </w:r>
    </w:p>
    <w:p>
      <w:pPr>
        <w:pStyle w:val="ListParagraph"/>
        <w:numPr>
          <w:ilvl w:val="0"/>
          <w:numId w:val="1"/>
        </w:numPr>
      </w:pPr>
      <w:r>
        <w:t xml:space="preserve">Fit - fungsionalitas setara atau lebih lengkap dari PSOhub.</w:t>
      </w:r>
    </w:p>
    <w:p>
      <w:pPr>
        <w:pStyle w:val="ListParagraph"/>
        <w:numPr>
          <w:ilvl w:val="0"/>
          <w:numId w:val="1"/>
        </w:numPr>
      </w:pPr>
      <w:r>
        <w:t xml:space="preserve">Partial - sebagian fitur sudah ada, tetapi terbatas atau perlu pengembangan tambahan.</w:t>
      </w:r>
    </w:p>
    <w:p>
      <w:pPr>
        <w:pStyle w:val="ListParagraph"/>
        <w:numPr>
          <w:ilvl w:val="0"/>
          <w:numId w:val="1"/>
        </w:numPr>
      </w:pPr>
      <w:r>
        <w:t xml:space="preserve">Gap - fitur belum tersedia di SecureProfit Hub.</w:t>
      </w:r>
    </w:p>
    <w:p>
      <w:pPr>
        <w:pStyle w:val="Heading2"/>
        <w:spacing w:after="120" w:before="240"/>
      </w:pPr>
      <w:r>
        <w:rPr>
          <w:b/>
          <w:bCs/>
          <w:color w:val="0F172A"/>
          <w:sz w:val="26"/>
          <w:szCs w:val="26"/>
        </w:rPr>
        <w:t xml:space="preserve">Detail Komparasi per Kategori</w:t>
      </w:r>
    </w:p>
    <w:p>
      <w:pPr>
        <w:pStyle w:val="Heading3"/>
        <w:spacing w:after="120" w:before="240"/>
      </w:pPr>
      <w:r>
        <w:rPr>
          <w:b/>
          <w:bCs/>
          <w:color w:val="0F172A"/>
          <w:sz w:val="26"/>
          <w:szCs w:val="26"/>
        </w:rPr>
        <w:t xml:space="preserve">1. Manajemen Kontrak &amp; Proyek</w:t>
      </w:r>
    </w:p>
    <w:tbl>
      <w:tblPr>
        <w:tblW w:type="dxa" w:w="115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dxa" w:w="2200"/>
            <w:shd w:fill="0F172A" w:color="0F172A" w:val="solid"/>
            <w:tcMar>
              <w:top w:type="dxa" w:w="80"/>
              <w:left w:type="dxa" w:w="100"/>
              <w:bottom w:type="dxa" w:w="80"/>
              <w:right w:type="dxa" w:w="100"/>
            </w:tcMar>
          </w:tcPr>
          <w:p>
            <w:r>
              <w:rPr>
                <w:b/>
                <w:bCs/>
                <w:color w:val="FFFFFF"/>
              </w:rPr>
              <w:t xml:space="preserve">Fitur</w:t>
            </w:r>
          </w:p>
        </w:tc>
        <w:tc>
          <w:tcPr>
            <w:tcW w:type="dxa" w:w="3200"/>
            <w:shd w:fill="0F172A" w:color="0F172A" w:val="solid"/>
            <w:tcMar>
              <w:top w:type="dxa" w:w="80"/>
              <w:left w:type="dxa" w:w="100"/>
              <w:bottom w:type="dxa" w:w="80"/>
              <w:right w:type="dxa" w:w="100"/>
            </w:tcMar>
          </w:tcPr>
          <w:p>
            <w:r>
              <w:rPr>
                <w:b/>
                <w:bCs/>
                <w:color w:val="FFFFFF"/>
              </w:rPr>
              <w:t xml:space="preserve">PSOhub</w:t>
            </w:r>
          </w:p>
        </w:tc>
        <w:tc>
          <w:tcPr>
            <w:tcW w:type="dxa" w:w="3200"/>
            <w:shd w:fill="0F172A" w:color="0F172A" w:val="solid"/>
            <w:tcMar>
              <w:top w:type="dxa" w:w="80"/>
              <w:left w:type="dxa" w:w="100"/>
              <w:bottom w:type="dxa" w:w="80"/>
              <w:right w:type="dxa" w:w="100"/>
            </w:tcMar>
          </w:tcPr>
          <w:p>
            <w:r>
              <w:rPr>
                <w:b/>
                <w:bCs/>
                <w:color w:val="FFFFFF"/>
              </w:rPr>
              <w:t xml:space="preserve">SecureProfit Hub</w:t>
            </w:r>
          </w:p>
        </w:tc>
        <w:tc>
          <w:tcPr>
            <w:tcW w:type="dxa" w:w="1100"/>
            <w:shd w:fill="0F172A" w:color="0F172A" w:val="solid"/>
            <w:tcMar>
              <w:top w:type="dxa" w:w="80"/>
              <w:left w:type="dxa" w:w="100"/>
              <w:bottom w:type="dxa" w:w="80"/>
              <w:right w:type="dxa" w:w="100"/>
            </w:tcMar>
          </w:tcPr>
          <w:p>
            <w:r>
              <w:rPr>
                <w:b/>
                <w:bCs/>
                <w:color w:val="FFFFFF"/>
              </w:rPr>
              <w:t xml:space="preserve">Status</w:t>
            </w:r>
          </w:p>
        </w:tc>
        <w:tc>
          <w:tcPr>
            <w:tcW w:type="dxa" w:w="1800"/>
            <w:shd w:fill="0F172A" w:color="0F172A" w:val="solid"/>
            <w:tcMar>
              <w:top w:type="dxa" w:w="80"/>
              <w:left w:type="dxa" w:w="100"/>
              <w:bottom w:type="dxa" w:w="80"/>
              <w:right w:type="dxa" w:w="100"/>
            </w:tcMar>
          </w:tcPr>
          <w:p>
            <w:r>
              <w:rPr>
                <w:b/>
                <w:bCs/>
                <w:color w:val="FFFFFF"/>
              </w:rPr>
              <w:t xml:space="preserve">Catatan</w:t>
            </w:r>
          </w:p>
        </w:tc>
      </w:tr>
      <w:tr>
        <w:tc>
          <w:tcPr>
            <w:tcW w:type="dxa" w:w="2200"/>
            <w:tcMar>
              <w:top w:type="dxa" w:w="60"/>
              <w:left w:type="dxa" w:w="100"/>
              <w:bottom w:type="dxa" w:w="60"/>
              <w:right w:type="dxa" w:w="100"/>
            </w:tcMar>
          </w:tcPr>
          <w:p>
            <w:r>
              <w:rPr>
                <w:b/>
                <w:bCs/>
                <w:sz w:val="20"/>
                <w:szCs w:val="20"/>
              </w:rPr>
              <w:t xml:space="preserve">Pembuatan kontrak dari template / CRM</w:t>
            </w:r>
          </w:p>
        </w:tc>
        <w:tc>
          <w:tcPr>
            <w:tcW w:type="dxa" w:w="3200"/>
            <w:tcMar>
              <w:top w:type="dxa" w:w="60"/>
              <w:left w:type="dxa" w:w="100"/>
              <w:bottom w:type="dxa" w:w="60"/>
              <w:right w:type="dxa" w:w="100"/>
            </w:tcMar>
          </w:tcPr>
          <w:p>
            <w:r>
              <w:rPr>
                <w:sz w:val="20"/>
                <w:szCs w:val="20"/>
              </w:rPr>
              <w:t xml:space="preserve">Smart contract generation dari data HubSpot/CRM, template reusable</w:t>
            </w:r>
          </w:p>
        </w:tc>
        <w:tc>
          <w:tcPr>
            <w:tcW w:type="dxa" w:w="3200"/>
            <w:tcMar>
              <w:top w:type="dxa" w:w="60"/>
              <w:left w:type="dxa" w:w="100"/>
              <w:bottom w:type="dxa" w:w="60"/>
              <w:right w:type="dxa" w:w="100"/>
            </w:tcMar>
          </w:tcPr>
          <w:p>
            <w:r>
              <w:rPr>
                <w:sz w:val="20"/>
                <w:szCs w:val="20"/>
              </w:rPr>
              <w:t xml:space="preserve">Belum ada modul kontrak; nilai kontrak hanya disimpan sebagai field contractValue pada Project</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Perlu modul Contract terpisah</w:t>
            </w:r>
          </w:p>
        </w:tc>
      </w:tr>
      <w:tr>
        <w:tc>
          <w:tcPr>
            <w:tcW w:type="dxa" w:w="2200"/>
            <w:tcMar>
              <w:top w:type="dxa" w:w="60"/>
              <w:left w:type="dxa" w:w="100"/>
              <w:bottom w:type="dxa" w:w="60"/>
              <w:right w:type="dxa" w:w="100"/>
            </w:tcMar>
          </w:tcPr>
          <w:p>
            <w:r>
              <w:rPr>
                <w:b/>
                <w:bCs/>
                <w:sz w:val="20"/>
                <w:szCs w:val="20"/>
              </w:rPr>
              <w:t xml:space="preserve">Jenis kontrak (Fixed Price, T&amp;M, Retainer, Recurring)</w:t>
            </w:r>
          </w:p>
        </w:tc>
        <w:tc>
          <w:tcPr>
            <w:tcW w:type="dxa" w:w="3200"/>
            <w:tcMar>
              <w:top w:type="dxa" w:w="60"/>
              <w:left w:type="dxa" w:w="100"/>
              <w:bottom w:type="dxa" w:w="60"/>
              <w:right w:type="dxa" w:w="100"/>
            </w:tcMar>
          </w:tcPr>
          <w:p>
            <w:r>
              <w:rPr>
                <w:sz w:val="20"/>
                <w:szCs w:val="20"/>
              </w:rPr>
              <w:t xml:space="preserve">Mendukung Fixed-price, Time &amp; Material, Installment, Recurring</w:t>
            </w:r>
          </w:p>
        </w:tc>
        <w:tc>
          <w:tcPr>
            <w:tcW w:type="dxa" w:w="3200"/>
            <w:tcMar>
              <w:top w:type="dxa" w:w="60"/>
              <w:left w:type="dxa" w:w="100"/>
              <w:bottom w:type="dxa" w:w="60"/>
              <w:right w:type="dxa" w:w="100"/>
            </w:tcMar>
          </w:tcPr>
          <w:p>
            <w:r>
              <w:rPr>
                <w:sz w:val="20"/>
                <w:szCs w:val="20"/>
              </w:rPr>
              <w:t xml:space="preserve">Tidak ada tipe kontrak eksplisit; semua proyek diasumsikan fixed-price</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Role-based rate per user</w:t>
            </w:r>
          </w:p>
        </w:tc>
        <w:tc>
          <w:tcPr>
            <w:tcW w:type="dxa" w:w="3200"/>
            <w:tcMar>
              <w:top w:type="dxa" w:w="60"/>
              <w:left w:type="dxa" w:w="100"/>
              <w:bottom w:type="dxa" w:w="60"/>
              <w:right w:type="dxa" w:w="100"/>
            </w:tcMar>
          </w:tcPr>
          <w:p>
            <w:r>
              <w:rPr>
                <w:sz w:val="20"/>
                <w:szCs w:val="20"/>
              </w:rPr>
              <w:t xml:space="preserve">Multiple rate per user berdasarkan role</w:t>
            </w:r>
          </w:p>
        </w:tc>
        <w:tc>
          <w:tcPr>
            <w:tcW w:type="dxa" w:w="3200"/>
            <w:tcMar>
              <w:top w:type="dxa" w:w="60"/>
              <w:left w:type="dxa" w:w="100"/>
              <w:bottom w:type="dxa" w:w="60"/>
              <w:right w:type="dxa" w:w="100"/>
            </w:tcMar>
          </w:tcPr>
          <w:p>
            <w:r>
              <w:rPr>
                <w:sz w:val="20"/>
                <w:szCs w:val="20"/>
              </w:rPr>
              <w:t xml:space="preserve">Hanya satu dailyRate per ProjectResource (per proyek)</w:t>
            </w:r>
          </w:p>
        </w:tc>
        <w:tc>
          <w:tcPr>
            <w:tcW w:type="dxa" w:w="1100"/>
            <w:shd w:fill="D97706" w:color="D97706" w:val="solid"/>
            <w:tcMar>
              <w:top w:type="dxa" w:w="60"/>
              <w:left w:type="dxa" w:w="100"/>
              <w:bottom w:type="dxa" w:w="60"/>
              <w:right w:type="dxa" w:w="100"/>
            </w:tcMar>
          </w:tcPr>
          <w:p>
            <w:pPr>
              <w:jc w:val="center"/>
            </w:pPr>
            <w:r>
              <w:rPr>
                <w:b/>
                <w:bCs/>
                <w:color w:val="FFFFFF"/>
                <w:sz w:val="20"/>
                <w:szCs w:val="20"/>
              </w:rPr>
              <w:t xml:space="preserve">Partial</w:t>
            </w:r>
          </w:p>
        </w:tc>
        <w:tc>
          <w:tcPr>
            <w:tcW w:type="dxa" w:w="1800"/>
            <w:tcMar>
              <w:top w:type="dxa" w:w="60"/>
              <w:left w:type="dxa" w:w="100"/>
              <w:bottom w:type="dxa" w:w="60"/>
              <w:right w:type="dxa" w:w="100"/>
            </w:tcMar>
          </w:tcPr>
          <w:p>
            <w:r>
              <w:rPr>
                <w:sz w:val="18"/>
                <w:szCs w:val="18"/>
              </w:rPr>
              <w:t xml:space="preserve">Rate per proyek sudah ada, tapi belum per-role library</w:t>
            </w:r>
          </w:p>
        </w:tc>
      </w:tr>
      <w:tr>
        <w:tc>
          <w:tcPr>
            <w:tcW w:type="dxa" w:w="2200"/>
            <w:tcMar>
              <w:top w:type="dxa" w:w="60"/>
              <w:left w:type="dxa" w:w="100"/>
              <w:bottom w:type="dxa" w:w="60"/>
              <w:right w:type="dxa" w:w="100"/>
            </w:tcMar>
          </w:tcPr>
          <w:p>
            <w:r>
              <w:rPr>
                <w:b/>
                <w:bCs/>
                <w:sz w:val="20"/>
                <w:szCs w:val="20"/>
              </w:rPr>
              <w:t xml:space="preserve">Project intake / handover Sales -&gt; PM</w:t>
            </w:r>
          </w:p>
        </w:tc>
        <w:tc>
          <w:tcPr>
            <w:tcW w:type="dxa" w:w="3200"/>
            <w:tcMar>
              <w:top w:type="dxa" w:w="60"/>
              <w:left w:type="dxa" w:w="100"/>
              <w:bottom w:type="dxa" w:w="60"/>
              <w:right w:type="dxa" w:w="100"/>
            </w:tcMar>
          </w:tcPr>
          <w:p>
            <w:r>
              <w:rPr>
                <w:sz w:val="20"/>
                <w:szCs w:val="20"/>
              </w:rPr>
              <w:t xml:space="preserve">Setup project 1-klik setelah deal close di CRM</w:t>
            </w:r>
          </w:p>
        </w:tc>
        <w:tc>
          <w:tcPr>
            <w:tcW w:type="dxa" w:w="3200"/>
            <w:tcMar>
              <w:top w:type="dxa" w:w="60"/>
              <w:left w:type="dxa" w:w="100"/>
              <w:bottom w:type="dxa" w:w="60"/>
              <w:right w:type="dxa" w:w="100"/>
            </w:tcMar>
          </w:tcPr>
          <w:p>
            <w:r>
              <w:rPr>
                <w:sz w:val="20"/>
                <w:szCs w:val="20"/>
              </w:rPr>
              <w:t xml:space="preserve">Workflow DRAFT -&gt; OBSERVATION (Sales isi 4 field -&gt; MGMT assign PM -&gt; PM lengkapi)</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Gantt chart &amp; task dependencies</w:t>
            </w:r>
          </w:p>
        </w:tc>
        <w:tc>
          <w:tcPr>
            <w:tcW w:type="dxa" w:w="3200"/>
            <w:tcMar>
              <w:top w:type="dxa" w:w="60"/>
              <w:left w:type="dxa" w:w="100"/>
              <w:bottom w:type="dxa" w:w="60"/>
              <w:right w:type="dxa" w:w="100"/>
            </w:tcMar>
          </w:tcPr>
          <w:p>
            <w:r>
              <w:rPr>
                <w:sz w:val="20"/>
                <w:szCs w:val="20"/>
              </w:rPr>
              <w:t xml:space="preserve">Gantt chart + Kanban + task board</w:t>
            </w:r>
          </w:p>
        </w:tc>
        <w:tc>
          <w:tcPr>
            <w:tcW w:type="dxa" w:w="3200"/>
            <w:tcMar>
              <w:top w:type="dxa" w:w="60"/>
              <w:left w:type="dxa" w:w="100"/>
              <w:bottom w:type="dxa" w:w="60"/>
              <w:right w:type="dxa" w:w="100"/>
            </w:tcMar>
          </w:tcPr>
          <w:p>
            <w:r>
              <w:rPr>
                <w:sz w:val="20"/>
                <w:szCs w:val="20"/>
              </w:rPr>
              <w:t xml:space="preserve">Gantt chart drag-drop + finish-to-start dependency + WBS (parentTaskId)</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Kanban board</w:t>
            </w:r>
          </w:p>
        </w:tc>
        <w:tc>
          <w:tcPr>
            <w:tcW w:type="dxa" w:w="3200"/>
            <w:tcMar>
              <w:top w:type="dxa" w:w="60"/>
              <w:left w:type="dxa" w:w="100"/>
              <w:bottom w:type="dxa" w:w="60"/>
              <w:right w:type="dxa" w:w="100"/>
            </w:tcMar>
          </w:tcPr>
          <w:p>
            <w:r>
              <w:rPr>
                <w:sz w:val="20"/>
                <w:szCs w:val="20"/>
              </w:rPr>
              <w:t xml:space="preserve">Kanban tersedia di semua plan</w:t>
            </w:r>
          </w:p>
        </w:tc>
        <w:tc>
          <w:tcPr>
            <w:tcW w:type="dxa" w:w="3200"/>
            <w:tcMar>
              <w:top w:type="dxa" w:w="60"/>
              <w:left w:type="dxa" w:w="100"/>
              <w:bottom w:type="dxa" w:w="60"/>
              <w:right w:type="dxa" w:w="100"/>
            </w:tcMar>
          </w:tcPr>
          <w:p>
            <w:r>
              <w:rPr>
                <w:sz w:val="20"/>
                <w:szCs w:val="20"/>
              </w:rPr>
              <w:t xml:space="preserve">Belum ada tampilan Kanban (hanya list + Gantt)</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Task template / WBS reusable</w:t>
            </w:r>
          </w:p>
        </w:tc>
        <w:tc>
          <w:tcPr>
            <w:tcW w:type="dxa" w:w="3200"/>
            <w:tcMar>
              <w:top w:type="dxa" w:w="60"/>
              <w:left w:type="dxa" w:w="100"/>
              <w:bottom w:type="dxa" w:w="60"/>
              <w:right w:type="dxa" w:w="100"/>
            </w:tcMar>
          </w:tcPr>
          <w:p>
            <w:r>
              <w:rPr>
                <w:sz w:val="20"/>
                <w:szCs w:val="20"/>
              </w:rPr>
              <w:t xml:space="preserve">Project template</w:t>
            </w:r>
          </w:p>
        </w:tc>
        <w:tc>
          <w:tcPr>
            <w:tcW w:type="dxa" w:w="3200"/>
            <w:tcMar>
              <w:top w:type="dxa" w:w="60"/>
              <w:left w:type="dxa" w:w="100"/>
              <w:bottom w:type="dxa" w:w="60"/>
              <w:right w:type="dxa" w:w="100"/>
            </w:tcMar>
          </w:tcPr>
          <w:p>
            <w:r>
              <w:rPr>
                <w:sz w:val="20"/>
                <w:szCs w:val="20"/>
              </w:rPr>
              <w:t xml:space="preserve">TaskTemplate model + Apply Template button pada Project Tasks tab</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Project status &amp; alert milestone</w:t>
            </w:r>
          </w:p>
        </w:tc>
        <w:tc>
          <w:tcPr>
            <w:tcW w:type="dxa" w:w="3200"/>
            <w:tcMar>
              <w:top w:type="dxa" w:w="60"/>
              <w:left w:type="dxa" w:w="100"/>
              <w:bottom w:type="dxa" w:w="60"/>
              <w:right w:type="dxa" w:w="100"/>
            </w:tcMar>
          </w:tcPr>
          <w:p>
            <w:r>
              <w:rPr>
                <w:sz w:val="20"/>
                <w:szCs w:val="20"/>
              </w:rPr>
              <w:t xml:space="preserve">Alert otomatis untuk over-budget/over-time</w:t>
            </w:r>
          </w:p>
        </w:tc>
        <w:tc>
          <w:tcPr>
            <w:tcW w:type="dxa" w:w="3200"/>
            <w:tcMar>
              <w:top w:type="dxa" w:w="60"/>
              <w:left w:type="dxa" w:w="100"/>
              <w:bottom w:type="dxa" w:w="60"/>
              <w:right w:type="dxa" w:w="100"/>
            </w:tcMar>
          </w:tcPr>
          <w:p>
            <w:r>
              <w:rPr>
                <w:sz w:val="20"/>
                <w:szCs w:val="20"/>
              </w:rPr>
              <w:t xml:space="preserve">Banner warning di Overview tab + alert pending expense; belum ada alert otomatis budget</w:t>
            </w:r>
          </w:p>
        </w:tc>
        <w:tc>
          <w:tcPr>
            <w:tcW w:type="dxa" w:w="1100"/>
            <w:shd w:fill="D97706" w:color="D97706" w:val="solid"/>
            <w:tcMar>
              <w:top w:type="dxa" w:w="60"/>
              <w:left w:type="dxa" w:w="100"/>
              <w:bottom w:type="dxa" w:w="60"/>
              <w:right w:type="dxa" w:w="100"/>
            </w:tcMar>
          </w:tcPr>
          <w:p>
            <w:pPr>
              <w:jc w:val="center"/>
            </w:pPr>
            <w:r>
              <w:rPr>
                <w:b/>
                <w:bCs/>
                <w:color w:val="FFFFFF"/>
                <w:sz w:val="20"/>
                <w:szCs w:val="20"/>
              </w:rPr>
              <w:t xml:space="preserve">Partial</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Multi-company / Business Unit</w:t>
            </w:r>
          </w:p>
        </w:tc>
        <w:tc>
          <w:tcPr>
            <w:tcW w:type="dxa" w:w="3200"/>
            <w:tcMar>
              <w:top w:type="dxa" w:w="60"/>
              <w:left w:type="dxa" w:w="100"/>
              <w:bottom w:type="dxa" w:w="60"/>
              <w:right w:type="dxa" w:w="100"/>
            </w:tcMar>
          </w:tcPr>
          <w:p>
            <w:r>
              <w:rPr>
                <w:sz w:val="20"/>
                <w:szCs w:val="20"/>
              </w:rPr>
              <w:t xml:space="preserve">Multi-Company di Enterprise; Business Unit di Professional</w:t>
            </w:r>
          </w:p>
        </w:tc>
        <w:tc>
          <w:tcPr>
            <w:tcW w:type="dxa" w:w="3200"/>
            <w:tcMar>
              <w:top w:type="dxa" w:w="60"/>
              <w:left w:type="dxa" w:w="100"/>
              <w:bottom w:type="dxa" w:w="60"/>
              <w:right w:type="dxa" w:w="100"/>
            </w:tcMar>
          </w:tcPr>
          <w:p>
            <w:r>
              <w:rPr>
                <w:sz w:val="20"/>
                <w:szCs w:val="20"/>
              </w:rPr>
              <w:t xml:space="preserve">BusinessUnit model (3 BU: Pentest, GRC, Threat Hunting) - single tenant</w:t>
            </w:r>
          </w:p>
        </w:tc>
        <w:tc>
          <w:tcPr>
            <w:tcW w:type="dxa" w:w="1100"/>
            <w:shd w:fill="D97706" w:color="D97706" w:val="solid"/>
            <w:tcMar>
              <w:top w:type="dxa" w:w="60"/>
              <w:left w:type="dxa" w:w="100"/>
              <w:bottom w:type="dxa" w:w="60"/>
              <w:right w:type="dxa" w:w="100"/>
            </w:tcMar>
          </w:tcPr>
          <w:p>
            <w:pPr>
              <w:jc w:val="center"/>
            </w:pPr>
            <w:r>
              <w:rPr>
                <w:b/>
                <w:bCs/>
                <w:color w:val="FFFFFF"/>
                <w:sz w:val="20"/>
                <w:szCs w:val="20"/>
              </w:rPr>
              <w:t xml:space="preserve">Partial</w:t>
            </w:r>
          </w:p>
        </w:tc>
        <w:tc>
          <w:tcPr>
            <w:tcW w:type="dxa" w:w="1800"/>
            <w:tcMar>
              <w:top w:type="dxa" w:w="60"/>
              <w:left w:type="dxa" w:w="100"/>
              <w:bottom w:type="dxa" w:w="60"/>
              <w:right w:type="dxa" w:w="100"/>
            </w:tcMar>
          </w:tcPr>
          <w:p>
            <w:r>
              <w:rPr>
                <w:sz w:val="18"/>
                <w:szCs w:val="18"/>
              </w:rPr>
              <w:t xml:space="preserve">BU sudah ada, belum multi-company</w:t>
            </w:r>
          </w:p>
        </w:tc>
      </w:tr>
      <w:tr>
        <w:tc>
          <w:tcPr>
            <w:tcW w:type="dxa" w:w="2200"/>
            <w:tcMar>
              <w:top w:type="dxa" w:w="60"/>
              <w:left w:type="dxa" w:w="100"/>
              <w:bottom w:type="dxa" w:w="60"/>
              <w:right w:type="dxa" w:w="100"/>
            </w:tcMar>
          </w:tcPr>
          <w:p>
            <w:r>
              <w:rPr>
                <w:b/>
                <w:bCs/>
                <w:sz w:val="20"/>
                <w:szCs w:val="20"/>
              </w:rPr>
              <w:t xml:space="preserve">Multi-currency</w:t>
            </w:r>
          </w:p>
        </w:tc>
        <w:tc>
          <w:tcPr>
            <w:tcW w:type="dxa" w:w="3200"/>
            <w:tcMar>
              <w:top w:type="dxa" w:w="60"/>
              <w:left w:type="dxa" w:w="100"/>
              <w:bottom w:type="dxa" w:w="60"/>
              <w:right w:type="dxa" w:w="100"/>
            </w:tcMar>
          </w:tcPr>
          <w:p>
            <w:r>
              <w:rPr>
                <w:sz w:val="20"/>
                <w:szCs w:val="20"/>
              </w:rPr>
              <w:t xml:space="preserve">Multi-currency di Enterprise</w:t>
            </w:r>
          </w:p>
        </w:tc>
        <w:tc>
          <w:tcPr>
            <w:tcW w:type="dxa" w:w="3200"/>
            <w:tcMar>
              <w:top w:type="dxa" w:w="60"/>
              <w:left w:type="dxa" w:w="100"/>
              <w:bottom w:type="dxa" w:w="60"/>
              <w:right w:type="dxa" w:w="100"/>
            </w:tcMar>
          </w:tcPr>
          <w:p>
            <w:r>
              <w:rPr>
                <w:sz w:val="20"/>
                <w:szCs w:val="20"/>
              </w:rPr>
              <w:t xml:space="preserve">Hanya IDR (formatIDR)</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bl>
    <w:p>
      <w:r>
        <w:t xml:space="preserve"/>
      </w:r>
    </w:p>
    <w:p>
      <w:pPr>
        <w:pStyle w:val="Heading3"/>
        <w:spacing w:after="120" w:before="240"/>
      </w:pPr>
      <w:r>
        <w:rPr>
          <w:b/>
          <w:bCs/>
          <w:color w:val="0F172A"/>
          <w:sz w:val="26"/>
          <w:szCs w:val="26"/>
        </w:rPr>
        <w:t xml:space="preserve">2. Time Tracking &amp; Expense</w:t>
      </w:r>
    </w:p>
    <w:tbl>
      <w:tblPr>
        <w:tblW w:type="dxa" w:w="115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dxa" w:w="2200"/>
            <w:shd w:fill="0F172A" w:color="0F172A" w:val="solid"/>
            <w:tcMar>
              <w:top w:type="dxa" w:w="80"/>
              <w:left w:type="dxa" w:w="100"/>
              <w:bottom w:type="dxa" w:w="80"/>
              <w:right w:type="dxa" w:w="100"/>
            </w:tcMar>
          </w:tcPr>
          <w:p>
            <w:r>
              <w:rPr>
                <w:b/>
                <w:bCs/>
                <w:color w:val="FFFFFF"/>
              </w:rPr>
              <w:t xml:space="preserve">Fitur</w:t>
            </w:r>
          </w:p>
        </w:tc>
        <w:tc>
          <w:tcPr>
            <w:tcW w:type="dxa" w:w="3200"/>
            <w:shd w:fill="0F172A" w:color="0F172A" w:val="solid"/>
            <w:tcMar>
              <w:top w:type="dxa" w:w="80"/>
              <w:left w:type="dxa" w:w="100"/>
              <w:bottom w:type="dxa" w:w="80"/>
              <w:right w:type="dxa" w:w="100"/>
            </w:tcMar>
          </w:tcPr>
          <w:p>
            <w:r>
              <w:rPr>
                <w:b/>
                <w:bCs/>
                <w:color w:val="FFFFFF"/>
              </w:rPr>
              <w:t xml:space="preserve">PSOhub</w:t>
            </w:r>
          </w:p>
        </w:tc>
        <w:tc>
          <w:tcPr>
            <w:tcW w:type="dxa" w:w="3200"/>
            <w:shd w:fill="0F172A" w:color="0F172A" w:val="solid"/>
            <w:tcMar>
              <w:top w:type="dxa" w:w="80"/>
              <w:left w:type="dxa" w:w="100"/>
              <w:bottom w:type="dxa" w:w="80"/>
              <w:right w:type="dxa" w:w="100"/>
            </w:tcMar>
          </w:tcPr>
          <w:p>
            <w:r>
              <w:rPr>
                <w:b/>
                <w:bCs/>
                <w:color w:val="FFFFFF"/>
              </w:rPr>
              <w:t xml:space="preserve">SecureProfit Hub</w:t>
            </w:r>
          </w:p>
        </w:tc>
        <w:tc>
          <w:tcPr>
            <w:tcW w:type="dxa" w:w="1100"/>
            <w:shd w:fill="0F172A" w:color="0F172A" w:val="solid"/>
            <w:tcMar>
              <w:top w:type="dxa" w:w="80"/>
              <w:left w:type="dxa" w:w="100"/>
              <w:bottom w:type="dxa" w:w="80"/>
              <w:right w:type="dxa" w:w="100"/>
            </w:tcMar>
          </w:tcPr>
          <w:p>
            <w:r>
              <w:rPr>
                <w:b/>
                <w:bCs/>
                <w:color w:val="FFFFFF"/>
              </w:rPr>
              <w:t xml:space="preserve">Status</w:t>
            </w:r>
          </w:p>
        </w:tc>
        <w:tc>
          <w:tcPr>
            <w:tcW w:type="dxa" w:w="1800"/>
            <w:shd w:fill="0F172A" w:color="0F172A" w:val="solid"/>
            <w:tcMar>
              <w:top w:type="dxa" w:w="80"/>
              <w:left w:type="dxa" w:w="100"/>
              <w:bottom w:type="dxa" w:w="80"/>
              <w:right w:type="dxa" w:w="100"/>
            </w:tcMar>
          </w:tcPr>
          <w:p>
            <w:r>
              <w:rPr>
                <w:b/>
                <w:bCs/>
                <w:color w:val="FFFFFF"/>
              </w:rPr>
              <w:t xml:space="preserve">Catatan</w:t>
            </w:r>
          </w:p>
        </w:tc>
      </w:tr>
      <w:tr>
        <w:tc>
          <w:tcPr>
            <w:tcW w:type="dxa" w:w="2200"/>
            <w:tcMar>
              <w:top w:type="dxa" w:w="60"/>
              <w:left w:type="dxa" w:w="100"/>
              <w:bottom w:type="dxa" w:w="60"/>
              <w:right w:type="dxa" w:w="100"/>
            </w:tcMar>
          </w:tcPr>
          <w:p>
            <w:r>
              <w:rPr>
                <w:b/>
                <w:bCs/>
                <w:sz w:val="20"/>
                <w:szCs w:val="20"/>
              </w:rPr>
              <w:t xml:space="preserve">Timesheet entry (harian/mingguan)</w:t>
            </w:r>
          </w:p>
        </w:tc>
        <w:tc>
          <w:tcPr>
            <w:tcW w:type="dxa" w:w="3200"/>
            <w:tcMar>
              <w:top w:type="dxa" w:w="60"/>
              <w:left w:type="dxa" w:w="100"/>
              <w:bottom w:type="dxa" w:w="60"/>
              <w:right w:type="dxa" w:w="100"/>
            </w:tcMar>
          </w:tcPr>
          <w:p>
            <w:r>
              <w:rPr>
                <w:sz w:val="20"/>
                <w:szCs w:val="20"/>
              </w:rPr>
              <w:t xml:space="preserve">Timesheet via web, mobile, plugin, kalender</w:t>
            </w:r>
          </w:p>
        </w:tc>
        <w:tc>
          <w:tcPr>
            <w:tcW w:type="dxa" w:w="3200"/>
            <w:tcMar>
              <w:top w:type="dxa" w:w="60"/>
              <w:left w:type="dxa" w:w="100"/>
              <w:bottom w:type="dxa" w:w="60"/>
              <w:right w:type="dxa" w:w="100"/>
            </w:tcMar>
          </w:tcPr>
          <w:p>
            <w:r>
              <w:rPr>
                <w:sz w:val="20"/>
                <w:szCs w:val="20"/>
              </w:rPr>
              <w:t xml:space="preserve">Form timesheet + Entry Mingguan grid 5 hari kerja (bulk submit)</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Approval flow timesheet</w:t>
            </w:r>
          </w:p>
        </w:tc>
        <w:tc>
          <w:tcPr>
            <w:tcW w:type="dxa" w:w="3200"/>
            <w:tcMar>
              <w:top w:type="dxa" w:w="60"/>
              <w:left w:type="dxa" w:w="100"/>
              <w:bottom w:type="dxa" w:w="60"/>
              <w:right w:type="dxa" w:w="100"/>
            </w:tcMar>
          </w:tcPr>
          <w:p>
            <w:r>
              <w:rPr>
                <w:sz w:val="20"/>
                <w:szCs w:val="20"/>
              </w:rPr>
              <w:t xml:space="preserve">PM Approval (Pro), Team Lead Approval (Ent)</w:t>
            </w:r>
          </w:p>
        </w:tc>
        <w:tc>
          <w:tcPr>
            <w:tcW w:type="dxa" w:w="3200"/>
            <w:tcMar>
              <w:top w:type="dxa" w:w="60"/>
              <w:left w:type="dxa" w:w="100"/>
              <w:bottom w:type="dxa" w:w="60"/>
              <w:right w:type="dxa" w:w="100"/>
            </w:tcMar>
          </w:tcPr>
          <w:p>
            <w:r>
              <w:rPr>
                <w:sz w:val="20"/>
                <w:szCs w:val="20"/>
              </w:rPr>
              <w:t xml:space="preserve">DRAFT -&gt; SUBMITTED -&gt; APPROVED/REJECTED oleh PM/MGMT; PM auto-approved</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Time logging per task (billable flag)</w:t>
            </w:r>
          </w:p>
        </w:tc>
        <w:tc>
          <w:tcPr>
            <w:tcW w:type="dxa" w:w="3200"/>
            <w:tcMar>
              <w:top w:type="dxa" w:w="60"/>
              <w:left w:type="dxa" w:w="100"/>
              <w:bottom w:type="dxa" w:w="60"/>
              <w:right w:type="dxa" w:w="100"/>
            </w:tcMar>
          </w:tcPr>
          <w:p>
            <w:r>
              <w:rPr>
                <w:sz w:val="20"/>
                <w:szCs w:val="20"/>
              </w:rPr>
              <w:t xml:space="preserve">Billable/non-billable per task</w:t>
            </w:r>
          </w:p>
        </w:tc>
        <w:tc>
          <w:tcPr>
            <w:tcW w:type="dxa" w:w="3200"/>
            <w:tcMar>
              <w:top w:type="dxa" w:w="60"/>
              <w:left w:type="dxa" w:w="100"/>
              <w:bottom w:type="dxa" w:w="60"/>
              <w:right w:type="dxa" w:w="100"/>
            </w:tcMar>
          </w:tcPr>
          <w:p>
            <w:r>
              <w:rPr>
                <w:sz w:val="20"/>
                <w:szCs w:val="20"/>
              </w:rPr>
              <w:t xml:space="preserve">Task.billable flag; non-billable tidak masuk margin</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Calendar / mobile / plugin integration</w:t>
            </w:r>
          </w:p>
        </w:tc>
        <w:tc>
          <w:tcPr>
            <w:tcW w:type="dxa" w:w="3200"/>
            <w:tcMar>
              <w:top w:type="dxa" w:w="60"/>
              <w:left w:type="dxa" w:w="100"/>
              <w:bottom w:type="dxa" w:w="60"/>
              <w:right w:type="dxa" w:w="100"/>
            </w:tcMar>
          </w:tcPr>
          <w:p>
            <w:r>
              <w:rPr>
                <w:sz w:val="20"/>
                <w:szCs w:val="20"/>
              </w:rPr>
              <w:t xml:space="preserve">Integrasi Outlook/Google Calendar, mobile app, plugin</w:t>
            </w:r>
          </w:p>
        </w:tc>
        <w:tc>
          <w:tcPr>
            <w:tcW w:type="dxa" w:w="3200"/>
            <w:tcMar>
              <w:top w:type="dxa" w:w="60"/>
              <w:left w:type="dxa" w:w="100"/>
              <w:bottom w:type="dxa" w:w="60"/>
              <w:right w:type="dxa" w:w="100"/>
            </w:tcMar>
          </w:tcPr>
          <w:p>
            <w:r>
              <w:rPr>
                <w:sz w:val="20"/>
                <w:szCs w:val="20"/>
              </w:rPr>
              <w:t xml:space="preserve">Hanya entry via web form</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Expense tracking (attachment &amp; pajak)</w:t>
            </w:r>
          </w:p>
        </w:tc>
        <w:tc>
          <w:tcPr>
            <w:tcW w:type="dxa" w:w="3200"/>
            <w:tcMar>
              <w:top w:type="dxa" w:w="60"/>
              <w:left w:type="dxa" w:w="100"/>
              <w:bottom w:type="dxa" w:w="60"/>
              <w:right w:type="dxa" w:w="100"/>
            </w:tcMar>
          </w:tcPr>
          <w:p>
            <w:r>
              <w:rPr>
                <w:sz w:val="20"/>
                <w:szCs w:val="20"/>
              </w:rPr>
              <w:t xml:space="preserve">Expense dengan attachment + tax</w:t>
            </w:r>
          </w:p>
        </w:tc>
        <w:tc>
          <w:tcPr>
            <w:tcW w:type="dxa" w:w="3200"/>
            <w:tcMar>
              <w:top w:type="dxa" w:w="60"/>
              <w:left w:type="dxa" w:w="100"/>
              <w:bottom w:type="dxa" w:w="60"/>
              <w:right w:type="dxa" w:w="100"/>
            </w:tcMar>
          </w:tcPr>
          <w:p>
            <w:r>
              <w:rPr>
                <w:sz w:val="20"/>
                <w:szCs w:val="20"/>
              </w:rPr>
              <w:t xml:space="preserve">ProjectExpense (category, amount, approval); belum support attachment &amp; pajak</w:t>
            </w:r>
          </w:p>
        </w:tc>
        <w:tc>
          <w:tcPr>
            <w:tcW w:type="dxa" w:w="1100"/>
            <w:shd w:fill="D97706" w:color="D97706" w:val="solid"/>
            <w:tcMar>
              <w:top w:type="dxa" w:w="60"/>
              <w:left w:type="dxa" w:w="100"/>
              <w:bottom w:type="dxa" w:w="60"/>
              <w:right w:type="dxa" w:w="100"/>
            </w:tcMar>
          </w:tcPr>
          <w:p>
            <w:pPr>
              <w:jc w:val="center"/>
            </w:pPr>
            <w:r>
              <w:rPr>
                <w:b/>
                <w:bCs/>
                <w:color w:val="FFFFFF"/>
                <w:sz w:val="20"/>
                <w:szCs w:val="20"/>
              </w:rPr>
              <w:t xml:space="preserve">Partial</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Leave / absence management</w:t>
            </w:r>
          </w:p>
        </w:tc>
        <w:tc>
          <w:tcPr>
            <w:tcW w:type="dxa" w:w="3200"/>
            <w:tcMar>
              <w:top w:type="dxa" w:w="60"/>
              <w:left w:type="dxa" w:w="100"/>
              <w:bottom w:type="dxa" w:w="60"/>
              <w:right w:type="dxa" w:w="100"/>
            </w:tcMar>
          </w:tcPr>
          <w:p>
            <w:r>
              <w:rPr>
                <w:sz w:val="20"/>
                <w:szCs w:val="20"/>
              </w:rPr>
              <w:t xml:space="preserve">Manage Absence (Professional+)</w:t>
            </w:r>
          </w:p>
        </w:tc>
        <w:tc>
          <w:tcPr>
            <w:tcW w:type="dxa" w:w="3200"/>
            <w:tcMar>
              <w:top w:type="dxa" w:w="60"/>
              <w:left w:type="dxa" w:w="100"/>
              <w:bottom w:type="dxa" w:w="60"/>
              <w:right w:type="dxa" w:w="100"/>
            </w:tcMar>
          </w:tcPr>
          <w:p>
            <w:r>
              <w:rPr>
                <w:sz w:val="20"/>
                <w:szCs w:val="20"/>
              </w:rPr>
              <w:t xml:space="preserve">UserLeave model (ANNUAL/SICK/TRAINING/UNPAID/OTHER) + overlay di Resource Planning</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bl>
    <w:p>
      <w:r>
        <w:t xml:space="preserve"/>
      </w:r>
    </w:p>
    <w:p>
      <w:pPr>
        <w:pStyle w:val="Heading3"/>
        <w:spacing w:after="120" w:before="240"/>
      </w:pPr>
      <w:r>
        <w:rPr>
          <w:b/>
          <w:bCs/>
          <w:color w:val="0F172A"/>
          <w:sz w:val="26"/>
          <w:szCs w:val="26"/>
        </w:rPr>
        <w:t xml:space="preserve">3. Resource &amp; Capacity Management</w:t>
      </w:r>
    </w:p>
    <w:tbl>
      <w:tblPr>
        <w:tblW w:type="dxa" w:w="115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dxa" w:w="2200"/>
            <w:shd w:fill="0F172A" w:color="0F172A" w:val="solid"/>
            <w:tcMar>
              <w:top w:type="dxa" w:w="80"/>
              <w:left w:type="dxa" w:w="100"/>
              <w:bottom w:type="dxa" w:w="80"/>
              <w:right w:type="dxa" w:w="100"/>
            </w:tcMar>
          </w:tcPr>
          <w:p>
            <w:r>
              <w:rPr>
                <w:b/>
                <w:bCs/>
                <w:color w:val="FFFFFF"/>
              </w:rPr>
              <w:t xml:space="preserve">Fitur</w:t>
            </w:r>
          </w:p>
        </w:tc>
        <w:tc>
          <w:tcPr>
            <w:tcW w:type="dxa" w:w="3200"/>
            <w:shd w:fill="0F172A" w:color="0F172A" w:val="solid"/>
            <w:tcMar>
              <w:top w:type="dxa" w:w="80"/>
              <w:left w:type="dxa" w:w="100"/>
              <w:bottom w:type="dxa" w:w="80"/>
              <w:right w:type="dxa" w:w="100"/>
            </w:tcMar>
          </w:tcPr>
          <w:p>
            <w:r>
              <w:rPr>
                <w:b/>
                <w:bCs/>
                <w:color w:val="FFFFFF"/>
              </w:rPr>
              <w:t xml:space="preserve">PSOhub</w:t>
            </w:r>
          </w:p>
        </w:tc>
        <w:tc>
          <w:tcPr>
            <w:tcW w:type="dxa" w:w="3200"/>
            <w:shd w:fill="0F172A" w:color="0F172A" w:val="solid"/>
            <w:tcMar>
              <w:top w:type="dxa" w:w="80"/>
              <w:left w:type="dxa" w:w="100"/>
              <w:bottom w:type="dxa" w:w="80"/>
              <w:right w:type="dxa" w:w="100"/>
            </w:tcMar>
          </w:tcPr>
          <w:p>
            <w:r>
              <w:rPr>
                <w:b/>
                <w:bCs/>
                <w:color w:val="FFFFFF"/>
              </w:rPr>
              <w:t xml:space="preserve">SecureProfit Hub</w:t>
            </w:r>
          </w:p>
        </w:tc>
        <w:tc>
          <w:tcPr>
            <w:tcW w:type="dxa" w:w="1100"/>
            <w:shd w:fill="0F172A" w:color="0F172A" w:val="solid"/>
            <w:tcMar>
              <w:top w:type="dxa" w:w="80"/>
              <w:left w:type="dxa" w:w="100"/>
              <w:bottom w:type="dxa" w:w="80"/>
              <w:right w:type="dxa" w:w="100"/>
            </w:tcMar>
          </w:tcPr>
          <w:p>
            <w:r>
              <w:rPr>
                <w:b/>
                <w:bCs/>
                <w:color w:val="FFFFFF"/>
              </w:rPr>
              <w:t xml:space="preserve">Status</w:t>
            </w:r>
          </w:p>
        </w:tc>
        <w:tc>
          <w:tcPr>
            <w:tcW w:type="dxa" w:w="1800"/>
            <w:shd w:fill="0F172A" w:color="0F172A" w:val="solid"/>
            <w:tcMar>
              <w:top w:type="dxa" w:w="80"/>
              <w:left w:type="dxa" w:w="100"/>
              <w:bottom w:type="dxa" w:w="80"/>
              <w:right w:type="dxa" w:w="100"/>
            </w:tcMar>
          </w:tcPr>
          <w:p>
            <w:r>
              <w:rPr>
                <w:b/>
                <w:bCs/>
                <w:color w:val="FFFFFF"/>
              </w:rPr>
              <w:t xml:space="preserve">Catatan</w:t>
            </w:r>
          </w:p>
        </w:tc>
      </w:tr>
      <w:tr>
        <w:tc>
          <w:tcPr>
            <w:tcW w:type="dxa" w:w="2200"/>
            <w:tcMar>
              <w:top w:type="dxa" w:w="60"/>
              <w:left w:type="dxa" w:w="100"/>
              <w:bottom w:type="dxa" w:w="60"/>
              <w:right w:type="dxa" w:w="100"/>
            </w:tcMar>
          </w:tcPr>
          <w:p>
            <w:r>
              <w:rPr>
                <w:b/>
                <w:bCs/>
                <w:sz w:val="20"/>
                <w:szCs w:val="20"/>
              </w:rPr>
              <w:t xml:space="preserve">Resource planning per minggu</w:t>
            </w:r>
          </w:p>
        </w:tc>
        <w:tc>
          <w:tcPr>
            <w:tcW w:type="dxa" w:w="3200"/>
            <w:tcMar>
              <w:top w:type="dxa" w:w="60"/>
              <w:left w:type="dxa" w:w="100"/>
              <w:bottom w:type="dxa" w:w="60"/>
              <w:right w:type="dxa" w:w="100"/>
            </w:tcMar>
          </w:tcPr>
          <w:p>
            <w:r>
              <w:rPr>
                <w:sz w:val="20"/>
                <w:szCs w:val="20"/>
              </w:rPr>
              <w:t xml:space="preserve">Resource Planning + Capacity Overview (Enterprise)</w:t>
            </w:r>
          </w:p>
        </w:tc>
        <w:tc>
          <w:tcPr>
            <w:tcW w:type="dxa" w:w="3200"/>
            <w:tcMar>
              <w:top w:type="dxa" w:w="60"/>
              <w:left w:type="dxa" w:w="100"/>
              <w:bottom w:type="dxa" w:w="60"/>
              <w:right w:type="dxa" w:w="100"/>
            </w:tcMar>
          </w:tcPr>
          <w:p>
            <w:r>
              <w:rPr>
                <w:sz w:val="20"/>
                <w:szCs w:val="20"/>
              </w:rPr>
              <w:t xml:space="preserve">/resource-planning BU-grouped weekly mandays + color coding + tooltip</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Skill/role-based resource matching</w:t>
            </w:r>
          </w:p>
        </w:tc>
        <w:tc>
          <w:tcPr>
            <w:tcW w:type="dxa" w:w="3200"/>
            <w:tcMar>
              <w:top w:type="dxa" w:w="60"/>
              <w:left w:type="dxa" w:w="100"/>
              <w:bottom w:type="dxa" w:w="60"/>
              <w:right w:type="dxa" w:w="100"/>
            </w:tcMar>
          </w:tcPr>
          <w:p>
            <w:r>
              <w:rPr>
                <w:sz w:val="20"/>
                <w:szCs w:val="20"/>
              </w:rPr>
              <w:t xml:space="preserve">Role/Skill based planning</w:t>
            </w:r>
          </w:p>
        </w:tc>
        <w:tc>
          <w:tcPr>
            <w:tcW w:type="dxa" w:w="3200"/>
            <w:tcMar>
              <w:top w:type="dxa" w:w="60"/>
              <w:left w:type="dxa" w:w="100"/>
              <w:bottom w:type="dxa" w:w="60"/>
              <w:right w:type="dxa" w:w="100"/>
            </w:tcMar>
          </w:tcPr>
          <w:p>
            <w:r>
              <w:rPr>
                <w:sz w:val="20"/>
                <w:szCs w:val="20"/>
              </w:rPr>
              <w:t xml:space="preserve">Skill + UserSkill (proficiency 1-5) + /skill-matrix gap analysis</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AI auto-scheduling resource</w:t>
            </w:r>
          </w:p>
        </w:tc>
        <w:tc>
          <w:tcPr>
            <w:tcW w:type="dxa" w:w="3200"/>
            <w:tcMar>
              <w:top w:type="dxa" w:w="60"/>
              <w:left w:type="dxa" w:w="100"/>
              <w:bottom w:type="dxa" w:w="60"/>
              <w:right w:type="dxa" w:w="100"/>
            </w:tcMar>
          </w:tcPr>
          <w:p>
            <w:r>
              <w:rPr>
                <w:sz w:val="20"/>
                <w:szCs w:val="20"/>
              </w:rPr>
              <w:t xml:space="preserve">AI Scheduling (Enterprise) - auto-assign resource</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Backlog report (planned belum dibooking)</w:t>
            </w:r>
          </w:p>
        </w:tc>
        <w:tc>
          <w:tcPr>
            <w:tcW w:type="dxa" w:w="3200"/>
            <w:tcMar>
              <w:top w:type="dxa" w:w="60"/>
              <w:left w:type="dxa" w:w="100"/>
              <w:bottom w:type="dxa" w:w="60"/>
              <w:right w:type="dxa" w:w="100"/>
            </w:tcMar>
          </w:tcPr>
          <w:p>
            <w:r>
              <w:rPr>
                <w:sz w:val="20"/>
                <w:szCs w:val="20"/>
              </w:rPr>
              <w:t xml:space="preserve">Backlog Report (Enterprise)</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Hierarchy / Principal supervision</w:t>
            </w:r>
          </w:p>
        </w:tc>
        <w:tc>
          <w:tcPr>
            <w:tcW w:type="dxa" w:w="3200"/>
            <w:tcMar>
              <w:top w:type="dxa" w:w="60"/>
              <w:left w:type="dxa" w:w="100"/>
              <w:bottom w:type="dxa" w:w="60"/>
              <w:right w:type="dxa" w:w="100"/>
            </w:tcMar>
          </w:tcPr>
          <w:p>
            <w:r>
              <w:rPr>
                <w:sz w:val="20"/>
                <w:szCs w:val="20"/>
              </w:rPr>
              <w:t xml:space="preserve">Team Lead approval (Enterprise)</w:t>
            </w:r>
          </w:p>
        </w:tc>
        <w:tc>
          <w:tcPr>
            <w:tcW w:type="dxa" w:w="3200"/>
            <w:tcMar>
              <w:top w:type="dxa" w:w="60"/>
              <w:left w:type="dxa" w:w="100"/>
              <w:bottom w:type="dxa" w:w="60"/>
              <w:right w:type="dxa" w:w="100"/>
            </w:tcMar>
          </w:tcPr>
          <w:p>
            <w:r>
              <w:rPr>
                <w:sz w:val="20"/>
                <w:szCs w:val="20"/>
              </w:rPr>
              <w:t xml:space="preserve">3 Principal roles + propose-accept workflow staffing</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Lebih domain-specific</w:t>
            </w:r>
          </w:p>
        </w:tc>
      </w:tr>
      <w:tr>
        <w:tc>
          <w:tcPr>
            <w:tcW w:type="dxa" w:w="2200"/>
            <w:tcMar>
              <w:top w:type="dxa" w:w="60"/>
              <w:left w:type="dxa" w:w="100"/>
              <w:bottom w:type="dxa" w:w="60"/>
              <w:right w:type="dxa" w:w="100"/>
            </w:tcMar>
          </w:tcPr>
          <w:p>
            <w:r>
              <w:rPr>
                <w:b/>
                <w:bCs/>
                <w:sz w:val="20"/>
                <w:szCs w:val="20"/>
              </w:rPr>
              <w:t xml:space="preserve">Bench / utilization report</w:t>
            </w:r>
          </w:p>
        </w:tc>
        <w:tc>
          <w:tcPr>
            <w:tcW w:type="dxa" w:w="3200"/>
            <w:tcMar>
              <w:top w:type="dxa" w:w="60"/>
              <w:left w:type="dxa" w:w="100"/>
              <w:bottom w:type="dxa" w:w="60"/>
              <w:right w:type="dxa" w:w="100"/>
            </w:tcMar>
          </w:tcPr>
          <w:p>
            <w:r>
              <w:rPr>
                <w:sz w:val="20"/>
                <w:szCs w:val="20"/>
              </w:rPr>
              <w:t xml:space="preserve">Resource Capacity Overview</w:t>
            </w:r>
          </w:p>
        </w:tc>
        <w:tc>
          <w:tcPr>
            <w:tcW w:type="dxa" w:w="3200"/>
            <w:tcMar>
              <w:top w:type="dxa" w:w="60"/>
              <w:left w:type="dxa" w:w="100"/>
              <w:bottom w:type="dxa" w:w="60"/>
              <w:right w:type="dxa" w:w="100"/>
            </w:tcMar>
          </w:tcPr>
          <w:p>
            <w:r>
              <w:rPr>
                <w:sz w:val="20"/>
                <w:szCs w:val="20"/>
              </w:rPr>
              <w:t xml:space="preserve">Bench Report + team utilization di PM dashboard</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bl>
    <w:p>
      <w:r>
        <w:t xml:space="preserve"/>
      </w:r>
    </w:p>
    <w:p>
      <w:pPr>
        <w:pStyle w:val="Heading3"/>
        <w:spacing w:after="120" w:before="240"/>
      </w:pPr>
      <w:r>
        <w:rPr>
          <w:b/>
          <w:bCs/>
          <w:color w:val="0F172A"/>
          <w:sz w:val="26"/>
          <w:szCs w:val="26"/>
        </w:rPr>
        <w:t xml:space="preserve">4. Invoicing &amp; Billing</w:t>
      </w:r>
    </w:p>
    <w:tbl>
      <w:tblPr>
        <w:tblW w:type="dxa" w:w="115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dxa" w:w="2200"/>
            <w:shd w:fill="0F172A" w:color="0F172A" w:val="solid"/>
            <w:tcMar>
              <w:top w:type="dxa" w:w="80"/>
              <w:left w:type="dxa" w:w="100"/>
              <w:bottom w:type="dxa" w:w="80"/>
              <w:right w:type="dxa" w:w="100"/>
            </w:tcMar>
          </w:tcPr>
          <w:p>
            <w:r>
              <w:rPr>
                <w:b/>
                <w:bCs/>
                <w:color w:val="FFFFFF"/>
              </w:rPr>
              <w:t xml:space="preserve">Fitur</w:t>
            </w:r>
          </w:p>
        </w:tc>
        <w:tc>
          <w:tcPr>
            <w:tcW w:type="dxa" w:w="3200"/>
            <w:shd w:fill="0F172A" w:color="0F172A" w:val="solid"/>
            <w:tcMar>
              <w:top w:type="dxa" w:w="80"/>
              <w:left w:type="dxa" w:w="100"/>
              <w:bottom w:type="dxa" w:w="80"/>
              <w:right w:type="dxa" w:w="100"/>
            </w:tcMar>
          </w:tcPr>
          <w:p>
            <w:r>
              <w:rPr>
                <w:b/>
                <w:bCs/>
                <w:color w:val="FFFFFF"/>
              </w:rPr>
              <w:t xml:space="preserve">PSOhub</w:t>
            </w:r>
          </w:p>
        </w:tc>
        <w:tc>
          <w:tcPr>
            <w:tcW w:type="dxa" w:w="3200"/>
            <w:shd w:fill="0F172A" w:color="0F172A" w:val="solid"/>
            <w:tcMar>
              <w:top w:type="dxa" w:w="80"/>
              <w:left w:type="dxa" w:w="100"/>
              <w:bottom w:type="dxa" w:w="80"/>
              <w:right w:type="dxa" w:w="100"/>
            </w:tcMar>
          </w:tcPr>
          <w:p>
            <w:r>
              <w:rPr>
                <w:b/>
                <w:bCs/>
                <w:color w:val="FFFFFF"/>
              </w:rPr>
              <w:t xml:space="preserve">SecureProfit Hub</w:t>
            </w:r>
          </w:p>
        </w:tc>
        <w:tc>
          <w:tcPr>
            <w:tcW w:type="dxa" w:w="1100"/>
            <w:shd w:fill="0F172A" w:color="0F172A" w:val="solid"/>
            <w:tcMar>
              <w:top w:type="dxa" w:w="80"/>
              <w:left w:type="dxa" w:w="100"/>
              <w:bottom w:type="dxa" w:w="80"/>
              <w:right w:type="dxa" w:w="100"/>
            </w:tcMar>
          </w:tcPr>
          <w:p>
            <w:r>
              <w:rPr>
                <w:b/>
                <w:bCs/>
                <w:color w:val="FFFFFF"/>
              </w:rPr>
              <w:t xml:space="preserve">Status</w:t>
            </w:r>
          </w:p>
        </w:tc>
        <w:tc>
          <w:tcPr>
            <w:tcW w:type="dxa" w:w="1800"/>
            <w:shd w:fill="0F172A" w:color="0F172A" w:val="solid"/>
            <w:tcMar>
              <w:top w:type="dxa" w:w="80"/>
              <w:left w:type="dxa" w:w="100"/>
              <w:bottom w:type="dxa" w:w="80"/>
              <w:right w:type="dxa" w:w="100"/>
            </w:tcMar>
          </w:tcPr>
          <w:p>
            <w:r>
              <w:rPr>
                <w:b/>
                <w:bCs/>
                <w:color w:val="FFFFFF"/>
              </w:rPr>
              <w:t xml:space="preserve">Catatan</w:t>
            </w:r>
          </w:p>
        </w:tc>
      </w:tr>
      <w:tr>
        <w:tc>
          <w:tcPr>
            <w:tcW w:type="dxa" w:w="2200"/>
            <w:tcMar>
              <w:top w:type="dxa" w:w="60"/>
              <w:left w:type="dxa" w:w="100"/>
              <w:bottom w:type="dxa" w:w="60"/>
              <w:right w:type="dxa" w:w="100"/>
            </w:tcMar>
          </w:tcPr>
          <w:p>
            <w:r>
              <w:rPr>
                <w:b/>
                <w:bCs/>
                <w:sz w:val="20"/>
                <w:szCs w:val="20"/>
              </w:rPr>
              <w:t xml:space="preserve">Milestone / installment invoicing</w:t>
            </w:r>
          </w:p>
        </w:tc>
        <w:tc>
          <w:tcPr>
            <w:tcW w:type="dxa" w:w="3200"/>
            <w:tcMar>
              <w:top w:type="dxa" w:w="60"/>
              <w:left w:type="dxa" w:w="100"/>
              <w:bottom w:type="dxa" w:w="60"/>
              <w:right w:type="dxa" w:w="100"/>
            </w:tcMar>
          </w:tcPr>
          <w:p>
            <w:r>
              <w:rPr>
                <w:sz w:val="20"/>
                <w:szCs w:val="20"/>
              </w:rPr>
              <w:t xml:space="preserve">Recurring + installment + retainer</w:t>
            </w:r>
          </w:p>
        </w:tc>
        <w:tc>
          <w:tcPr>
            <w:tcW w:type="dxa" w:w="3200"/>
            <w:tcMar>
              <w:top w:type="dxa" w:w="60"/>
              <w:left w:type="dxa" w:w="100"/>
              <w:bottom w:type="dxa" w:w="60"/>
              <w:right w:type="dxa" w:w="100"/>
            </w:tcMar>
          </w:tcPr>
          <w:p>
            <w:r>
              <w:rPr>
                <w:sz w:val="20"/>
                <w:szCs w:val="20"/>
              </w:rPr>
              <w:t xml:space="preserve">BillingMilestone (TOP) per proyek dengan %, DPP, VAT, status PLANNED/INVOICED/PAID/CANCELLED</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VAT / pajak handling</w:t>
            </w:r>
          </w:p>
        </w:tc>
        <w:tc>
          <w:tcPr>
            <w:tcW w:type="dxa" w:w="3200"/>
            <w:tcMar>
              <w:top w:type="dxa" w:w="60"/>
              <w:left w:type="dxa" w:w="100"/>
              <w:bottom w:type="dxa" w:w="60"/>
              <w:right w:type="dxa" w:w="100"/>
            </w:tcMar>
          </w:tcPr>
          <w:p>
            <w:r>
              <w:rPr>
                <w:sz w:val="20"/>
                <w:szCs w:val="20"/>
              </w:rPr>
              <w:t xml:space="preserve">Tax di expense; tidak detil VAT Indonesia</w:t>
            </w:r>
          </w:p>
        </w:tc>
        <w:tc>
          <w:tcPr>
            <w:tcW w:type="dxa" w:w="3200"/>
            <w:tcMar>
              <w:top w:type="dxa" w:w="60"/>
              <w:left w:type="dxa" w:w="100"/>
              <w:bottom w:type="dxa" w:w="60"/>
              <w:right w:type="dxa" w:w="100"/>
            </w:tcMar>
          </w:tcPr>
          <w:p>
            <w:r>
              <w:rPr>
                <w:sz w:val="20"/>
                <w:szCs w:val="20"/>
              </w:rPr>
              <w:t xml:space="preserve">vatPercent per milestone + splitVat() + /vat-recap MGMT (12-bulan breakdown, CSV export)</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Lebih lengkap untuk PPN 11% Indonesia</w:t>
            </w:r>
          </w:p>
        </w:tc>
      </w:tr>
      <w:tr>
        <w:tc>
          <w:tcPr>
            <w:tcW w:type="dxa" w:w="2200"/>
            <w:tcMar>
              <w:top w:type="dxa" w:w="60"/>
              <w:left w:type="dxa" w:w="100"/>
              <w:bottom w:type="dxa" w:w="60"/>
              <w:right w:type="dxa" w:w="100"/>
            </w:tcMar>
          </w:tcPr>
          <w:p>
            <w:r>
              <w:rPr>
                <w:b/>
                <w:bCs/>
                <w:sz w:val="20"/>
                <w:szCs w:val="20"/>
              </w:rPr>
              <w:t xml:space="preserve">Auto-generate PDF invoice</w:t>
            </w:r>
          </w:p>
        </w:tc>
        <w:tc>
          <w:tcPr>
            <w:tcW w:type="dxa" w:w="3200"/>
            <w:tcMar>
              <w:top w:type="dxa" w:w="60"/>
              <w:left w:type="dxa" w:w="100"/>
              <w:bottom w:type="dxa" w:w="60"/>
              <w:right w:type="dxa" w:w="100"/>
            </w:tcMar>
          </w:tcPr>
          <w:p>
            <w:r>
              <w:rPr>
                <w:sz w:val="20"/>
                <w:szCs w:val="20"/>
              </w:rPr>
              <w:t xml:space="preserve">Custom invoice layout per BU (Enterprise)</w:t>
            </w:r>
          </w:p>
        </w:tc>
        <w:tc>
          <w:tcPr>
            <w:tcW w:type="dxa" w:w="3200"/>
            <w:tcMar>
              <w:top w:type="dxa" w:w="60"/>
              <w:left w:type="dxa" w:w="100"/>
              <w:bottom w:type="dxa" w:w="60"/>
              <w:right w:type="dxa" w:w="100"/>
            </w:tcMar>
          </w:tcPr>
          <w:p>
            <w:r>
              <w:rPr>
                <w:sz w:val="20"/>
                <w:szCs w:val="20"/>
              </w:rPr>
              <w:t xml:space="preserve">Belum generate PDF invoice - hanya tracking status</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Recurring invoice automation</w:t>
            </w:r>
          </w:p>
        </w:tc>
        <w:tc>
          <w:tcPr>
            <w:tcW w:type="dxa" w:w="3200"/>
            <w:tcMar>
              <w:top w:type="dxa" w:w="60"/>
              <w:left w:type="dxa" w:w="100"/>
              <w:bottom w:type="dxa" w:w="60"/>
              <w:right w:type="dxa" w:w="100"/>
            </w:tcMar>
          </w:tcPr>
          <w:p>
            <w:r>
              <w:rPr>
                <w:sz w:val="20"/>
                <w:szCs w:val="20"/>
              </w:rPr>
              <w:t xml:space="preserve">Recurring invoice set-and-forget</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Invoice approval workflow</w:t>
            </w:r>
          </w:p>
        </w:tc>
        <w:tc>
          <w:tcPr>
            <w:tcW w:type="dxa" w:w="3200"/>
            <w:tcMar>
              <w:top w:type="dxa" w:w="60"/>
              <w:left w:type="dxa" w:w="100"/>
              <w:bottom w:type="dxa" w:w="60"/>
              <w:right w:type="dxa" w:w="100"/>
            </w:tcMar>
          </w:tcPr>
          <w:p>
            <w:r>
              <w:rPr>
                <w:sz w:val="20"/>
                <w:szCs w:val="20"/>
              </w:rPr>
              <w:t xml:space="preserve">Manual + automated approval</w:t>
            </w:r>
          </w:p>
        </w:tc>
        <w:tc>
          <w:tcPr>
            <w:tcW w:type="dxa" w:w="3200"/>
            <w:tcMar>
              <w:top w:type="dxa" w:w="60"/>
              <w:left w:type="dxa" w:w="100"/>
              <w:bottom w:type="dxa" w:w="60"/>
              <w:right w:type="dxa" w:w="100"/>
            </w:tcMar>
          </w:tcPr>
          <w:p>
            <w:r>
              <w:rPr>
                <w:sz w:val="20"/>
                <w:szCs w:val="20"/>
              </w:rPr>
              <w:t xml:space="preserve">Status manual oleh MGMT/PM (INVOICED -&gt; PAID auto-timestamp)</w:t>
            </w:r>
          </w:p>
        </w:tc>
        <w:tc>
          <w:tcPr>
            <w:tcW w:type="dxa" w:w="1100"/>
            <w:shd w:fill="D97706" w:color="D97706" w:val="solid"/>
            <w:tcMar>
              <w:top w:type="dxa" w:w="60"/>
              <w:left w:type="dxa" w:w="100"/>
              <w:bottom w:type="dxa" w:w="60"/>
              <w:right w:type="dxa" w:w="100"/>
            </w:tcMar>
          </w:tcPr>
          <w:p>
            <w:pPr>
              <w:jc w:val="center"/>
            </w:pPr>
            <w:r>
              <w:rPr>
                <w:b/>
                <w:bCs/>
                <w:color w:val="FFFFFF"/>
                <w:sz w:val="20"/>
                <w:szCs w:val="20"/>
              </w:rPr>
              <w:t xml:space="preserve">Partial</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Integrasi accounting (QuickBooks/Xero/Accurate)</w:t>
            </w:r>
          </w:p>
        </w:tc>
        <w:tc>
          <w:tcPr>
            <w:tcW w:type="dxa" w:w="3200"/>
            <w:tcMar>
              <w:top w:type="dxa" w:w="60"/>
              <w:left w:type="dxa" w:w="100"/>
              <w:bottom w:type="dxa" w:w="60"/>
              <w:right w:type="dxa" w:w="100"/>
            </w:tcMar>
          </w:tcPr>
          <w:p>
            <w:r>
              <w:rPr>
                <w:sz w:val="20"/>
                <w:szCs w:val="20"/>
              </w:rPr>
              <w:t xml:space="preserve">QuickBooks, Xero, Moneybird, Exact Online, dll</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Quote / SOW dengan digital signing</w:t>
            </w:r>
          </w:p>
        </w:tc>
        <w:tc>
          <w:tcPr>
            <w:tcW w:type="dxa" w:w="3200"/>
            <w:tcMar>
              <w:top w:type="dxa" w:w="60"/>
              <w:left w:type="dxa" w:w="100"/>
              <w:bottom w:type="dxa" w:w="60"/>
              <w:right w:type="dxa" w:w="100"/>
            </w:tcMar>
          </w:tcPr>
          <w:p>
            <w:r>
              <w:rPr>
                <w:sz w:val="20"/>
                <w:szCs w:val="20"/>
              </w:rPr>
              <w:t xml:space="preserve">Quote &amp; SOW dengan e-signature (Professional)</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bl>
    <w:p>
      <w:r>
        <w:t xml:space="preserve"/>
      </w:r>
    </w:p>
    <w:p>
      <w:pPr>
        <w:pStyle w:val="Heading3"/>
        <w:spacing w:after="120" w:before="240"/>
      </w:pPr>
      <w:r>
        <w:rPr>
          <w:b/>
          <w:bCs/>
          <w:color w:val="0F172A"/>
          <w:sz w:val="26"/>
          <w:szCs w:val="26"/>
        </w:rPr>
        <w:t xml:space="preserve">5. Financials &amp; Profitability</w:t>
      </w:r>
    </w:p>
    <w:tbl>
      <w:tblPr>
        <w:tblW w:type="dxa" w:w="115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dxa" w:w="2200"/>
            <w:shd w:fill="0F172A" w:color="0F172A" w:val="solid"/>
            <w:tcMar>
              <w:top w:type="dxa" w:w="80"/>
              <w:left w:type="dxa" w:w="100"/>
              <w:bottom w:type="dxa" w:w="80"/>
              <w:right w:type="dxa" w:w="100"/>
            </w:tcMar>
          </w:tcPr>
          <w:p>
            <w:r>
              <w:rPr>
                <w:b/>
                <w:bCs/>
                <w:color w:val="FFFFFF"/>
              </w:rPr>
              <w:t xml:space="preserve">Fitur</w:t>
            </w:r>
          </w:p>
        </w:tc>
        <w:tc>
          <w:tcPr>
            <w:tcW w:type="dxa" w:w="3200"/>
            <w:shd w:fill="0F172A" w:color="0F172A" w:val="solid"/>
            <w:tcMar>
              <w:top w:type="dxa" w:w="80"/>
              <w:left w:type="dxa" w:w="100"/>
              <w:bottom w:type="dxa" w:w="80"/>
              <w:right w:type="dxa" w:w="100"/>
            </w:tcMar>
          </w:tcPr>
          <w:p>
            <w:r>
              <w:rPr>
                <w:b/>
                <w:bCs/>
                <w:color w:val="FFFFFF"/>
              </w:rPr>
              <w:t xml:space="preserve">PSOhub</w:t>
            </w:r>
          </w:p>
        </w:tc>
        <w:tc>
          <w:tcPr>
            <w:tcW w:type="dxa" w:w="3200"/>
            <w:shd w:fill="0F172A" w:color="0F172A" w:val="solid"/>
            <w:tcMar>
              <w:top w:type="dxa" w:w="80"/>
              <w:left w:type="dxa" w:w="100"/>
              <w:bottom w:type="dxa" w:w="80"/>
              <w:right w:type="dxa" w:w="100"/>
            </w:tcMar>
          </w:tcPr>
          <w:p>
            <w:r>
              <w:rPr>
                <w:b/>
                <w:bCs/>
                <w:color w:val="FFFFFF"/>
              </w:rPr>
              <w:t xml:space="preserve">SecureProfit Hub</w:t>
            </w:r>
          </w:p>
        </w:tc>
        <w:tc>
          <w:tcPr>
            <w:tcW w:type="dxa" w:w="1100"/>
            <w:shd w:fill="0F172A" w:color="0F172A" w:val="solid"/>
            <w:tcMar>
              <w:top w:type="dxa" w:w="80"/>
              <w:left w:type="dxa" w:w="100"/>
              <w:bottom w:type="dxa" w:w="80"/>
              <w:right w:type="dxa" w:w="100"/>
            </w:tcMar>
          </w:tcPr>
          <w:p>
            <w:r>
              <w:rPr>
                <w:b/>
                <w:bCs/>
                <w:color w:val="FFFFFF"/>
              </w:rPr>
              <w:t xml:space="preserve">Status</w:t>
            </w:r>
          </w:p>
        </w:tc>
        <w:tc>
          <w:tcPr>
            <w:tcW w:type="dxa" w:w="1800"/>
            <w:shd w:fill="0F172A" w:color="0F172A" w:val="solid"/>
            <w:tcMar>
              <w:top w:type="dxa" w:w="80"/>
              <w:left w:type="dxa" w:w="100"/>
              <w:bottom w:type="dxa" w:w="80"/>
              <w:right w:type="dxa" w:w="100"/>
            </w:tcMar>
          </w:tcPr>
          <w:p>
            <w:r>
              <w:rPr>
                <w:b/>
                <w:bCs/>
                <w:color w:val="FFFFFF"/>
              </w:rPr>
              <w:t xml:space="preserve">Catatan</w:t>
            </w:r>
          </w:p>
        </w:tc>
      </w:tr>
      <w:tr>
        <w:tc>
          <w:tcPr>
            <w:tcW w:type="dxa" w:w="2200"/>
            <w:tcMar>
              <w:top w:type="dxa" w:w="60"/>
              <w:left w:type="dxa" w:w="100"/>
              <w:bottom w:type="dxa" w:w="60"/>
              <w:right w:type="dxa" w:w="100"/>
            </w:tcMar>
          </w:tcPr>
          <w:p>
            <w:r>
              <w:rPr>
                <w:b/>
                <w:bCs/>
                <w:sz w:val="20"/>
                <w:szCs w:val="20"/>
              </w:rPr>
              <w:t xml:space="preserve">Project P&amp;L / margin per proyek</w:t>
            </w:r>
          </w:p>
        </w:tc>
        <w:tc>
          <w:tcPr>
            <w:tcW w:type="dxa" w:w="3200"/>
            <w:tcMar>
              <w:top w:type="dxa" w:w="60"/>
              <w:left w:type="dxa" w:w="100"/>
              <w:bottom w:type="dxa" w:w="60"/>
              <w:right w:type="dxa" w:w="100"/>
            </w:tcMar>
          </w:tcPr>
          <w:p>
            <w:r>
              <w:rPr>
                <w:sz w:val="20"/>
                <w:szCs w:val="20"/>
              </w:rPr>
              <w:t xml:space="preserve">Profitability per customer/project</w:t>
            </w:r>
          </w:p>
        </w:tc>
        <w:tc>
          <w:tcPr>
            <w:tcW w:type="dxa" w:w="3200"/>
            <w:tcMar>
              <w:top w:type="dxa" w:w="60"/>
              <w:left w:type="dxa" w:w="100"/>
              <w:bottom w:type="dxa" w:w="60"/>
              <w:right w:type="dxa" w:w="100"/>
            </w:tcMar>
          </w:tcPr>
          <w:p>
            <w:r>
              <w:rPr>
                <w:sz w:val="20"/>
                <w:szCs w:val="20"/>
              </w:rPr>
              <w:t xml:space="preserve">actualCost, actualProfit, marginPct di setiap project + serializer</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Forecast &amp; burn rate</w:t>
            </w:r>
          </w:p>
        </w:tc>
        <w:tc>
          <w:tcPr>
            <w:tcW w:type="dxa" w:w="3200"/>
            <w:tcMar>
              <w:top w:type="dxa" w:w="60"/>
              <w:left w:type="dxa" w:w="100"/>
              <w:bottom w:type="dxa" w:w="60"/>
              <w:right w:type="dxa" w:w="100"/>
            </w:tcMar>
          </w:tcPr>
          <w:p>
            <w:r>
              <w:rPr>
                <w:sz w:val="20"/>
                <w:szCs w:val="20"/>
              </w:rPr>
              <w:t xml:space="preserve">Dashboard burn rate</w:t>
            </w:r>
          </w:p>
        </w:tc>
        <w:tc>
          <w:tcPr>
            <w:tcW w:type="dxa" w:w="3200"/>
            <w:tcMar>
              <w:top w:type="dxa" w:w="60"/>
              <w:left w:type="dxa" w:w="100"/>
              <w:bottom w:type="dxa" w:w="60"/>
              <w:right w:type="dxa" w:w="100"/>
            </w:tcMar>
          </w:tcPr>
          <w:p>
            <w:r>
              <w:rPr>
                <w:sz w:val="20"/>
                <w:szCs w:val="20"/>
              </w:rPr>
              <w:t xml:space="preserve">Forecast linear projection; /api/projects/:id/financials per bulan</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Cash inflow / billing aging</w:t>
            </w:r>
          </w:p>
        </w:tc>
        <w:tc>
          <w:tcPr>
            <w:tcW w:type="dxa" w:w="3200"/>
            <w:tcMar>
              <w:top w:type="dxa" w:w="60"/>
              <w:left w:type="dxa" w:w="100"/>
              <w:bottom w:type="dxa" w:w="60"/>
              <w:right w:type="dxa" w:w="100"/>
            </w:tcMar>
          </w:tcPr>
          <w:p>
            <w:r>
              <w:rPr>
                <w:sz w:val="20"/>
                <w:szCs w:val="20"/>
              </w:rPr>
              <w:t xml:space="preserve">Dashboard finansial</w:t>
            </w:r>
          </w:p>
        </w:tc>
        <w:tc>
          <w:tcPr>
            <w:tcW w:type="dxa" w:w="3200"/>
            <w:tcMar>
              <w:top w:type="dxa" w:w="60"/>
              <w:left w:type="dxa" w:w="100"/>
              <w:bottom w:type="dxa" w:w="60"/>
              <w:right w:type="dxa" w:w="100"/>
            </w:tcMar>
          </w:tcPr>
          <w:p>
            <w:r>
              <w:rPr>
                <w:sz w:val="20"/>
                <w:szCs w:val="20"/>
              </w:rPr>
              <w:t xml:space="preserve">Report billing-aging + cash-inflow-forecast</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bl>
    <w:p>
      <w:r>
        <w:t xml:space="preserve"/>
      </w:r>
    </w:p>
    <w:p>
      <w:pPr>
        <w:pStyle w:val="Heading3"/>
        <w:spacing w:after="120" w:before="240"/>
      </w:pPr>
      <w:r>
        <w:rPr>
          <w:b/>
          <w:bCs/>
          <w:color w:val="0F172A"/>
          <w:sz w:val="26"/>
          <w:szCs w:val="26"/>
        </w:rPr>
        <w:t xml:space="preserve">6. Reporting &amp; Analytics</w:t>
      </w:r>
    </w:p>
    <w:tbl>
      <w:tblPr>
        <w:tblW w:type="dxa" w:w="115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dxa" w:w="2200"/>
            <w:shd w:fill="0F172A" w:color="0F172A" w:val="solid"/>
            <w:tcMar>
              <w:top w:type="dxa" w:w="80"/>
              <w:left w:type="dxa" w:w="100"/>
              <w:bottom w:type="dxa" w:w="80"/>
              <w:right w:type="dxa" w:w="100"/>
            </w:tcMar>
          </w:tcPr>
          <w:p>
            <w:r>
              <w:rPr>
                <w:b/>
                <w:bCs/>
                <w:color w:val="FFFFFF"/>
              </w:rPr>
              <w:t xml:space="preserve">Fitur</w:t>
            </w:r>
          </w:p>
        </w:tc>
        <w:tc>
          <w:tcPr>
            <w:tcW w:type="dxa" w:w="3200"/>
            <w:shd w:fill="0F172A" w:color="0F172A" w:val="solid"/>
            <w:tcMar>
              <w:top w:type="dxa" w:w="80"/>
              <w:left w:type="dxa" w:w="100"/>
              <w:bottom w:type="dxa" w:w="80"/>
              <w:right w:type="dxa" w:w="100"/>
            </w:tcMar>
          </w:tcPr>
          <w:p>
            <w:r>
              <w:rPr>
                <w:b/>
                <w:bCs/>
                <w:color w:val="FFFFFF"/>
              </w:rPr>
              <w:t xml:space="preserve">PSOhub</w:t>
            </w:r>
          </w:p>
        </w:tc>
        <w:tc>
          <w:tcPr>
            <w:tcW w:type="dxa" w:w="3200"/>
            <w:shd w:fill="0F172A" w:color="0F172A" w:val="solid"/>
            <w:tcMar>
              <w:top w:type="dxa" w:w="80"/>
              <w:left w:type="dxa" w:w="100"/>
              <w:bottom w:type="dxa" w:w="80"/>
              <w:right w:type="dxa" w:w="100"/>
            </w:tcMar>
          </w:tcPr>
          <w:p>
            <w:r>
              <w:rPr>
                <w:b/>
                <w:bCs/>
                <w:color w:val="FFFFFF"/>
              </w:rPr>
              <w:t xml:space="preserve">SecureProfit Hub</w:t>
            </w:r>
          </w:p>
        </w:tc>
        <w:tc>
          <w:tcPr>
            <w:tcW w:type="dxa" w:w="1100"/>
            <w:shd w:fill="0F172A" w:color="0F172A" w:val="solid"/>
            <w:tcMar>
              <w:top w:type="dxa" w:w="80"/>
              <w:left w:type="dxa" w:w="100"/>
              <w:bottom w:type="dxa" w:w="80"/>
              <w:right w:type="dxa" w:w="100"/>
            </w:tcMar>
          </w:tcPr>
          <w:p>
            <w:r>
              <w:rPr>
                <w:b/>
                <w:bCs/>
                <w:color w:val="FFFFFF"/>
              </w:rPr>
              <w:t xml:space="preserve">Status</w:t>
            </w:r>
          </w:p>
        </w:tc>
        <w:tc>
          <w:tcPr>
            <w:tcW w:type="dxa" w:w="1800"/>
            <w:shd w:fill="0F172A" w:color="0F172A" w:val="solid"/>
            <w:tcMar>
              <w:top w:type="dxa" w:w="80"/>
              <w:left w:type="dxa" w:w="100"/>
              <w:bottom w:type="dxa" w:w="80"/>
              <w:right w:type="dxa" w:w="100"/>
            </w:tcMar>
          </w:tcPr>
          <w:p>
            <w:r>
              <w:rPr>
                <w:b/>
                <w:bCs/>
                <w:color w:val="FFFFFF"/>
              </w:rPr>
              <w:t xml:space="preserve">Catatan</w:t>
            </w:r>
          </w:p>
        </w:tc>
      </w:tr>
      <w:tr>
        <w:tc>
          <w:tcPr>
            <w:tcW w:type="dxa" w:w="2200"/>
            <w:tcMar>
              <w:top w:type="dxa" w:w="60"/>
              <w:left w:type="dxa" w:w="100"/>
              <w:bottom w:type="dxa" w:w="60"/>
              <w:right w:type="dxa" w:w="100"/>
            </w:tcMar>
          </w:tcPr>
          <w:p>
            <w:r>
              <w:rPr>
                <w:b/>
                <w:bCs/>
                <w:sz w:val="20"/>
                <w:szCs w:val="20"/>
              </w:rPr>
              <w:t xml:space="preserve">Standard dashboards per role</w:t>
            </w:r>
          </w:p>
        </w:tc>
        <w:tc>
          <w:tcPr>
            <w:tcW w:type="dxa" w:w="3200"/>
            <w:tcMar>
              <w:top w:type="dxa" w:w="60"/>
              <w:left w:type="dxa" w:w="100"/>
              <w:bottom w:type="dxa" w:w="60"/>
              <w:right w:type="dxa" w:w="100"/>
            </w:tcMar>
          </w:tcPr>
          <w:p>
            <w:r>
              <w:rPr>
                <w:sz w:val="20"/>
                <w:szCs w:val="20"/>
              </w:rPr>
              <w:t xml:space="preserve">Dashboard standard semua plan</w:t>
            </w:r>
          </w:p>
        </w:tc>
        <w:tc>
          <w:tcPr>
            <w:tcW w:type="dxa" w:w="3200"/>
            <w:tcMar>
              <w:top w:type="dxa" w:w="60"/>
              <w:left w:type="dxa" w:w="100"/>
              <w:bottom w:type="dxa" w:w="60"/>
              <w:right w:type="dxa" w:w="100"/>
            </w:tcMar>
          </w:tcPr>
          <w:p>
            <w:r>
              <w:rPr>
                <w:sz w:val="20"/>
                <w:szCs w:val="20"/>
              </w:rPr>
              <w:t xml:space="preserve">Dashboard per role (MGMT, PM, Sales, Konsultan, TW, Admin, Site Admin)</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Custom report builder</w:t>
            </w:r>
          </w:p>
        </w:tc>
        <w:tc>
          <w:tcPr>
            <w:tcW w:type="dxa" w:w="3200"/>
            <w:tcMar>
              <w:top w:type="dxa" w:w="60"/>
              <w:left w:type="dxa" w:w="100"/>
              <w:bottom w:type="dxa" w:w="60"/>
              <w:right w:type="dxa" w:w="100"/>
            </w:tcMar>
          </w:tcPr>
          <w:p>
            <w:r>
              <w:rPr>
                <w:sz w:val="20"/>
                <w:szCs w:val="20"/>
              </w:rPr>
              <w:t xml:space="preserve">Excel export; AI Charts; Data Warehouse (Enterprise)</w:t>
            </w:r>
          </w:p>
        </w:tc>
        <w:tc>
          <w:tcPr>
            <w:tcW w:type="dxa" w:w="3200"/>
            <w:tcMar>
              <w:top w:type="dxa" w:w="60"/>
              <w:left w:type="dxa" w:w="100"/>
              <w:bottom w:type="dxa" w:w="60"/>
              <w:right w:type="dxa" w:w="100"/>
            </w:tcMar>
          </w:tcPr>
          <w:p>
            <w:r>
              <w:rPr>
                <w:sz w:val="20"/>
                <w:szCs w:val="20"/>
              </w:rPr>
              <w:t xml:space="preserve">10 report fixed di /reports + CSV/XLSX/PDF export</w:t>
            </w:r>
          </w:p>
        </w:tc>
        <w:tc>
          <w:tcPr>
            <w:tcW w:type="dxa" w:w="1100"/>
            <w:shd w:fill="D97706" w:color="D97706" w:val="solid"/>
            <w:tcMar>
              <w:top w:type="dxa" w:w="60"/>
              <w:left w:type="dxa" w:w="100"/>
              <w:bottom w:type="dxa" w:w="60"/>
              <w:right w:type="dxa" w:w="100"/>
            </w:tcMar>
          </w:tcPr>
          <w:p>
            <w:pPr>
              <w:jc w:val="center"/>
            </w:pPr>
            <w:r>
              <w:rPr>
                <w:b/>
                <w:bCs/>
                <w:color w:val="FFFFFF"/>
                <w:sz w:val="20"/>
                <w:szCs w:val="20"/>
              </w:rPr>
              <w:t xml:space="preserve">Partial</w:t>
            </w:r>
          </w:p>
        </w:tc>
        <w:tc>
          <w:tcPr>
            <w:tcW w:type="dxa" w:w="1800"/>
            <w:tcMar>
              <w:top w:type="dxa" w:w="60"/>
              <w:left w:type="dxa" w:w="100"/>
              <w:bottom w:type="dxa" w:w="60"/>
              <w:right w:type="dxa" w:w="100"/>
            </w:tcMar>
          </w:tcPr>
          <w:p>
            <w:r>
              <w:rPr>
                <w:sz w:val="18"/>
                <w:szCs w:val="18"/>
              </w:rPr>
              <w:t xml:space="preserve">Belum ada report builder dinamis</w:t>
            </w:r>
          </w:p>
        </w:tc>
      </w:tr>
      <w:tr>
        <w:tc>
          <w:tcPr>
            <w:tcW w:type="dxa" w:w="2200"/>
            <w:tcMar>
              <w:top w:type="dxa" w:w="60"/>
              <w:left w:type="dxa" w:w="100"/>
              <w:bottom w:type="dxa" w:w="60"/>
              <w:right w:type="dxa" w:w="100"/>
            </w:tcMar>
          </w:tcPr>
          <w:p>
            <w:r>
              <w:rPr>
                <w:b/>
                <w:bCs/>
                <w:sz w:val="20"/>
                <w:szCs w:val="20"/>
              </w:rPr>
              <w:t xml:space="preserve">Export (Excel/CSV/PDF)</w:t>
            </w:r>
          </w:p>
        </w:tc>
        <w:tc>
          <w:tcPr>
            <w:tcW w:type="dxa" w:w="3200"/>
            <w:tcMar>
              <w:top w:type="dxa" w:w="60"/>
              <w:left w:type="dxa" w:w="100"/>
              <w:bottom w:type="dxa" w:w="60"/>
              <w:right w:type="dxa" w:w="100"/>
            </w:tcMar>
          </w:tcPr>
          <w:p>
            <w:r>
              <w:rPr>
                <w:sz w:val="20"/>
                <w:szCs w:val="20"/>
              </w:rPr>
              <w:t xml:space="preserve">Excel export</w:t>
            </w:r>
          </w:p>
        </w:tc>
        <w:tc>
          <w:tcPr>
            <w:tcW w:type="dxa" w:w="3200"/>
            <w:tcMar>
              <w:top w:type="dxa" w:w="60"/>
              <w:left w:type="dxa" w:w="100"/>
              <w:bottom w:type="dxa" w:w="60"/>
              <w:right w:type="dxa" w:w="100"/>
            </w:tcMar>
          </w:tcPr>
          <w:p>
            <w:r>
              <w:rPr>
                <w:sz w:val="20"/>
                <w:szCs w:val="20"/>
              </w:rPr>
              <w:t xml:space="preserve">CSV, XLSX, PDF (formula-injection safe)</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Data warehouse access</w:t>
            </w:r>
          </w:p>
        </w:tc>
        <w:tc>
          <w:tcPr>
            <w:tcW w:type="dxa" w:w="3200"/>
            <w:tcMar>
              <w:top w:type="dxa" w:w="60"/>
              <w:left w:type="dxa" w:w="100"/>
              <w:bottom w:type="dxa" w:w="60"/>
              <w:right w:type="dxa" w:w="100"/>
            </w:tcMar>
          </w:tcPr>
          <w:p>
            <w:r>
              <w:rPr>
                <w:sz w:val="20"/>
                <w:szCs w:val="20"/>
              </w:rPr>
              <w:t xml:space="preserve">Enterprise plan</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bl>
    <w:p>
      <w:r>
        <w:t xml:space="preserve"/>
      </w:r>
    </w:p>
    <w:p>
      <w:pPr>
        <w:pStyle w:val="Heading3"/>
        <w:spacing w:after="120" w:before="240"/>
      </w:pPr>
      <w:r>
        <w:rPr>
          <w:b/>
          <w:bCs/>
          <w:color w:val="0F172A"/>
          <w:sz w:val="26"/>
          <w:szCs w:val="26"/>
        </w:rPr>
        <w:t xml:space="preserve">7. AI / Automation (Copilot)</w:t>
      </w:r>
    </w:p>
    <w:tbl>
      <w:tblPr>
        <w:tblW w:type="dxa" w:w="115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dxa" w:w="2200"/>
            <w:shd w:fill="0F172A" w:color="0F172A" w:val="solid"/>
            <w:tcMar>
              <w:top w:type="dxa" w:w="80"/>
              <w:left w:type="dxa" w:w="100"/>
              <w:bottom w:type="dxa" w:w="80"/>
              <w:right w:type="dxa" w:w="100"/>
            </w:tcMar>
          </w:tcPr>
          <w:p>
            <w:r>
              <w:rPr>
                <w:b/>
                <w:bCs/>
                <w:color w:val="FFFFFF"/>
              </w:rPr>
              <w:t xml:space="preserve">Fitur</w:t>
            </w:r>
          </w:p>
        </w:tc>
        <w:tc>
          <w:tcPr>
            <w:tcW w:type="dxa" w:w="3200"/>
            <w:shd w:fill="0F172A" w:color="0F172A" w:val="solid"/>
            <w:tcMar>
              <w:top w:type="dxa" w:w="80"/>
              <w:left w:type="dxa" w:w="100"/>
              <w:bottom w:type="dxa" w:w="80"/>
              <w:right w:type="dxa" w:w="100"/>
            </w:tcMar>
          </w:tcPr>
          <w:p>
            <w:r>
              <w:rPr>
                <w:b/>
                <w:bCs/>
                <w:color w:val="FFFFFF"/>
              </w:rPr>
              <w:t xml:space="preserve">PSOhub</w:t>
            </w:r>
          </w:p>
        </w:tc>
        <w:tc>
          <w:tcPr>
            <w:tcW w:type="dxa" w:w="3200"/>
            <w:shd w:fill="0F172A" w:color="0F172A" w:val="solid"/>
            <w:tcMar>
              <w:top w:type="dxa" w:w="80"/>
              <w:left w:type="dxa" w:w="100"/>
              <w:bottom w:type="dxa" w:w="80"/>
              <w:right w:type="dxa" w:w="100"/>
            </w:tcMar>
          </w:tcPr>
          <w:p>
            <w:r>
              <w:rPr>
                <w:b/>
                <w:bCs/>
                <w:color w:val="FFFFFF"/>
              </w:rPr>
              <w:t xml:space="preserve">SecureProfit Hub</w:t>
            </w:r>
          </w:p>
        </w:tc>
        <w:tc>
          <w:tcPr>
            <w:tcW w:type="dxa" w:w="1100"/>
            <w:shd w:fill="0F172A" w:color="0F172A" w:val="solid"/>
            <w:tcMar>
              <w:top w:type="dxa" w:w="80"/>
              <w:left w:type="dxa" w:w="100"/>
              <w:bottom w:type="dxa" w:w="80"/>
              <w:right w:type="dxa" w:w="100"/>
            </w:tcMar>
          </w:tcPr>
          <w:p>
            <w:r>
              <w:rPr>
                <w:b/>
                <w:bCs/>
                <w:color w:val="FFFFFF"/>
              </w:rPr>
              <w:t xml:space="preserve">Status</w:t>
            </w:r>
          </w:p>
        </w:tc>
        <w:tc>
          <w:tcPr>
            <w:tcW w:type="dxa" w:w="1800"/>
            <w:shd w:fill="0F172A" w:color="0F172A" w:val="solid"/>
            <w:tcMar>
              <w:top w:type="dxa" w:w="80"/>
              <w:left w:type="dxa" w:w="100"/>
              <w:bottom w:type="dxa" w:w="80"/>
              <w:right w:type="dxa" w:w="100"/>
            </w:tcMar>
          </w:tcPr>
          <w:p>
            <w:r>
              <w:rPr>
                <w:b/>
                <w:bCs/>
                <w:color w:val="FFFFFF"/>
              </w:rPr>
              <w:t xml:space="preserve">Catatan</w:t>
            </w:r>
          </w:p>
        </w:tc>
      </w:tr>
      <w:tr>
        <w:tc>
          <w:tcPr>
            <w:tcW w:type="dxa" w:w="2200"/>
            <w:tcMar>
              <w:top w:type="dxa" w:w="60"/>
              <w:left w:type="dxa" w:w="100"/>
              <w:bottom w:type="dxa" w:w="60"/>
              <w:right w:type="dxa" w:w="100"/>
            </w:tcMar>
          </w:tcPr>
          <w:p>
            <w:r>
              <w:rPr>
                <w:b/>
                <w:bCs/>
                <w:sz w:val="20"/>
                <w:szCs w:val="20"/>
              </w:rPr>
              <w:t xml:space="preserve">AI assistant / Copilot</w:t>
            </w:r>
          </w:p>
        </w:tc>
        <w:tc>
          <w:tcPr>
            <w:tcW w:type="dxa" w:w="3200"/>
            <w:tcMar>
              <w:top w:type="dxa" w:w="60"/>
              <w:left w:type="dxa" w:w="100"/>
              <w:bottom w:type="dxa" w:w="60"/>
              <w:right w:type="dxa" w:w="100"/>
            </w:tcMar>
          </w:tcPr>
          <w:p>
            <w:r>
              <w:rPr>
                <w:sz w:val="20"/>
                <w:szCs w:val="20"/>
              </w:rPr>
              <w:t xml:space="preserve">AI Copilot 24/7 (review, notify, data analytics)</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AI natural language data query</w:t>
            </w:r>
          </w:p>
        </w:tc>
        <w:tc>
          <w:tcPr>
            <w:tcW w:type="dxa" w:w="3200"/>
            <w:tcMar>
              <w:top w:type="dxa" w:w="60"/>
              <w:left w:type="dxa" w:w="100"/>
              <w:bottom w:type="dxa" w:w="60"/>
              <w:right w:type="dxa" w:w="100"/>
            </w:tcMar>
          </w:tcPr>
          <w:p>
            <w:r>
              <w:rPr>
                <w:sz w:val="20"/>
                <w:szCs w:val="20"/>
              </w:rPr>
              <w:t xml:space="preserve">AI Data Analytics - tanya data dengan natural language</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AI auto-scheduling</w:t>
            </w:r>
          </w:p>
        </w:tc>
        <w:tc>
          <w:tcPr>
            <w:tcW w:type="dxa" w:w="3200"/>
            <w:tcMar>
              <w:top w:type="dxa" w:w="60"/>
              <w:left w:type="dxa" w:w="100"/>
              <w:bottom w:type="dxa" w:w="60"/>
              <w:right w:type="dxa" w:w="100"/>
            </w:tcMar>
          </w:tcPr>
          <w:p>
            <w:r>
              <w:rPr>
                <w:sz w:val="20"/>
                <w:szCs w:val="20"/>
              </w:rPr>
              <w:t xml:space="preserve">AI Scheduling (Enterprise)</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AI charts &amp; reporting</w:t>
            </w:r>
          </w:p>
        </w:tc>
        <w:tc>
          <w:tcPr>
            <w:tcW w:type="dxa" w:w="3200"/>
            <w:tcMar>
              <w:top w:type="dxa" w:w="60"/>
              <w:left w:type="dxa" w:w="100"/>
              <w:bottom w:type="dxa" w:w="60"/>
              <w:right w:type="dxa" w:w="100"/>
            </w:tcMar>
          </w:tcPr>
          <w:p>
            <w:r>
              <w:rPr>
                <w:sz w:val="20"/>
                <w:szCs w:val="20"/>
              </w:rPr>
              <w:t xml:space="preserve">AI Charts (Professional)</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bl>
    <w:p>
      <w:r>
        <w:t xml:space="preserve"/>
      </w:r>
    </w:p>
    <w:p>
      <w:pPr>
        <w:pStyle w:val="Heading3"/>
        <w:spacing w:after="120" w:before="240"/>
      </w:pPr>
      <w:r>
        <w:rPr>
          <w:b/>
          <w:bCs/>
          <w:color w:val="0F172A"/>
          <w:sz w:val="26"/>
          <w:szCs w:val="26"/>
        </w:rPr>
        <w:t xml:space="preserve">8. Integrations</w:t>
      </w:r>
    </w:p>
    <w:tbl>
      <w:tblPr>
        <w:tblW w:type="dxa" w:w="115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dxa" w:w="2200"/>
            <w:shd w:fill="0F172A" w:color="0F172A" w:val="solid"/>
            <w:tcMar>
              <w:top w:type="dxa" w:w="80"/>
              <w:left w:type="dxa" w:w="100"/>
              <w:bottom w:type="dxa" w:w="80"/>
              <w:right w:type="dxa" w:w="100"/>
            </w:tcMar>
          </w:tcPr>
          <w:p>
            <w:r>
              <w:rPr>
                <w:b/>
                <w:bCs/>
                <w:color w:val="FFFFFF"/>
              </w:rPr>
              <w:t xml:space="preserve">Fitur</w:t>
            </w:r>
          </w:p>
        </w:tc>
        <w:tc>
          <w:tcPr>
            <w:tcW w:type="dxa" w:w="3200"/>
            <w:shd w:fill="0F172A" w:color="0F172A" w:val="solid"/>
            <w:tcMar>
              <w:top w:type="dxa" w:w="80"/>
              <w:left w:type="dxa" w:w="100"/>
              <w:bottom w:type="dxa" w:w="80"/>
              <w:right w:type="dxa" w:w="100"/>
            </w:tcMar>
          </w:tcPr>
          <w:p>
            <w:r>
              <w:rPr>
                <w:b/>
                <w:bCs/>
                <w:color w:val="FFFFFF"/>
              </w:rPr>
              <w:t xml:space="preserve">PSOhub</w:t>
            </w:r>
          </w:p>
        </w:tc>
        <w:tc>
          <w:tcPr>
            <w:tcW w:type="dxa" w:w="3200"/>
            <w:shd w:fill="0F172A" w:color="0F172A" w:val="solid"/>
            <w:tcMar>
              <w:top w:type="dxa" w:w="80"/>
              <w:left w:type="dxa" w:w="100"/>
              <w:bottom w:type="dxa" w:w="80"/>
              <w:right w:type="dxa" w:w="100"/>
            </w:tcMar>
          </w:tcPr>
          <w:p>
            <w:r>
              <w:rPr>
                <w:b/>
                <w:bCs/>
                <w:color w:val="FFFFFF"/>
              </w:rPr>
              <w:t xml:space="preserve">SecureProfit Hub</w:t>
            </w:r>
          </w:p>
        </w:tc>
        <w:tc>
          <w:tcPr>
            <w:tcW w:type="dxa" w:w="1100"/>
            <w:shd w:fill="0F172A" w:color="0F172A" w:val="solid"/>
            <w:tcMar>
              <w:top w:type="dxa" w:w="80"/>
              <w:left w:type="dxa" w:w="100"/>
              <w:bottom w:type="dxa" w:w="80"/>
              <w:right w:type="dxa" w:w="100"/>
            </w:tcMar>
          </w:tcPr>
          <w:p>
            <w:r>
              <w:rPr>
                <w:b/>
                <w:bCs/>
                <w:color w:val="FFFFFF"/>
              </w:rPr>
              <w:t xml:space="preserve">Status</w:t>
            </w:r>
          </w:p>
        </w:tc>
        <w:tc>
          <w:tcPr>
            <w:tcW w:type="dxa" w:w="1800"/>
            <w:shd w:fill="0F172A" w:color="0F172A" w:val="solid"/>
            <w:tcMar>
              <w:top w:type="dxa" w:w="80"/>
              <w:left w:type="dxa" w:w="100"/>
              <w:bottom w:type="dxa" w:w="80"/>
              <w:right w:type="dxa" w:w="100"/>
            </w:tcMar>
          </w:tcPr>
          <w:p>
            <w:r>
              <w:rPr>
                <w:b/>
                <w:bCs/>
                <w:color w:val="FFFFFF"/>
              </w:rPr>
              <w:t xml:space="preserve">Catatan</w:t>
            </w:r>
          </w:p>
        </w:tc>
      </w:tr>
      <w:tr>
        <w:tc>
          <w:tcPr>
            <w:tcW w:type="dxa" w:w="2200"/>
            <w:tcMar>
              <w:top w:type="dxa" w:w="60"/>
              <w:left w:type="dxa" w:w="100"/>
              <w:bottom w:type="dxa" w:w="60"/>
              <w:right w:type="dxa" w:w="100"/>
            </w:tcMar>
          </w:tcPr>
          <w:p>
            <w:r>
              <w:rPr>
                <w:b/>
                <w:bCs/>
                <w:sz w:val="20"/>
                <w:szCs w:val="20"/>
              </w:rPr>
              <w:t xml:space="preserve">CRM integration</w:t>
            </w:r>
          </w:p>
        </w:tc>
        <w:tc>
          <w:tcPr>
            <w:tcW w:type="dxa" w:w="3200"/>
            <w:tcMar>
              <w:top w:type="dxa" w:w="60"/>
              <w:left w:type="dxa" w:w="100"/>
              <w:bottom w:type="dxa" w:w="60"/>
              <w:right w:type="dxa" w:w="100"/>
            </w:tcMar>
          </w:tcPr>
          <w:p>
            <w:r>
              <w:rPr>
                <w:sz w:val="20"/>
                <w:szCs w:val="20"/>
              </w:rPr>
              <w:t xml:space="preserve">HubSpot (native), Salesforce, MS Dynamics 365, Pipedrive</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Accounting integration</w:t>
            </w:r>
          </w:p>
        </w:tc>
        <w:tc>
          <w:tcPr>
            <w:tcW w:type="dxa" w:w="3200"/>
            <w:tcMar>
              <w:top w:type="dxa" w:w="60"/>
              <w:left w:type="dxa" w:w="100"/>
              <w:bottom w:type="dxa" w:w="60"/>
              <w:right w:type="dxa" w:w="100"/>
            </w:tcMar>
          </w:tcPr>
          <w:p>
            <w:r>
              <w:rPr>
                <w:sz w:val="20"/>
                <w:szCs w:val="20"/>
              </w:rPr>
              <w:t xml:space="preserve">QuickBooks, Xero, Moneybird, Exact Online, Bexio, Sage, SAP B1, Twinfield</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Collaboration (Teams/Slack)</w:t>
            </w:r>
          </w:p>
        </w:tc>
        <w:tc>
          <w:tcPr>
            <w:tcW w:type="dxa" w:w="3200"/>
            <w:tcMar>
              <w:top w:type="dxa" w:w="60"/>
              <w:left w:type="dxa" w:w="100"/>
              <w:bottom w:type="dxa" w:w="60"/>
              <w:right w:type="dxa" w:w="100"/>
            </w:tcMar>
          </w:tcPr>
          <w:p>
            <w:r>
              <w:rPr>
                <w:sz w:val="20"/>
                <w:szCs w:val="20"/>
              </w:rPr>
              <w:t xml:space="preserve">Microsoft Teams, Slack (Professional)</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Public API</w:t>
            </w:r>
          </w:p>
        </w:tc>
        <w:tc>
          <w:tcPr>
            <w:tcW w:type="dxa" w:w="3200"/>
            <w:tcMar>
              <w:top w:type="dxa" w:w="60"/>
              <w:left w:type="dxa" w:w="100"/>
              <w:bottom w:type="dxa" w:w="60"/>
              <w:right w:type="dxa" w:w="100"/>
            </w:tcMar>
          </w:tcPr>
          <w:p>
            <w:r>
              <w:rPr>
                <w:sz w:val="20"/>
                <w:szCs w:val="20"/>
              </w:rPr>
              <w:t xml:space="preserve">Comprehensive REST API</w:t>
            </w:r>
          </w:p>
        </w:tc>
        <w:tc>
          <w:tcPr>
            <w:tcW w:type="dxa" w:w="3200"/>
            <w:tcMar>
              <w:top w:type="dxa" w:w="60"/>
              <w:left w:type="dxa" w:w="100"/>
              <w:bottom w:type="dxa" w:w="60"/>
              <w:right w:type="dxa" w:w="100"/>
            </w:tcMar>
          </w:tcPr>
          <w:p>
            <w:r>
              <w:rPr>
                <w:sz w:val="20"/>
                <w:szCs w:val="20"/>
              </w:rPr>
              <w:t xml:space="preserve">REST API internal (OpenAPI 3) - belum diekspos publik</w:t>
            </w:r>
          </w:p>
        </w:tc>
        <w:tc>
          <w:tcPr>
            <w:tcW w:type="dxa" w:w="1100"/>
            <w:shd w:fill="D97706" w:color="D97706" w:val="solid"/>
            <w:tcMar>
              <w:top w:type="dxa" w:w="60"/>
              <w:left w:type="dxa" w:w="100"/>
              <w:bottom w:type="dxa" w:w="60"/>
              <w:right w:type="dxa" w:w="100"/>
            </w:tcMar>
          </w:tcPr>
          <w:p>
            <w:pPr>
              <w:jc w:val="center"/>
            </w:pPr>
            <w:r>
              <w:rPr>
                <w:b/>
                <w:bCs/>
                <w:color w:val="FFFFFF"/>
                <w:sz w:val="20"/>
                <w:szCs w:val="20"/>
              </w:rPr>
              <w:t xml:space="preserve">Partial</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SSO (Google/Microsoft)</w:t>
            </w:r>
          </w:p>
        </w:tc>
        <w:tc>
          <w:tcPr>
            <w:tcW w:type="dxa" w:w="3200"/>
            <w:tcMar>
              <w:top w:type="dxa" w:w="60"/>
              <w:left w:type="dxa" w:w="100"/>
              <w:bottom w:type="dxa" w:w="60"/>
              <w:right w:type="dxa" w:w="100"/>
            </w:tcMar>
          </w:tcPr>
          <w:p>
            <w:r>
              <w:rPr>
                <w:sz w:val="20"/>
                <w:szCs w:val="20"/>
              </w:rPr>
              <w:t xml:space="preserve">Login via Google &amp; Microsoft</w:t>
            </w:r>
          </w:p>
        </w:tc>
        <w:tc>
          <w:tcPr>
            <w:tcW w:type="dxa" w:w="3200"/>
            <w:tcMar>
              <w:top w:type="dxa" w:w="60"/>
              <w:left w:type="dxa" w:w="100"/>
              <w:bottom w:type="dxa" w:w="60"/>
              <w:right w:type="dxa" w:w="100"/>
            </w:tcMar>
          </w:tcPr>
          <w:p>
            <w:r>
              <w:rPr>
                <w:sz w:val="20"/>
                <w:szCs w:val="20"/>
              </w:rPr>
              <w:t xml:space="preserve">Username/password JWT (HS256); belum SSO</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bl>
    <w:p>
      <w:r>
        <w:t xml:space="preserve"/>
      </w:r>
    </w:p>
    <w:p>
      <w:pPr>
        <w:pStyle w:val="Heading3"/>
        <w:spacing w:after="120" w:before="240"/>
      </w:pPr>
      <w:r>
        <w:rPr>
          <w:b/>
          <w:bCs/>
          <w:color w:val="0F172A"/>
          <w:sz w:val="26"/>
          <w:szCs w:val="26"/>
        </w:rPr>
        <w:t xml:space="preserve">9. Multi-tenancy, Security &amp; Audit</w:t>
      </w:r>
    </w:p>
    <w:tbl>
      <w:tblPr>
        <w:tblW w:type="dxa" w:w="115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dxa" w:w="2200"/>
            <w:shd w:fill="0F172A" w:color="0F172A" w:val="solid"/>
            <w:tcMar>
              <w:top w:type="dxa" w:w="80"/>
              <w:left w:type="dxa" w:w="100"/>
              <w:bottom w:type="dxa" w:w="80"/>
              <w:right w:type="dxa" w:w="100"/>
            </w:tcMar>
          </w:tcPr>
          <w:p>
            <w:r>
              <w:rPr>
                <w:b/>
                <w:bCs/>
                <w:color w:val="FFFFFF"/>
              </w:rPr>
              <w:t xml:space="preserve">Fitur</w:t>
            </w:r>
          </w:p>
        </w:tc>
        <w:tc>
          <w:tcPr>
            <w:tcW w:type="dxa" w:w="3200"/>
            <w:shd w:fill="0F172A" w:color="0F172A" w:val="solid"/>
            <w:tcMar>
              <w:top w:type="dxa" w:w="80"/>
              <w:left w:type="dxa" w:w="100"/>
              <w:bottom w:type="dxa" w:w="80"/>
              <w:right w:type="dxa" w:w="100"/>
            </w:tcMar>
          </w:tcPr>
          <w:p>
            <w:r>
              <w:rPr>
                <w:b/>
                <w:bCs/>
                <w:color w:val="FFFFFF"/>
              </w:rPr>
              <w:t xml:space="preserve">PSOhub</w:t>
            </w:r>
          </w:p>
        </w:tc>
        <w:tc>
          <w:tcPr>
            <w:tcW w:type="dxa" w:w="3200"/>
            <w:shd w:fill="0F172A" w:color="0F172A" w:val="solid"/>
            <w:tcMar>
              <w:top w:type="dxa" w:w="80"/>
              <w:left w:type="dxa" w:w="100"/>
              <w:bottom w:type="dxa" w:w="80"/>
              <w:right w:type="dxa" w:w="100"/>
            </w:tcMar>
          </w:tcPr>
          <w:p>
            <w:r>
              <w:rPr>
                <w:b/>
                <w:bCs/>
                <w:color w:val="FFFFFF"/>
              </w:rPr>
              <w:t xml:space="preserve">SecureProfit Hub</w:t>
            </w:r>
          </w:p>
        </w:tc>
        <w:tc>
          <w:tcPr>
            <w:tcW w:type="dxa" w:w="1100"/>
            <w:shd w:fill="0F172A" w:color="0F172A" w:val="solid"/>
            <w:tcMar>
              <w:top w:type="dxa" w:w="80"/>
              <w:left w:type="dxa" w:w="100"/>
              <w:bottom w:type="dxa" w:w="80"/>
              <w:right w:type="dxa" w:w="100"/>
            </w:tcMar>
          </w:tcPr>
          <w:p>
            <w:r>
              <w:rPr>
                <w:b/>
                <w:bCs/>
                <w:color w:val="FFFFFF"/>
              </w:rPr>
              <w:t xml:space="preserve">Status</w:t>
            </w:r>
          </w:p>
        </w:tc>
        <w:tc>
          <w:tcPr>
            <w:tcW w:type="dxa" w:w="1800"/>
            <w:shd w:fill="0F172A" w:color="0F172A" w:val="solid"/>
            <w:tcMar>
              <w:top w:type="dxa" w:w="80"/>
              <w:left w:type="dxa" w:w="100"/>
              <w:bottom w:type="dxa" w:w="80"/>
              <w:right w:type="dxa" w:w="100"/>
            </w:tcMar>
          </w:tcPr>
          <w:p>
            <w:r>
              <w:rPr>
                <w:b/>
                <w:bCs/>
                <w:color w:val="FFFFFF"/>
              </w:rPr>
              <w:t xml:space="preserve">Catatan</w:t>
            </w:r>
          </w:p>
        </w:tc>
      </w:tr>
      <w:tr>
        <w:tc>
          <w:tcPr>
            <w:tcW w:type="dxa" w:w="2200"/>
            <w:tcMar>
              <w:top w:type="dxa" w:w="60"/>
              <w:left w:type="dxa" w:w="100"/>
              <w:bottom w:type="dxa" w:w="60"/>
              <w:right w:type="dxa" w:w="100"/>
            </w:tcMar>
          </w:tcPr>
          <w:p>
            <w:r>
              <w:rPr>
                <w:b/>
                <w:bCs/>
                <w:sz w:val="20"/>
                <w:szCs w:val="20"/>
              </w:rPr>
              <w:t xml:space="preserve">Role-based access control</w:t>
            </w:r>
          </w:p>
        </w:tc>
        <w:tc>
          <w:tcPr>
            <w:tcW w:type="dxa" w:w="3200"/>
            <w:tcMar>
              <w:top w:type="dxa" w:w="60"/>
              <w:left w:type="dxa" w:w="100"/>
              <w:bottom w:type="dxa" w:w="60"/>
              <w:right w:type="dxa" w:w="100"/>
            </w:tcMar>
          </w:tcPr>
          <w:p>
            <w:r>
              <w:rPr>
                <w:sz w:val="20"/>
                <w:szCs w:val="20"/>
              </w:rPr>
              <w:t xml:space="preserve">Role-based di semua plan</w:t>
            </w:r>
          </w:p>
        </w:tc>
        <w:tc>
          <w:tcPr>
            <w:tcW w:type="dxa" w:w="3200"/>
            <w:tcMar>
              <w:top w:type="dxa" w:w="60"/>
              <w:left w:type="dxa" w:w="100"/>
              <w:bottom w:type="dxa" w:w="60"/>
              <w:right w:type="dxa" w:w="100"/>
            </w:tcMar>
          </w:tcPr>
          <w:p>
            <w:r>
              <w:rPr>
                <w:sz w:val="20"/>
                <w:szCs w:val="20"/>
              </w:rPr>
              <w:t xml:space="preserve">8 roles + requireRole middleware</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Audit log</w:t>
            </w:r>
          </w:p>
        </w:tc>
        <w:tc>
          <w:tcPr>
            <w:tcW w:type="dxa" w:w="3200"/>
            <w:tcMar>
              <w:top w:type="dxa" w:w="60"/>
              <w:left w:type="dxa" w:w="100"/>
              <w:bottom w:type="dxa" w:w="60"/>
              <w:right w:type="dxa" w:w="100"/>
            </w:tcMar>
          </w:tcPr>
          <w:p>
            <w:r>
              <w:rPr>
                <w:sz w:val="20"/>
                <w:szCs w:val="20"/>
              </w:rPr>
              <w:t xml:space="preserve">Tersirat lewat reporting</w:t>
            </w:r>
          </w:p>
        </w:tc>
        <w:tc>
          <w:tcPr>
            <w:tcW w:type="dxa" w:w="3200"/>
            <w:tcMar>
              <w:top w:type="dxa" w:w="60"/>
              <w:left w:type="dxa" w:w="100"/>
              <w:bottom w:type="dxa" w:w="60"/>
              <w:right w:type="dxa" w:w="100"/>
            </w:tcMar>
          </w:tcPr>
          <w:p>
            <w:r>
              <w:rPr>
                <w:sz w:val="20"/>
                <w:szCs w:val="20"/>
              </w:rPr>
              <w:t xml:space="preserve">Activity model + halaman audit log SITE_ADMIN + recordAudit di setiap mutasi</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Guest portal eksternal</w:t>
            </w:r>
          </w:p>
        </w:tc>
        <w:tc>
          <w:tcPr>
            <w:tcW w:type="dxa" w:w="3200"/>
            <w:tcMar>
              <w:top w:type="dxa" w:w="60"/>
              <w:left w:type="dxa" w:w="100"/>
              <w:bottom w:type="dxa" w:w="60"/>
              <w:right w:type="dxa" w:w="100"/>
            </w:tcMar>
          </w:tcPr>
          <w:p>
            <w:r>
              <w:rPr>
                <w:sz w:val="20"/>
                <w:szCs w:val="20"/>
              </w:rPr>
              <w:t xml:space="preserve">Guest Portal dengan financial/task access (Professional)</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Document management (BAST/Invoice/Kontrak)</w:t>
            </w:r>
          </w:p>
        </w:tc>
        <w:tc>
          <w:tcPr>
            <w:tcW w:type="dxa" w:w="3200"/>
            <w:tcMar>
              <w:top w:type="dxa" w:w="60"/>
              <w:left w:type="dxa" w:w="100"/>
              <w:bottom w:type="dxa" w:w="60"/>
              <w:right w:type="dxa" w:w="100"/>
            </w:tcMar>
          </w:tcPr>
          <w:p>
            <w:r>
              <w:rPr>
                <w:sz w:val="20"/>
                <w:szCs w:val="20"/>
              </w:rPr>
              <w:t xml:space="preserve">Document attachment</w:t>
            </w:r>
          </w:p>
        </w:tc>
        <w:tc>
          <w:tcPr>
            <w:tcW w:type="dxa" w:w="3200"/>
            <w:tcMar>
              <w:top w:type="dxa" w:w="60"/>
              <w:left w:type="dxa" w:w="100"/>
              <w:bottom w:type="dxa" w:w="60"/>
              <w:right w:type="dxa" w:w="100"/>
            </w:tcMar>
          </w:tcPr>
          <w:p>
            <w:r>
              <w:rPr>
                <w:sz w:val="20"/>
                <w:szCs w:val="20"/>
              </w:rPr>
              <w:t xml:space="preserve">Document model (BAST/INVOICE/CONTRACT/REPORT/OTHER, base64)</w:t>
            </w:r>
          </w:p>
        </w:tc>
        <w:tc>
          <w:tcPr>
            <w:tcW w:type="dxa" w:w="1100"/>
            <w:shd w:fill="16A34A" w:color="16A34A" w:val="solid"/>
            <w:tcMar>
              <w:top w:type="dxa" w:w="60"/>
              <w:left w:type="dxa" w:w="100"/>
              <w:bottom w:type="dxa" w:w="60"/>
              <w:right w:type="dxa" w:w="100"/>
            </w:tcMar>
          </w:tcPr>
          <w:p>
            <w:pPr>
              <w:jc w:val="center"/>
            </w:pPr>
            <w:r>
              <w:rPr>
                <w:b/>
                <w:bCs/>
                <w:color w:val="FFFFFF"/>
                <w:sz w:val="20"/>
                <w:szCs w:val="20"/>
              </w:rPr>
              <w:t xml:space="preserve">Fit</w:t>
            </w:r>
          </w:p>
        </w:tc>
        <w:tc>
          <w:tcPr>
            <w:tcW w:type="dxa" w:w="1800"/>
            <w:tcMar>
              <w:top w:type="dxa" w:w="60"/>
              <w:left w:type="dxa" w:w="100"/>
              <w:bottom w:type="dxa" w:w="60"/>
              <w:right w:type="dxa" w:w="100"/>
            </w:tcMar>
          </w:tcPr>
          <w:p>
            <w:r>
              <w:rPr>
                <w:sz w:val="18"/>
                <w:szCs w:val="18"/>
              </w:rPr>
              <w:t xml:space="preserve">Spesifik untuk dokumen Indonesia (BAST)</w:t>
            </w:r>
          </w:p>
        </w:tc>
      </w:tr>
    </w:tbl>
    <w:p>
      <w:r>
        <w:t xml:space="preserve"/>
      </w:r>
    </w:p>
    <w:p>
      <w:pPr>
        <w:pStyle w:val="Heading3"/>
        <w:spacing w:after="120" w:before="240"/>
      </w:pPr>
      <w:r>
        <w:rPr>
          <w:b/>
          <w:bCs/>
          <w:color w:val="0F172A"/>
          <w:sz w:val="26"/>
          <w:szCs w:val="26"/>
        </w:rPr>
        <w:t xml:space="preserve">10. Onboarding &amp; Support</w:t>
      </w:r>
    </w:p>
    <w:tbl>
      <w:tblPr>
        <w:tblW w:type="dxa" w:w="115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dxa" w:w="2200"/>
            <w:shd w:fill="0F172A" w:color="0F172A" w:val="solid"/>
            <w:tcMar>
              <w:top w:type="dxa" w:w="80"/>
              <w:left w:type="dxa" w:w="100"/>
              <w:bottom w:type="dxa" w:w="80"/>
              <w:right w:type="dxa" w:w="100"/>
            </w:tcMar>
          </w:tcPr>
          <w:p>
            <w:r>
              <w:rPr>
                <w:b/>
                <w:bCs/>
                <w:color w:val="FFFFFF"/>
              </w:rPr>
              <w:t xml:space="preserve">Fitur</w:t>
            </w:r>
          </w:p>
        </w:tc>
        <w:tc>
          <w:tcPr>
            <w:tcW w:type="dxa" w:w="3200"/>
            <w:shd w:fill="0F172A" w:color="0F172A" w:val="solid"/>
            <w:tcMar>
              <w:top w:type="dxa" w:w="80"/>
              <w:left w:type="dxa" w:w="100"/>
              <w:bottom w:type="dxa" w:w="80"/>
              <w:right w:type="dxa" w:w="100"/>
            </w:tcMar>
          </w:tcPr>
          <w:p>
            <w:r>
              <w:rPr>
                <w:b/>
                <w:bCs/>
                <w:color w:val="FFFFFF"/>
              </w:rPr>
              <w:t xml:space="preserve">PSOhub</w:t>
            </w:r>
          </w:p>
        </w:tc>
        <w:tc>
          <w:tcPr>
            <w:tcW w:type="dxa" w:w="3200"/>
            <w:shd w:fill="0F172A" w:color="0F172A" w:val="solid"/>
            <w:tcMar>
              <w:top w:type="dxa" w:w="80"/>
              <w:left w:type="dxa" w:w="100"/>
              <w:bottom w:type="dxa" w:w="80"/>
              <w:right w:type="dxa" w:w="100"/>
            </w:tcMar>
          </w:tcPr>
          <w:p>
            <w:r>
              <w:rPr>
                <w:b/>
                <w:bCs/>
                <w:color w:val="FFFFFF"/>
              </w:rPr>
              <w:t xml:space="preserve">SecureProfit Hub</w:t>
            </w:r>
          </w:p>
        </w:tc>
        <w:tc>
          <w:tcPr>
            <w:tcW w:type="dxa" w:w="1100"/>
            <w:shd w:fill="0F172A" w:color="0F172A" w:val="solid"/>
            <w:tcMar>
              <w:top w:type="dxa" w:w="80"/>
              <w:left w:type="dxa" w:w="100"/>
              <w:bottom w:type="dxa" w:w="80"/>
              <w:right w:type="dxa" w:w="100"/>
            </w:tcMar>
          </w:tcPr>
          <w:p>
            <w:r>
              <w:rPr>
                <w:b/>
                <w:bCs/>
                <w:color w:val="FFFFFF"/>
              </w:rPr>
              <w:t xml:space="preserve">Status</w:t>
            </w:r>
          </w:p>
        </w:tc>
        <w:tc>
          <w:tcPr>
            <w:tcW w:type="dxa" w:w="1800"/>
            <w:shd w:fill="0F172A" w:color="0F172A" w:val="solid"/>
            <w:tcMar>
              <w:top w:type="dxa" w:w="80"/>
              <w:left w:type="dxa" w:w="100"/>
              <w:bottom w:type="dxa" w:w="80"/>
              <w:right w:type="dxa" w:w="100"/>
            </w:tcMar>
          </w:tcPr>
          <w:p>
            <w:r>
              <w:rPr>
                <w:b/>
                <w:bCs/>
                <w:color w:val="FFFFFF"/>
              </w:rPr>
              <w:t xml:space="preserve">Catatan</w:t>
            </w:r>
          </w:p>
        </w:tc>
      </w:tr>
      <w:tr>
        <w:tc>
          <w:tcPr>
            <w:tcW w:type="dxa" w:w="2200"/>
            <w:tcMar>
              <w:top w:type="dxa" w:w="60"/>
              <w:left w:type="dxa" w:w="100"/>
              <w:bottom w:type="dxa" w:w="60"/>
              <w:right w:type="dxa" w:w="100"/>
            </w:tcMar>
          </w:tcPr>
          <w:p>
            <w:r>
              <w:rPr>
                <w:b/>
                <w:bCs/>
                <w:sz w:val="20"/>
                <w:szCs w:val="20"/>
              </w:rPr>
              <w:t xml:space="preserve">Knowledge base / akademi</w:t>
            </w:r>
          </w:p>
        </w:tc>
        <w:tc>
          <w:tcPr>
            <w:tcW w:type="dxa" w:w="3200"/>
            <w:tcMar>
              <w:top w:type="dxa" w:w="60"/>
              <w:left w:type="dxa" w:w="100"/>
              <w:bottom w:type="dxa" w:w="60"/>
              <w:right w:type="dxa" w:w="100"/>
            </w:tcMar>
          </w:tcPr>
          <w:p>
            <w:r>
              <w:rPr>
                <w:sz w:val="20"/>
                <w:szCs w:val="20"/>
              </w:rPr>
              <w:t xml:space="preserve">PSOhub Academy free courses</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In-app chat support</w:t>
            </w:r>
          </w:p>
        </w:tc>
        <w:tc>
          <w:tcPr>
            <w:tcW w:type="dxa" w:w="3200"/>
            <w:tcMar>
              <w:top w:type="dxa" w:w="60"/>
              <w:left w:type="dxa" w:w="100"/>
              <w:bottom w:type="dxa" w:w="60"/>
              <w:right w:type="dxa" w:w="100"/>
            </w:tcMar>
          </w:tcPr>
          <w:p>
            <w:r>
              <w:rPr>
                <w:sz w:val="20"/>
                <w:szCs w:val="20"/>
              </w:rPr>
              <w:t xml:space="preserve">Chat &amp; email support semua plan</w:t>
            </w:r>
          </w:p>
        </w:tc>
        <w:tc>
          <w:tcPr>
            <w:tcW w:type="dxa" w:w="3200"/>
            <w:tcMar>
              <w:top w:type="dxa" w:w="60"/>
              <w:left w:type="dxa" w:w="100"/>
              <w:bottom w:type="dxa" w:w="60"/>
              <w:right w:type="dxa" w:w="100"/>
            </w:tcMar>
          </w:tcPr>
          <w:p>
            <w:r>
              <w:rPr>
                <w:sz w:val="20"/>
                <w:szCs w:val="20"/>
              </w:rPr>
              <w:t xml:space="preserve">Belum ada</w:t>
            </w:r>
          </w:p>
        </w:tc>
        <w:tc>
          <w:tcPr>
            <w:tcW w:type="dxa" w:w="1100"/>
            <w:shd w:fill="DC2626" w:color="DC2626" w:val="solid"/>
            <w:tcMar>
              <w:top w:type="dxa" w:w="60"/>
              <w:left w:type="dxa" w:w="100"/>
              <w:bottom w:type="dxa" w:w="60"/>
              <w:right w:type="dxa" w:w="100"/>
            </w:tcMar>
          </w:tcPr>
          <w:p>
            <w:pPr>
              <w:jc w:val="center"/>
            </w:pPr>
            <w:r>
              <w:rPr>
                <w:b/>
                <w:bCs/>
                <w:color w:val="FFFFFF"/>
                <w:sz w:val="20"/>
                <w:szCs w:val="20"/>
              </w:rPr>
              <w:t xml:space="preserve">Gap</w:t>
            </w:r>
          </w:p>
        </w:tc>
        <w:tc>
          <w:tcPr>
            <w:tcW w:type="dxa" w:w="1800"/>
            <w:tcMar>
              <w:top w:type="dxa" w:w="60"/>
              <w:left w:type="dxa" w:w="100"/>
              <w:bottom w:type="dxa" w:w="60"/>
              <w:right w:type="dxa" w:w="100"/>
            </w:tcMar>
          </w:tcPr>
          <w:p>
            <w:r>
              <w:rPr>
                <w:sz w:val="18"/>
                <w:szCs w:val="18"/>
              </w:rPr>
              <w:t xml:space="preserve">-</w:t>
            </w:r>
          </w:p>
        </w:tc>
      </w:tr>
      <w:tr>
        <w:tc>
          <w:tcPr>
            <w:tcW w:type="dxa" w:w="2200"/>
            <w:tcMar>
              <w:top w:type="dxa" w:w="60"/>
              <w:left w:type="dxa" w:w="100"/>
              <w:bottom w:type="dxa" w:w="60"/>
              <w:right w:type="dxa" w:w="100"/>
            </w:tcMar>
          </w:tcPr>
          <w:p>
            <w:r>
              <w:rPr>
                <w:b/>
                <w:bCs/>
                <w:sz w:val="20"/>
                <w:szCs w:val="20"/>
              </w:rPr>
              <w:t xml:space="preserve">Customer success agent</w:t>
            </w:r>
          </w:p>
        </w:tc>
        <w:tc>
          <w:tcPr>
            <w:tcW w:type="dxa" w:w="3200"/>
            <w:tcMar>
              <w:top w:type="dxa" w:w="60"/>
              <w:left w:type="dxa" w:w="100"/>
              <w:bottom w:type="dxa" w:w="60"/>
              <w:right w:type="dxa" w:w="100"/>
            </w:tcMar>
          </w:tcPr>
          <w:p>
            <w:r>
              <w:rPr>
                <w:sz w:val="20"/>
                <w:szCs w:val="20"/>
              </w:rPr>
              <w:t xml:space="preserve">Assigned CS agent (Enterprise)</w:t>
            </w:r>
          </w:p>
        </w:tc>
        <w:tc>
          <w:tcPr>
            <w:tcW w:type="dxa" w:w="3200"/>
            <w:tcMar>
              <w:top w:type="dxa" w:w="60"/>
              <w:left w:type="dxa" w:w="100"/>
              <w:bottom w:type="dxa" w:w="60"/>
              <w:right w:type="dxa" w:w="100"/>
            </w:tcMar>
          </w:tcPr>
          <w:p>
            <w:r>
              <w:rPr>
                <w:sz w:val="20"/>
                <w:szCs w:val="20"/>
              </w:rPr>
              <w:t xml:space="preserve">N/A (internal tool)</w:t>
            </w:r>
          </w:p>
        </w:tc>
        <w:tc>
          <w:tcPr>
            <w:tcW w:type="dxa" w:w="1100"/>
            <w:shd w:fill="D97706" w:color="D97706" w:val="solid"/>
            <w:tcMar>
              <w:top w:type="dxa" w:w="60"/>
              <w:left w:type="dxa" w:w="100"/>
              <w:bottom w:type="dxa" w:w="60"/>
              <w:right w:type="dxa" w:w="100"/>
            </w:tcMar>
          </w:tcPr>
          <w:p>
            <w:pPr>
              <w:jc w:val="center"/>
            </w:pPr>
            <w:r>
              <w:rPr>
                <w:b/>
                <w:bCs/>
                <w:color w:val="FFFFFF"/>
                <w:sz w:val="20"/>
                <w:szCs w:val="20"/>
              </w:rPr>
              <w:t xml:space="preserve">Partial</w:t>
            </w:r>
          </w:p>
        </w:tc>
        <w:tc>
          <w:tcPr>
            <w:tcW w:type="dxa" w:w="1800"/>
            <w:tcMar>
              <w:top w:type="dxa" w:w="60"/>
              <w:left w:type="dxa" w:w="100"/>
              <w:bottom w:type="dxa" w:w="60"/>
              <w:right w:type="dxa" w:w="100"/>
            </w:tcMar>
          </w:tcPr>
          <w:p>
            <w:r>
              <w:rPr>
                <w:sz w:val="18"/>
                <w:szCs w:val="18"/>
              </w:rPr>
              <w:t xml:space="preserve">-</w:t>
            </w:r>
          </w:p>
        </w:tc>
      </w:tr>
    </w:tbl>
    <w:p>
      <w:r>
        <w:t xml:space="preserve"/>
      </w:r>
    </w:p>
    <w:p>
      <w:pPr>
        <w:pStyle w:val="Heading2"/>
        <w:spacing w:after="120" w:before="240"/>
      </w:pPr>
      <w:r>
        <w:rPr>
          <w:b/>
          <w:bCs/>
          <w:color w:val="0F172A"/>
          <w:sz w:val="26"/>
          <w:szCs w:val="26"/>
        </w:rPr>
        <w:t xml:space="preserve">Daftar Gap (Kandidat Roadmap)</w:t>
      </w:r>
    </w:p>
    <w:p>
      <w:pPr>
        <w:pStyle w:val="ListParagraph"/>
        <w:numPr>
          <w:ilvl w:val="0"/>
          <w:numId w:val="2"/>
        </w:numPr>
      </w:pPr>
      <w:r>
        <w:t xml:space="preserve">Pembuatan kontrak dari template / CRM (1. Manajemen Kontrak &amp; Proyek) - Smart contract generation dari data HubSpot/CRM, template reusable</w:t>
      </w:r>
    </w:p>
    <w:p>
      <w:pPr>
        <w:pStyle w:val="ListParagraph"/>
        <w:numPr>
          <w:ilvl w:val="0"/>
          <w:numId w:val="2"/>
        </w:numPr>
      </w:pPr>
      <w:r>
        <w:t xml:space="preserve">Jenis kontrak (Fixed Price, T&amp;M, Retainer, Recurring) (1. Manajemen Kontrak &amp; Proyek) - Mendukung Fixed-price, Time &amp; Material, Installment, Recurring</w:t>
      </w:r>
    </w:p>
    <w:p>
      <w:pPr>
        <w:pStyle w:val="ListParagraph"/>
        <w:numPr>
          <w:ilvl w:val="0"/>
          <w:numId w:val="2"/>
        </w:numPr>
      </w:pPr>
      <w:r>
        <w:t xml:space="preserve">Kanban board (1. Manajemen Kontrak &amp; Proyek) - Kanban tersedia di semua plan</w:t>
      </w:r>
    </w:p>
    <w:p>
      <w:pPr>
        <w:pStyle w:val="ListParagraph"/>
        <w:numPr>
          <w:ilvl w:val="0"/>
          <w:numId w:val="2"/>
        </w:numPr>
      </w:pPr>
      <w:r>
        <w:t xml:space="preserve">Multi-currency (1. Manajemen Kontrak &amp; Proyek) - Multi-currency di Enterprise</w:t>
      </w:r>
    </w:p>
    <w:p>
      <w:pPr>
        <w:pStyle w:val="ListParagraph"/>
        <w:numPr>
          <w:ilvl w:val="0"/>
          <w:numId w:val="2"/>
        </w:numPr>
      </w:pPr>
      <w:r>
        <w:t xml:space="preserve">Calendar / mobile / plugin integration (2. Time Tracking &amp; Expense) - Integrasi Outlook/Google Calendar, mobile app, plugin</w:t>
      </w:r>
    </w:p>
    <w:p>
      <w:pPr>
        <w:pStyle w:val="ListParagraph"/>
        <w:numPr>
          <w:ilvl w:val="0"/>
          <w:numId w:val="2"/>
        </w:numPr>
      </w:pPr>
      <w:r>
        <w:t xml:space="preserve">AI auto-scheduling resource (3. Resource &amp; Capacity Management) - AI Scheduling (Enterprise) - auto-assign resource</w:t>
      </w:r>
    </w:p>
    <w:p>
      <w:pPr>
        <w:pStyle w:val="ListParagraph"/>
        <w:numPr>
          <w:ilvl w:val="0"/>
          <w:numId w:val="2"/>
        </w:numPr>
      </w:pPr>
      <w:r>
        <w:t xml:space="preserve">Backlog report (planned belum dibooking) (3. Resource &amp; Capacity Management) - Backlog Report (Enterprise)</w:t>
      </w:r>
    </w:p>
    <w:p>
      <w:pPr>
        <w:pStyle w:val="ListParagraph"/>
        <w:numPr>
          <w:ilvl w:val="0"/>
          <w:numId w:val="2"/>
        </w:numPr>
      </w:pPr>
      <w:r>
        <w:t xml:space="preserve">Auto-generate PDF invoice (4. Invoicing &amp; Billing) - Custom invoice layout per BU (Enterprise)</w:t>
      </w:r>
    </w:p>
    <w:p>
      <w:pPr>
        <w:pStyle w:val="ListParagraph"/>
        <w:numPr>
          <w:ilvl w:val="0"/>
          <w:numId w:val="2"/>
        </w:numPr>
      </w:pPr>
      <w:r>
        <w:t xml:space="preserve">Recurring invoice automation (4. Invoicing &amp; Billing) - Recurring invoice set-and-forget</w:t>
      </w:r>
    </w:p>
    <w:p>
      <w:pPr>
        <w:pStyle w:val="ListParagraph"/>
        <w:numPr>
          <w:ilvl w:val="0"/>
          <w:numId w:val="2"/>
        </w:numPr>
      </w:pPr>
      <w:r>
        <w:t xml:space="preserve">Integrasi accounting (QuickBooks/Xero/Accurate) (4. Invoicing &amp; Billing) - QuickBooks, Xero, Moneybird, Exact Online, dll</w:t>
      </w:r>
    </w:p>
    <w:p>
      <w:pPr>
        <w:pStyle w:val="ListParagraph"/>
        <w:numPr>
          <w:ilvl w:val="0"/>
          <w:numId w:val="2"/>
        </w:numPr>
      </w:pPr>
      <w:r>
        <w:t xml:space="preserve">Quote / SOW dengan digital signing (4. Invoicing &amp; Billing) - Quote &amp; SOW dengan e-signature (Professional)</w:t>
      </w:r>
    </w:p>
    <w:p>
      <w:pPr>
        <w:pStyle w:val="ListParagraph"/>
        <w:numPr>
          <w:ilvl w:val="0"/>
          <w:numId w:val="2"/>
        </w:numPr>
      </w:pPr>
      <w:r>
        <w:t xml:space="preserve">Data warehouse access (6. Reporting &amp; Analytics) - Enterprise plan</w:t>
      </w:r>
    </w:p>
    <w:p>
      <w:pPr>
        <w:pStyle w:val="ListParagraph"/>
        <w:numPr>
          <w:ilvl w:val="0"/>
          <w:numId w:val="2"/>
        </w:numPr>
      </w:pPr>
      <w:r>
        <w:t xml:space="preserve">AI assistant / Copilot (7. AI / Automation (Copilot)) - AI Copilot 24/7 (review, notify, data analytics)</w:t>
      </w:r>
    </w:p>
    <w:p>
      <w:pPr>
        <w:pStyle w:val="ListParagraph"/>
        <w:numPr>
          <w:ilvl w:val="0"/>
          <w:numId w:val="2"/>
        </w:numPr>
      </w:pPr>
      <w:r>
        <w:t xml:space="preserve">AI natural language data query (7. AI / Automation (Copilot)) - AI Data Analytics - tanya data dengan natural language</w:t>
      </w:r>
    </w:p>
    <w:p>
      <w:pPr>
        <w:pStyle w:val="ListParagraph"/>
        <w:numPr>
          <w:ilvl w:val="0"/>
          <w:numId w:val="2"/>
        </w:numPr>
      </w:pPr>
      <w:r>
        <w:t xml:space="preserve">AI auto-scheduling (7. AI / Automation (Copilot)) - AI Scheduling (Enterprise)</w:t>
      </w:r>
    </w:p>
    <w:p>
      <w:pPr>
        <w:pStyle w:val="ListParagraph"/>
        <w:numPr>
          <w:ilvl w:val="0"/>
          <w:numId w:val="2"/>
        </w:numPr>
      </w:pPr>
      <w:r>
        <w:t xml:space="preserve">AI charts &amp; reporting (7. AI / Automation (Copilot)) - AI Charts (Professional)</w:t>
      </w:r>
    </w:p>
    <w:p>
      <w:pPr>
        <w:pStyle w:val="ListParagraph"/>
        <w:numPr>
          <w:ilvl w:val="0"/>
          <w:numId w:val="2"/>
        </w:numPr>
      </w:pPr>
      <w:r>
        <w:t xml:space="preserve">CRM integration (8. Integrations) - HubSpot (native), Salesforce, MS Dynamics 365, Pipedrive</w:t>
      </w:r>
    </w:p>
    <w:p>
      <w:pPr>
        <w:pStyle w:val="ListParagraph"/>
        <w:numPr>
          <w:ilvl w:val="0"/>
          <w:numId w:val="2"/>
        </w:numPr>
      </w:pPr>
      <w:r>
        <w:t xml:space="preserve">Accounting integration (8. Integrations) - QuickBooks, Xero, Moneybird, Exact Online, Bexio, Sage, SAP B1, Twinfield</w:t>
      </w:r>
    </w:p>
    <w:p>
      <w:pPr>
        <w:pStyle w:val="ListParagraph"/>
        <w:numPr>
          <w:ilvl w:val="0"/>
          <w:numId w:val="2"/>
        </w:numPr>
      </w:pPr>
      <w:r>
        <w:t xml:space="preserve">Collaboration (Teams/Slack) (8. Integrations) - Microsoft Teams, Slack (Professional)</w:t>
      </w:r>
    </w:p>
    <w:p>
      <w:pPr>
        <w:pStyle w:val="ListParagraph"/>
        <w:numPr>
          <w:ilvl w:val="0"/>
          <w:numId w:val="2"/>
        </w:numPr>
      </w:pPr>
      <w:r>
        <w:t xml:space="preserve">SSO (Google/Microsoft) (8. Integrations) - Login via Google &amp; Microsoft</w:t>
      </w:r>
    </w:p>
    <w:p>
      <w:pPr>
        <w:pStyle w:val="ListParagraph"/>
        <w:numPr>
          <w:ilvl w:val="0"/>
          <w:numId w:val="2"/>
        </w:numPr>
      </w:pPr>
      <w:r>
        <w:t xml:space="preserve">Guest portal eksternal (9. Multi-tenancy, Security &amp; Audit) - Guest Portal dengan financial/task access (Professional)</w:t>
      </w:r>
    </w:p>
    <w:p>
      <w:pPr>
        <w:pStyle w:val="ListParagraph"/>
        <w:numPr>
          <w:ilvl w:val="0"/>
          <w:numId w:val="2"/>
        </w:numPr>
      </w:pPr>
      <w:r>
        <w:t xml:space="preserve">Knowledge base / akademi (10. Onboarding &amp; Support) - PSOhub Academy free courses</w:t>
      </w:r>
    </w:p>
    <w:p>
      <w:pPr>
        <w:pStyle w:val="ListParagraph"/>
        <w:numPr>
          <w:ilvl w:val="0"/>
          <w:numId w:val="2"/>
        </w:numPr>
      </w:pPr>
      <w:r>
        <w:t xml:space="preserve">In-app chat support (10. Onboarding &amp; Support) - Chat &amp; email support semua plan</w:t>
      </w:r>
    </w:p>
    <w:p>
      <w:pPr>
        <w:pStyle w:val="Heading2"/>
        <w:spacing w:after="120" w:before="240"/>
      </w:pPr>
      <w:r>
        <w:rPr>
          <w:b/>
          <w:bCs/>
          <w:color w:val="0F172A"/>
          <w:sz w:val="26"/>
          <w:szCs w:val="26"/>
        </w:rPr>
        <w:t xml:space="preserve">Daftar Partial (Perlu Penyempurnaan)</w:t>
      </w:r>
    </w:p>
    <w:p>
      <w:pPr>
        <w:pStyle w:val="ListParagraph"/>
        <w:numPr>
          <w:ilvl w:val="0"/>
          <w:numId w:val="2"/>
        </w:numPr>
      </w:pPr>
      <w:r>
        <w:t xml:space="preserve">Role-based rate per user (1. Manajemen Kontrak &amp; Proyek) - Rate per proyek sudah ada, tapi belum per-role library</w:t>
      </w:r>
    </w:p>
    <w:p>
      <w:pPr>
        <w:pStyle w:val="ListParagraph"/>
        <w:numPr>
          <w:ilvl w:val="0"/>
          <w:numId w:val="2"/>
        </w:numPr>
      </w:pPr>
      <w:r>
        <w:t xml:space="preserve">Project status &amp; alert milestone (1. Manajemen Kontrak &amp; Proyek) - Banner warning di Overview tab + alert pending expense; belum ada alert otomatis budget</w:t>
      </w:r>
    </w:p>
    <w:p>
      <w:pPr>
        <w:pStyle w:val="ListParagraph"/>
        <w:numPr>
          <w:ilvl w:val="0"/>
          <w:numId w:val="2"/>
        </w:numPr>
      </w:pPr>
      <w:r>
        <w:t xml:space="preserve">Multi-company / Business Unit (1. Manajemen Kontrak &amp; Proyek) - BU sudah ada, belum multi-company</w:t>
      </w:r>
    </w:p>
    <w:p>
      <w:pPr>
        <w:pStyle w:val="ListParagraph"/>
        <w:numPr>
          <w:ilvl w:val="0"/>
          <w:numId w:val="2"/>
        </w:numPr>
      </w:pPr>
      <w:r>
        <w:t xml:space="preserve">Expense tracking (attachment &amp; pajak) (2. Time Tracking &amp; Expense) - ProjectExpense (category, amount, approval); belum support attachment &amp; pajak</w:t>
      </w:r>
    </w:p>
    <w:p>
      <w:pPr>
        <w:pStyle w:val="ListParagraph"/>
        <w:numPr>
          <w:ilvl w:val="0"/>
          <w:numId w:val="2"/>
        </w:numPr>
      </w:pPr>
      <w:r>
        <w:t xml:space="preserve">Invoice approval workflow (4. Invoicing &amp; Billing) - Status manual oleh MGMT/PM (INVOICED -&gt; PAID auto-timestamp)</w:t>
      </w:r>
    </w:p>
    <w:p>
      <w:pPr>
        <w:pStyle w:val="ListParagraph"/>
        <w:numPr>
          <w:ilvl w:val="0"/>
          <w:numId w:val="2"/>
        </w:numPr>
      </w:pPr>
      <w:r>
        <w:t xml:space="preserve">Custom report builder (6. Reporting &amp; Analytics) - Belum ada report builder dinamis</w:t>
      </w:r>
    </w:p>
    <w:p>
      <w:pPr>
        <w:pStyle w:val="ListParagraph"/>
        <w:numPr>
          <w:ilvl w:val="0"/>
          <w:numId w:val="2"/>
        </w:numPr>
      </w:pPr>
      <w:r>
        <w:t xml:space="preserve">Public API (8. Integrations) - REST API internal (OpenAPI 3) - belum diekspos publik</w:t>
      </w:r>
    </w:p>
    <w:p>
      <w:pPr>
        <w:pStyle w:val="ListParagraph"/>
        <w:numPr>
          <w:ilvl w:val="0"/>
          <w:numId w:val="2"/>
        </w:numPr>
      </w:pPr>
      <w:r>
        <w:t xml:space="preserve">Customer success agent (10. Onboarding &amp; Support) - N/A (internal tool)</w:t>
      </w:r>
    </w:p>
    <w:p>
      <w:pPr>
        <w:pStyle w:val="Heading2"/>
        <w:spacing w:after="120" w:before="240"/>
      </w:pPr>
      <w:r>
        <w:rPr>
          <w:b/>
          <w:bCs/>
          <w:color w:val="0F172A"/>
          <w:sz w:val="26"/>
          <w:szCs w:val="26"/>
        </w:rPr>
        <w:t xml:space="preserve">Rekomendasi Prioritas</w:t>
      </w:r>
    </w:p>
    <w:p>
      <w:pPr>
        <w:pStyle w:val="Heading3"/>
        <w:spacing w:after="120" w:before="240"/>
      </w:pPr>
      <w:r>
        <w:rPr>
          <w:b/>
          <w:bCs/>
          <w:color w:val="0F172A"/>
          <w:sz w:val="26"/>
          <w:szCs w:val="26"/>
        </w:rPr>
        <w:t xml:space="preserve">Prioritas Tinggi (Quick Win &lt; 1 kuartal)</w:t>
      </w:r>
    </w:p>
    <w:p>
      <w:pPr>
        <w:pStyle w:val="ListParagraph"/>
        <w:numPr>
          <w:ilvl w:val="0"/>
          <w:numId w:val="1"/>
        </w:numPr>
      </w:pPr>
      <w:r>
        <w:t xml:space="preserve">Generate PDF invoice otomatis dari BillingMilestone - sudah punya data DPP/VAT, tinggal templating.</w:t>
      </w:r>
    </w:p>
    <w:p>
      <w:pPr>
        <w:pStyle w:val="ListParagraph"/>
        <w:numPr>
          <w:ilvl w:val="0"/>
          <w:numId w:val="1"/>
        </w:numPr>
      </w:pPr>
      <w:r>
        <w:t xml:space="preserve">SSO Microsoft / Google - adopsi tinggi di lingkungan korporasi.</w:t>
      </w:r>
    </w:p>
    <w:p>
      <w:pPr>
        <w:pStyle w:val="ListParagraph"/>
        <w:numPr>
          <w:ilvl w:val="0"/>
          <w:numId w:val="1"/>
        </w:numPr>
      </w:pPr>
      <w:r>
        <w:t xml:space="preserve">Attachment dokumen pada expense (struk/kwitansi) - perubahan schema kecil.</w:t>
      </w:r>
    </w:p>
    <w:p>
      <w:pPr>
        <w:pStyle w:val="ListParagraph"/>
        <w:numPr>
          <w:ilvl w:val="0"/>
          <w:numId w:val="1"/>
        </w:numPr>
      </w:pPr>
      <w:r>
        <w:t xml:space="preserve">Kanban view pada Tasks tab - reuse data task yang sudah ada.</w:t>
      </w:r>
    </w:p>
    <w:p>
      <w:pPr>
        <w:pStyle w:val="ListParagraph"/>
        <w:numPr>
          <w:ilvl w:val="0"/>
          <w:numId w:val="1"/>
        </w:numPr>
      </w:pPr>
      <w:r>
        <w:t xml:space="preserve">Alert otomatis over-budget / mendekati deadline (cron job + Notification).</w:t>
      </w:r>
    </w:p>
    <w:p>
      <w:pPr>
        <w:pStyle w:val="Heading3"/>
        <w:spacing w:after="120" w:before="240"/>
      </w:pPr>
      <w:r>
        <w:rPr>
          <w:b/>
          <w:bCs/>
          <w:color w:val="0F172A"/>
          <w:sz w:val="26"/>
          <w:szCs w:val="26"/>
        </w:rPr>
        <w:t xml:space="preserve">Prioritas Menengah (1-2 kuartal)</w:t>
      </w:r>
    </w:p>
    <w:p>
      <w:pPr>
        <w:pStyle w:val="ListParagraph"/>
        <w:numPr>
          <w:ilvl w:val="0"/>
          <w:numId w:val="1"/>
        </w:numPr>
      </w:pPr>
      <w:r>
        <w:t xml:space="preserve">Modul Contract terpisah dengan tipe kontrak (Fixed/T&amp;M/Retainer/Recurring) dan recurring invoice.</w:t>
      </w:r>
    </w:p>
    <w:p>
      <w:pPr>
        <w:pStyle w:val="ListParagraph"/>
        <w:numPr>
          <w:ilvl w:val="0"/>
          <w:numId w:val="1"/>
        </w:numPr>
      </w:pPr>
      <w:r>
        <w:t xml:space="preserve">Quote/SOW + digital signing - integrasi DocuSign atau Mekari Sign.</w:t>
      </w:r>
    </w:p>
    <w:p>
      <w:pPr>
        <w:pStyle w:val="ListParagraph"/>
        <w:numPr>
          <w:ilvl w:val="0"/>
          <w:numId w:val="1"/>
        </w:numPr>
      </w:pPr>
      <w:r>
        <w:t xml:space="preserve">Integrasi accounting lokal: Accurate, Jurnal.id, atau Xero.</w:t>
      </w:r>
    </w:p>
    <w:p>
      <w:pPr>
        <w:pStyle w:val="ListParagraph"/>
        <w:numPr>
          <w:ilvl w:val="0"/>
          <w:numId w:val="1"/>
        </w:numPr>
      </w:pPr>
      <w:r>
        <w:t xml:space="preserve">Client/guest portal read-only untuk status proyek &amp; invoice.</w:t>
      </w:r>
    </w:p>
    <w:p>
      <w:pPr>
        <w:pStyle w:val="ListParagraph"/>
        <w:numPr>
          <w:ilvl w:val="0"/>
          <w:numId w:val="1"/>
        </w:numPr>
      </w:pPr>
      <w:r>
        <w:t xml:space="preserve">Custom report builder sederhana (drag-drop filter + chart).</w:t>
      </w:r>
    </w:p>
    <w:p>
      <w:pPr>
        <w:pStyle w:val="Heading3"/>
        <w:spacing w:after="120" w:before="240"/>
      </w:pPr>
      <w:r>
        <w:rPr>
          <w:b/>
          <w:bCs/>
          <w:color w:val="0F172A"/>
          <w:sz w:val="26"/>
          <w:szCs w:val="26"/>
        </w:rPr>
        <w:t xml:space="preserve">Prioritas Strategis (&gt; 2 kuartal)</w:t>
      </w:r>
    </w:p>
    <w:p>
      <w:pPr>
        <w:pStyle w:val="ListParagraph"/>
        <w:numPr>
          <w:ilvl w:val="0"/>
          <w:numId w:val="1"/>
        </w:numPr>
      </w:pPr>
      <w:r>
        <w:t xml:space="preserve">AI Copilot: natural-language data query (mis. 'berapa margin proyek X bulan ini') menggunakan LLM.</w:t>
      </w:r>
    </w:p>
    <w:p>
      <w:pPr>
        <w:pStyle w:val="ListParagraph"/>
        <w:numPr>
          <w:ilvl w:val="0"/>
          <w:numId w:val="1"/>
        </w:numPr>
      </w:pPr>
      <w:r>
        <w:t xml:space="preserve">AI auto-scheduling resource berbasis skill matrix + workload yang sudah ada.</w:t>
      </w:r>
    </w:p>
    <w:p>
      <w:pPr>
        <w:pStyle w:val="ListParagraph"/>
        <w:numPr>
          <w:ilvl w:val="0"/>
          <w:numId w:val="1"/>
        </w:numPr>
      </w:pPr>
      <w:r>
        <w:t xml:space="preserve">Multi-currency &amp; multi-company jika ekspansi ke entitas/anak perusahaan lain.</w:t>
      </w:r>
    </w:p>
    <w:p>
      <w:pPr>
        <w:pStyle w:val="ListParagraph"/>
        <w:numPr>
          <w:ilvl w:val="0"/>
          <w:numId w:val="1"/>
        </w:numPr>
      </w:pPr>
      <w:r>
        <w:t xml:space="preserve">Mobile app untuk timesheet &amp; approval.</w:t>
      </w:r>
    </w:p>
    <w:p>
      <w:pPr>
        <w:pStyle w:val="ListParagraph"/>
        <w:numPr>
          <w:ilvl w:val="0"/>
          <w:numId w:val="1"/>
        </w:numPr>
      </w:pPr>
      <w:r>
        <w:t xml:space="preserve">Integrasi Microsoft Teams/Slack untuk notifikasi.</w:t>
      </w:r>
    </w:p>
    <w:p>
      <w:pPr>
        <w:pStyle w:val="Heading2"/>
        <w:spacing w:after="120" w:before="240"/>
      </w:pPr>
      <w:r>
        <w:rPr>
          <w:b/>
          <w:bCs/>
          <w:color w:val="0F172A"/>
          <w:sz w:val="26"/>
          <w:szCs w:val="26"/>
        </w:rPr>
        <w:t xml:space="preserve">Keunggulan SecureProfit Hub yang Tidak Dimiliki PSOhub</w:t>
      </w:r>
    </w:p>
    <w:p>
      <w:pPr>
        <w:pStyle w:val="ListParagraph"/>
        <w:numPr>
          <w:ilvl w:val="0"/>
          <w:numId w:val="1"/>
        </w:numPr>
      </w:pPr>
      <w:r>
        <w:t xml:space="preserve">VAT Recap PPN 11% Indonesia - rekap tahunan DPP, PPN dipungut, PPN dibayar, outstanding per bulan + CSV export untuk pelaporan SPT.</w:t>
      </w:r>
    </w:p>
    <w:p>
      <w:pPr>
        <w:pStyle w:val="ListParagraph"/>
        <w:numPr>
          <w:ilvl w:val="0"/>
          <w:numId w:val="1"/>
        </w:numPr>
      </w:pPr>
      <w:r>
        <w:t xml:space="preserve">Dokumen BAST (Berita Acara Serah Terima) sebagai tipe dokumen first-class - sesuai praktik proyek IT di Indonesia.</w:t>
      </w:r>
    </w:p>
    <w:p>
      <w:pPr>
        <w:pStyle w:val="ListParagraph"/>
        <w:numPr>
          <w:ilvl w:val="0"/>
          <w:numId w:val="1"/>
        </w:numPr>
      </w:pPr>
      <w:r>
        <w:t xml:space="preserve">Struktur Principal supervisor 3-tier (Principal Konsultan / Technical Writer / Admin Project) dengan workflow propose &amp; accept staffing.</w:t>
      </w:r>
    </w:p>
    <w:p>
      <w:pPr>
        <w:pStyle w:val="ListParagraph"/>
        <w:numPr>
          <w:ilvl w:val="0"/>
          <w:numId w:val="1"/>
        </w:numPr>
      </w:pPr>
      <w:r>
        <w:t xml:space="preserve">Skill matrix &amp; gap analysis otomatis menandai skill yang hanya dipegang 1 orang atau tanpa Senior/Principal.</w:t>
      </w:r>
    </w:p>
    <w:p>
      <w:pPr>
        <w:pStyle w:val="ListParagraph"/>
        <w:numPr>
          <w:ilvl w:val="0"/>
          <w:numId w:val="1"/>
        </w:numPr>
      </w:pPr>
      <w:r>
        <w:t xml:space="preserve">Domain-specific roles (Konsultan, Technical Writer, Admin Project) sesuai struktur tim konsultan keamanan TI lokal.</w:t>
      </w:r>
    </w:p>
    <w:p>
      <w:pPr>
        <w:pStyle w:val="ListParagraph"/>
        <w:numPr>
          <w:ilvl w:val="0"/>
          <w:numId w:val="1"/>
        </w:numPr>
      </w:pPr>
      <w:r>
        <w:t xml:space="preserve">Bulk weekly timesheet entry (grid 5 hari kerja) - UX khusus pola kerja konsultan.</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Fit-Gap Analysis: SecureProfit Hub vs PSOhub</dc:title>
  <dc:creator>SecureProfit Hub</dc:creator>
  <cp:lastModifiedBy>Un-named</cp:lastModifiedBy>
  <cp:revision>1</cp:revision>
  <dcterms:created xsi:type="dcterms:W3CDTF">2026-05-23T09:46:15.533Z</dcterms:created>
  <dcterms:modified xsi:type="dcterms:W3CDTF">2026-05-23T09:46:15.533Z</dcterms:modified>
</cp:coreProperties>
</file>

<file path=docProps/custom.xml><?xml version="1.0" encoding="utf-8"?>
<Properties xmlns="http://schemas.openxmlformats.org/officeDocument/2006/custom-properties" xmlns:vt="http://schemas.openxmlformats.org/officeDocument/2006/docPropsVTypes"/>
</file>