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300"/>
        <w:jc w:val="center"/>
      </w:pPr>
      <w:r>
        <w:rPr>
          <w:rFonts w:ascii="Aptos" w:cs="Aptos" w:eastAsia="Aptos" w:hAnsi="Aptos"/>
          <w:b/>
          <w:bCs/>
          <w:color w:val="17365D"/>
          <w:sz w:val="34"/>
          <w:szCs w:val="34"/>
        </w:rPr>
        <w:t xml:space="preserve">FINAL REVIEW &amp; MINOR REVISIONS</w:t>
      </w:r>
    </w:p>
    <w:p>
      <w:pPr>
        <w:spacing w:after="260" w:line="300"/>
        <w:jc w:val="center"/>
      </w:pPr>
      <w:r>
        <w:rPr>
          <w:rFonts w:ascii="Aptos" w:cs="Aptos" w:eastAsia="Aptos" w:hAnsi="Aptos"/>
          <w:b/>
          <w:bCs/>
          <w:color w:val="1F2937"/>
          <w:sz w:val="27"/>
          <w:szCs w:val="27"/>
        </w:rPr>
        <w:t xml:space="preserve">SecureProfit Hub — 12 FSD Clarification v0.09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7365D"/>
          <w:sz w:val="22"/>
          <w:szCs w:val="22"/>
        </w:rPr>
        <w:t xml:space="preserve">Subject: Final Technical Review Before Stakeholder Sign-Off</w:t>
      </w:r>
    </w:p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Executive Verdict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92400E"/>
          <w:sz w:val="24"/>
          <w:szCs w:val="24"/>
        </w:rPr>
        <w:t xml:space="preserve">MINOR REVISION REQUIRED — CONDITIONALLY READY AFTER DOCUMENT CORRECTION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Dokumen v0.09 sudah menyelesaikan sebagian besar masalah konseptual dari review v0.08. Namun, masih diperlukan satu revisi kecil—disarankan v0.10—sebelum dipromosikan menjadi baseline v1.00.</w:t>
      </w:r>
    </w:p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Corrections Successfully Addressed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Inactive-sector validation sekarang menggunakan set difference requestedIds \ existingIds.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Requested sector IDs dinormalisasi, dideduplikasi, dan diverifikasi keberadaannya.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Current ProjectBaseline schema sekarang sesuai dengan source baseline commit c7080af.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Target ProjectBaseline mempertahankan startDate, endDate, plannedMandays, changeRequest, dan createdBy.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Perbedaan at most one, at least one, dan exactly one sudah dijelaskan.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Lead numbering sekarang dijelaskan sebagai uniqueness-first, bukan statutory gapless sequence.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Ambiguous commit dan best-effort audit sudah disebutkan.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Definisi governance v1.00 sudah memisahkan decision baseline dari implementation/test delivery gates.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Executive Summary sekarang menyatakan proposed target design pending stakeholder approval.</w:t>
      </w:r>
    </w:p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Mandatory Corrections Before v1.00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1. Contoh TypeScript masih invalid secara literal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Pemeriksaan terhadap isi DOCX menunjukkan syntax berikut masih salah dan bukan sekadar artefak text extraction. Kemungkinan generator Word menghilangkan karakter backtick.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Primary-sector advisory lock: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await tx.$executeRaw`
  SELECT pg_advisory_xact_lock(hashtext(${leadId}))
`;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Lead-number return value: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return `LEAD-${jakartaYear}-${String(counter.currentSequence).padStart(4, "0")}`;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Baseline advisory lock: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await tx.$executeRaw`
  SELECT pg_advisory_xact_lock(hashtext(${projectId}))
`;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Baseline scope summary: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scopeSummary:
  `Auto-synced from Commercial Budget Revision v${budgetRevision.version}`,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Pastikan backtick tersimpan sebagai karakter teks literal dalam Word, bukan diproses sebagai Markdown delimiter.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2. CHANGE_REQUEST masih dapat dipanggil tanpa changeRequestId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Signature source union dengan optional changeRequestId memungkinkan caller membuat baseline CHANGE_REQUEST tanpa relasi ke Change Request. Ini melanggar idempotency invariant.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Gunakan discriminated union: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type BaselineSourceInput =
  | {
      source: "ACTIVATION";
      changeRequestId?: never;
    }
  | {
      source: "CHANGE_REQUEST";
      changeRequestId: string;
    };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Atau minimal tambahkan runtime guard: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if (source === "CHANGE_REQUEST" &amp;&amp; !changeRequestId) {
  throw new Error(
    "CHANGE_REQUEST_ID_REQUIRED: A change request baseline requires changeRequestId."
  );
}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Validasi juga bahwa Change Request berasal dari project yang sama, sudah approved, dan belum pernah menghasilkan baseline.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3. Traceability matrix masih memiliki inkonsistensi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DEMO-06: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Ganti “out-of-transaction audit on failure” menjadi: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Same-transaction allocation with tx.lead.create; best-effort reconciliation only for ambiguous commit outcomes.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DEMO-11: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Ganti klaim bahwa partial index sendiri enforces exactly one menjadi: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Partial unique index enforces at most one current baseline; atomic lifecycle validation and reconciliation ensure at least one for active delivery projects.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F2937"/>
          <w:sz w:val="22"/>
          <w:szCs w:val="22"/>
        </w:rPr>
        <w:t xml:space="preserve">DEMO-03: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Decision references masih mencantumkan Decisions 1.3, 7.1, padahal Decision 7.1 tidak ada. Hapus atau ganti dengan decision reference yang benar.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4. Label “Current Deployed Model” terlalu kuat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Yang sudah diverifikasi adalah source model pada commit c7080af, bukan production deployment revision atau production schema.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Gunakan salah satu judul berikut: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Source Baseline Model in Commit c7080af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Current Model in Referenced Codebase Baseline (c7080af)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Istilah deployed hanya digunakan setelah deployment revision dan production schema diverifikasi secara terpisah.</w:t>
      </w:r>
    </w:p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Recommended Minor Refinements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Decimal serialization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JSON fixed number tetap menjadi JavaScript number dan tidak mencegah precision loss. Gunakan canonical decimal strings atau integer minor units untuk nilai moneter authoritative.</w:t>
      </w:r>
    </w:p>
    <w:p>
      <w:pPr>
        <w:pBdr>
          <w:left w:val="single" w:color="94A3B8" w:sz="12"/>
        </w:pBdr>
        <w:shd w:fill="F1F5F9" w:val="clear"/>
        <w:spacing w:after="130" w:before="60"/>
        <w:ind w:left="3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Monetary Decimal values are serialized as canonical decimal strings, or represented as integer minor units where the API contract explicitly requires numeric values. JavaScript floating-point numbers must not be used for authoritative monetary arithmetic.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plannedMandays migration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plannedMandays bukan monetary field. Pertahankan Float atau jelaskan bahwa Decimal dipilih untuk deterministic effort precision, bukan financial precision.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Existing projects without a current baseline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Tambahkan migration/reconciliation acceptance criteria: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Backfill current baseline untuk eligible active projects yang belum memiliki baseline.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Detect dan repair project dengan nol current baseline.</w:t>
      </w:r>
    </w:p>
    <w:p>
      <w:pPr>
        <w:pStyle w:val="ListParagraph"/>
        <w:numPr>
          <w:ilvl w:val="0"/>
          <w:numId w:val="1"/>
        </w:numPr>
        <w:spacing w:after="65" w:line="280"/>
      </w:pPr>
      <w:r>
        <w:t xml:space="preserve">Selesaikan multiple-current legacy data sebelum partial unique index dibuat.</w:t>
      </w:r>
    </w:p>
    <w:p>
      <w:pPr>
        <w:pStyle w:val="Heading2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DEMO-12 GO prerequisite</w:t>
      </w:r>
    </w:p>
    <w:p>
      <w:pPr>
        <w:spacing w:after="130" w:line="300"/>
      </w:pPr>
      <w:r>
        <w:rPr>
          <w:rFonts w:ascii="Aptos" w:cs="Aptos" w:eastAsia="Aptos" w:hAnsi="Aptos"/>
          <w:color w:val="1F2937"/>
          <w:sz w:val="22"/>
          <w:szCs w:val="22"/>
        </w:rPr>
        <w:t xml:space="preserve">Baris “Project.clientId lock and correction workflow tested” belum terpenuhi seluruhnya. Phase 1 sudah implemented/tested; Phase 2 masih target design. Gunakan PARTIALLY SATISFIED atau pecah menjadi dua baris.</w:t>
      </w:r>
    </w:p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Status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shd w:fill="17365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Business decisions and rationale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Ready for sign-off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Inactive-sector delta policy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Current baseline schema reference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Corrected, but deployed label must change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Target baseline preservation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Lead numbering policy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Corrected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Literal TypeScript examples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Not yet correct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CHANGE_REQUEST required input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Not yet enforced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Traceability matrix consistency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Minor corrections required</w:t>
            </w:r>
          </w:p>
        </w:tc>
      </w:tr>
      <w:tr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v1.00 governance definition</w:t>
            </w:r>
          </w:p>
        </w:tc>
        <w:tc>
          <w:tcPr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Corrected</w:t>
            </w:r>
          </w:p>
        </w:tc>
      </w:tr>
    </w:tbl>
    <w:p>
      <w:pPr>
        <w:pStyle w:val="Heading1"/>
        <w:spacing w:after="100" w:before="240"/>
      </w:pPr>
      <w:r>
        <w:rPr>
          <w:rFonts w:ascii="Aptos Display" w:cs="Aptos Display" w:eastAsia="Aptos Display" w:hAnsi="Aptos Display"/>
          <w:b/>
          <w:bCs/>
          <w:color w:val="17365D"/>
        </w:rPr>
        <w:t xml:space="preserve">Final Assessment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92400E"/>
          <w:sz w:val="22"/>
          <w:szCs w:val="22"/>
        </w:rPr>
        <w:t xml:space="preserve">Rekomendasi status: MINOR REVISION REQUIRED — CONDITIONALLY READY AFTER DOCUMENT CORRECTION.</w:t>
      </w:r>
    </w:p>
    <w:p>
      <w:pPr>
        <w:spacing w:after="130" w:line="300"/>
      </w:pPr>
      <w:r>
        <w:rPr>
          <w:rFonts w:ascii="Aptos" w:cs="Aptos" w:eastAsia="Aptos" w:hAnsi="Aptos"/>
          <w:b/>
          <w:bCs/>
          <w:color w:val="17365D"/>
          <w:sz w:val="22"/>
          <w:szCs w:val="22"/>
        </w:rPr>
        <w:t xml:space="preserve">Setelah empat koreksi wajib dan penyempurnaan minor diterapkan, v0.10 dapat diajukan langsung untuk stakeholder sign-off dan promosi menjadi v1.00 tanpa memerlukan review arsitektur besar lagi.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4748B"/>
        <w:sz w:val="16"/>
        <w:szCs w:val="16"/>
      </w:rPr>
      <w:t xml:space="preserve">SPH-REC-CLARIF-01 v0.09 — Minor Revisions Before Sign-Off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64748B"/>
        <w:sz w:val="16"/>
        <w:szCs w:val="16"/>
      </w:rPr>
      <w:t xml:space="preserve">SECUREPROFIT HUB — v0.09 FINAL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SPH 12 FSD v0.09 Final Review and Minor Revisions</dc:title>
  <dc:subject>Final corrections before stakeholder sign-off</dc:subject>
  <dc:creator>SecureProfit Hub Review</dc:creator>
  <cp:lastModifiedBy>Un-named</cp:lastModifiedBy>
  <cp:revision>1</cp:revision>
  <dcterms:created xsi:type="dcterms:W3CDTF">2026-09-02T02:56:59.783Z</dcterms:created>
  <dcterms:modified xsi:type="dcterms:W3CDTF">2026-09-02T02:56:59.784Z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