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40"/>
          <w:szCs w:val="40"/>
        </w:rPr>
        <w:t xml:space="preserve">Fit-Gap Analysis</w:t>
      </w:r>
    </w:p>
    <w:p>
      <w:pPr>
        <w:spacing w:after="240"/>
        <w:jc w:val="center"/>
      </w:pPr>
      <w:r>
        <w:rPr>
          <w:color w:val="555555"/>
          <w:sz w:val="28"/>
          <w:szCs w:val="28"/>
        </w:rPr>
        <w:t xml:space="preserve">SecureProfit Hub vs PSOhub</w:t>
      </w:r>
    </w:p>
    <w:p>
      <w:pPr>
        <w:spacing w:after="80"/>
      </w:pPr>
      <w:r>
        <w:rPr>
          <w:i/>
          <w:iCs/>
        </w:rPr>
        <w:t xml:space="preserve">PSOhub is a global Professional Services Automation (PSA) platform with 5+ years on the market, tightly integrated with HubSpot and Salesforce. This document compares its core capabilities against SecureProfit Hub.</w:t>
      </w:r>
    </w:p>
    <w:p>
      <w:pPr>
        <w:pStyle w:val="Heading1"/>
        <w:spacing w:after="120" w:before="240"/>
      </w:pPr>
      <w:r>
        <w:rPr>
          <w:b/>
          <w:bCs/>
        </w:rPr>
        <w:t xml:space="preserve">Executive Summary — Coverage Score</w:t>
      </w:r>
    </w:p>
    <w:p>
      <w:pPr>
        <w:spacing w:after="80"/>
      </w:pPr>
      <w:r>
        <w:rPr>
          <w:b/>
          <w:bCs/>
        </w:rPr>
        <w:t xml:space="preserve">SecureProfit Hub currently covers approximately 61.4% of PSOhub's relevant capability surface.</w:t>
      </w:r>
    </w:p>
    <w:p>
      <w:pPr>
        <w:spacing w:after="80"/>
      </w:pPr>
      <w:r>
        <w:t xml:space="preserve">Scoring method: each comparable item is weighted Full = 1.0, Partial = 0.5, Missing = 0.0. N/A items (multi-currency, external CRM integration, SaaS pricing) are excluded because they do not apply to a standalone Indonesian internal app.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pct" w:w="15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pct" w:w="15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pct" w:w="30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coverage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× 1.0</w:t>
            </w:r>
          </w:p>
        </w:tc>
        <w:tc>
          <w:tcPr>
            <w:tcW w:type="pct" w:w="30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 coverage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× 0.5</w:t>
            </w:r>
          </w:p>
        </w:tc>
        <w:tc>
          <w:tcPr>
            <w:tcW w:type="pct" w:w="30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× 0.0</w:t>
            </w:r>
          </w:p>
        </w:tc>
        <w:tc>
          <w:tcPr>
            <w:tcW w:type="pct" w:w="30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 (excluded)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30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scored items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13.5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Coverage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61.4%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1. Fit-Gap Matrix</w:t>
      </w:r>
    </w:p>
    <w:p>
      <w:pPr>
        <w:spacing w:after="80"/>
      </w:pPr>
      <w:r>
        <w:t xml:space="preserve">Status legend: Full · Partial · Missing · N/A.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 area</w:t>
            </w:r>
          </w:p>
        </w:tc>
        <w:tc>
          <w:tcPr>
            <w:tcW w:type="pct" w:w="28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PSOhub</w:t>
            </w:r>
          </w:p>
        </w:tc>
        <w:tc>
          <w:tcPr>
            <w:tcW w:type="pct" w:w="32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SecureProfit Hub</w:t>
            </w:r>
          </w:p>
        </w:tc>
        <w:tc>
          <w:tcPr>
            <w:tcW w:type="pct" w:w="18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CRM / Pipeline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Lead pipeline kanban, weighted forecasting, lost-reason analytics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Lead pipeline + analytics + activities log</w:t>
            </w:r>
          </w:p>
        </w:tc>
        <w:tc>
          <w:tcPr>
            <w:tcW w:type="pct" w:w="18%"/>
            <w:shd w:fill="DCFCE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CRM Integration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HubSpot, Salesforce, Dynamics, Pipedrive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Standalone (no external CRM)</w:t>
            </w:r>
          </w:p>
        </w:tc>
        <w:tc>
          <w:tcPr>
            <w:tcW w:type="pct" w:w="18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setup from deal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One-click from CRM deal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Lead → Project converter built-in</w:t>
            </w:r>
          </w:p>
        </w:tc>
        <w:tc>
          <w:tcPr>
            <w:tcW w:type="pct" w:w="18%"/>
            <w:shd w:fill="DCFCE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planning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Gantt chart + Kanban board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Drag-drop Gantt + WBS + dependencies</w:t>
            </w:r>
          </w:p>
        </w:tc>
        <w:tc>
          <w:tcPr>
            <w:tcW w:type="pct" w:w="18%"/>
            <w:shd w:fill="DCFCE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Pre-sales budget worksheet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Calculation sheet with line items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contractValue at intake — no line-item worksheet</w:t>
            </w:r>
          </w:p>
        </w:tc>
        <w:tc>
          <w:tcPr>
            <w:tcW w:type="pct" w:w="18%"/>
            <w:shd w:fill="FEF3C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 types (Fixed Fee, T&amp;M, Retainer, Expense)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Four contract types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implicit Fixed Fee</w:t>
            </w:r>
          </w:p>
        </w:tc>
        <w:tc>
          <w:tcPr>
            <w:tcW w:type="pct" w:w="18%"/>
            <w:shd w:fill="FEE2E2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Task management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Multi-assignee, dependencies, kanban view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Multi-assignee, dependencies, WBS — no kanban view</w:t>
            </w:r>
          </w:p>
        </w:tc>
        <w:tc>
          <w:tcPr>
            <w:tcW w:type="pct" w:w="18%"/>
            <w:shd w:fill="FEF3C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 tracking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Calendar plugin, mobile, timesheet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 timesheet + task time log</w:t>
            </w:r>
          </w:p>
        </w:tc>
        <w:tc>
          <w:tcPr>
            <w:tcW w:type="pct" w:w="18%"/>
            <w:shd w:fill="FEF3C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Timesheet approval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 approve / reject / modify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→ SUBMITTED → APPROVED / REJECTED workflow</w:t>
            </w:r>
          </w:p>
        </w:tc>
        <w:tc>
          <w:tcPr>
            <w:tcW w:type="pct" w:w="18%"/>
            <w:shd w:fill="DCFCE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Expense tracking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 attachments + tax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 approval — no attachment upload yet</w:t>
            </w:r>
          </w:p>
        </w:tc>
        <w:tc>
          <w:tcPr>
            <w:tcW w:type="pct" w:w="18%"/>
            <w:shd w:fill="FEF3C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Invoicing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 invoice generator from milestone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Billing Milestone (manual invoice numbers) — no PDF gen</w:t>
            </w:r>
          </w:p>
        </w:tc>
        <w:tc>
          <w:tcPr>
            <w:tcW w:type="pct" w:w="18%"/>
            <w:shd w:fill="FEF3C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Quotes / SOW with digital signing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 → SOW → signature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shd w:fill="FEE2E2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status alerts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Budget overrun, milestone alerts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Pending-expense &amp; overdue alerts only</w:t>
            </w:r>
          </w:p>
        </w:tc>
        <w:tc>
          <w:tcPr>
            <w:tcW w:type="pct" w:w="18%"/>
            <w:shd w:fill="FEF3C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 planning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 capacity heatmap, utilization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BU-grouped weekly planning page</w:t>
            </w:r>
          </w:p>
        </w:tc>
        <w:tc>
          <w:tcPr>
            <w:tcW w:type="pct" w:w="18%"/>
            <w:shd w:fill="DCFCE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 capacity (planned vs actual)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Workload chart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Planning + Financials cover this</w:t>
            </w:r>
          </w:p>
        </w:tc>
        <w:tc>
          <w:tcPr>
            <w:tcW w:type="pct" w:w="18%"/>
            <w:shd w:fill="DCFCE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Dashboards &amp; reports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dashboards + Excel export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role-specific dashboards + 10 reports + CSV/XLSX/PDF</w:t>
            </w:r>
          </w:p>
        </w:tc>
        <w:tc>
          <w:tcPr>
            <w:tcW w:type="pct" w:w="18%"/>
            <w:shd w:fill="DCFCE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VAT / Tax report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Tax field on expense + invoice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VAT Recap 12-month, SPT-ready</w:t>
            </w:r>
          </w:p>
        </w:tc>
        <w:tc>
          <w:tcPr>
            <w:tcW w:type="pct" w:w="18%"/>
            <w:shd w:fill="DCFCE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Multi-currency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USD / EUR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IDR only</w:t>
            </w:r>
          </w:p>
        </w:tc>
        <w:tc>
          <w:tcPr>
            <w:tcW w:type="pct" w:w="18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/ Guest portal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Named guest accounts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shd w:fill="FEE2E2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Copilot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 notifications + natural-language Q&amp;A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shd w:fill="FEE2E2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notifications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Built-in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shd w:fill="FEE2E2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 app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iOS / Android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 responsive only</w:t>
            </w:r>
          </w:p>
        </w:tc>
        <w:tc>
          <w:tcPr>
            <w:tcW w:type="pct" w:w="18%"/>
            <w:shd w:fill="FEF3C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Activity tracking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Activity table + Site Admin viewer</w:t>
            </w:r>
          </w:p>
        </w:tc>
        <w:tc>
          <w:tcPr>
            <w:tcW w:type="pct" w:w="18%"/>
            <w:shd w:fill="DCFCE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Role-based access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Per-user permission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roles + Principal hierarchy</w:t>
            </w:r>
          </w:p>
        </w:tc>
        <w:tc>
          <w:tcPr>
            <w:tcW w:type="pct" w:w="18%"/>
            <w:shd w:fill="DCFCE7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SaaS pricing / free trial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$25-40 / user / month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Self-hosted, internal</w:t>
            </w:r>
          </w:p>
        </w:tc>
        <w:tc>
          <w:tcPr>
            <w:tcW w:type="pct" w:w="18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2. Where SecureProfit Hub is stronger than PSOhub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Indonesia-specific VAT recap — PPN 11%, SPT Masa-ready, 12-month breakdown. Not available in PSOhub.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Principal / supervisor hierarchy — 3 Principal roles propose resources and scope financial visibility. Tailored to Indonesian IT-security consultancies.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Richer report catalogue — 10 ready-made reports (margin trend by BU, billing aging, cash-inflow forecast,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More granular role-based access — 9 roles + Sales-only Pipeline + Principal supervision.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Built-in lead analytics — funnel, weighted pipeline, lost-reason breakdown — a mini-CRM out of the box.</w:t>
      </w:r>
    </w:p>
    <w:p>
      <w:pPr>
        <w:pStyle w:val="Heading1"/>
        <w:spacing w:after="120" w:before="240"/>
      </w:pPr>
      <w:r>
        <w:rPr>
          <w:b/>
          <w:bCs/>
        </w:rPr>
        <w:t xml:space="preserve">3. High-priority gaps (clear ROI)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54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pct" w:w="16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pct" w:w="24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 types (T&amp;M, Retainer, Expense-only)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pct" w:w="24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— many security engagements run as retainer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Pre-sales budget worksheet / calculation sheet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pct" w:w="24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— itemised cost estimate before contract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Auto-generate invoice PDF from milestone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pct" w:w="24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— Admin Project sends straight to client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Expense attachments (receipts, invoices)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pct" w:w="24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— required for tax audit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notifications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pct" w:w="24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Automatic budget-overrun alert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pct" w:w="24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— catches losing projects early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Quotes / SOW with digital signing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</w:t>
            </w:r>
          </w:p>
        </w:tc>
        <w:tc>
          <w:tcPr>
            <w:tcW w:type="pct" w:w="24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— needs e-sign integration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4. Medium-priority gaps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54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pct" w:w="16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pct" w:w="24%"/>
            <w:shd w:fill="1F2937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Kanban board view on Tasks tab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pct" w:w="24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/ Guest portal (read-only progress view)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Medium-Large</w:t>
            </w:r>
          </w:p>
        </w:tc>
        <w:tc>
          <w:tcPr>
            <w:tcW w:type="pct" w:w="24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Mobile-friendly time logging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pct" w:w="24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— for consultants on-site</w:t>
            </w:r>
          </w:p>
        </w:tc>
      </w:tr>
      <w:tr>
        <w:tc>
          <w:tcPr>
            <w:tcW w:type="pct" w:w="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54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assistant / chat over project data</w:t>
            </w:r>
          </w:p>
        </w:tc>
        <w:tc>
          <w:tcPr>
            <w:tcW w:type="pct" w:w="16%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</w:t>
            </w:r>
          </w:p>
        </w:tc>
        <w:tc>
          <w:tcPr>
            <w:tcW w:type="pct" w:w="24%"/>
            <w:shd w:fill="F3F4F6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— nice-to-have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5. Not applicable for SecureProfit 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HubSpot / Salesforce integration — SecureProfit Hub is standalone with its own pipeline.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Multi-currency — Indonesian clients invoice in IDR.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SaaS pricing / free trial — this is an internal application, not sold per seat.</w:t>
      </w:r>
    </w:p>
    <w:p>
      <w:pPr>
        <w:pStyle w:val="Heading1"/>
        <w:spacing w:after="120" w:before="240"/>
      </w:pPr>
      <w:r>
        <w:rPr>
          <w:b/>
          <w:bCs/>
        </w:rPr>
        <w:t xml:space="preserve">6. Recommended next three steps</w:t>
      </w:r>
    </w:p>
    <w:p>
      <w:pPr>
        <w:spacing w:after="80"/>
      </w:pPr>
      <w:r>
        <w:t xml:space="preserve">To close the gap on what consultants use daily: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1 — Expense attachments + auto-invoice PDF (~1 session). Direct impact on Admin Project and tax audit.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2 — Contract types (Retainer, T&amp;M) (1–2 sessions). Opens new business models.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3 — Email notifications via Resend (1–2 sessions). Already scoped.</w:t>
      </w:r>
    </w:p>
    <w:p>
      <w:pPr>
        <w:spacing w:after="80"/>
      </w:pPr>
      <w:r>
        <w:rPr>
          <w:i/>
          <w:iCs/>
        </w:rPr>
        <w:t xml:space="preserve">After these three steps, projected coverage rises from 61.4% to roughly 78–82%.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Fit-Gap Analysis: SecureProfit Hub vs PSOhub</dc:title>
  <dc:creator>SecureProfit Hub</dc:creator>
  <cp:lastModifiedBy>Un-named</cp:lastModifiedBy>
  <cp:revision>1</cp:revision>
  <dcterms:created xsi:type="dcterms:W3CDTF">2026-05-22T02:16:51.400Z</dcterms:created>
  <dcterms:modified xsi:type="dcterms:W3CDTF">2026-05-22T02:16:51.410Z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