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80"/>
        <w:jc w:val="center"/>
      </w:pPr>
      <w:r>
        <w:rPr>
          <w:b/>
          <w:bCs/>
          <w:color w:val="1F7A4D"/>
          <w:sz w:val="64"/>
          <w:szCs w:val="64"/>
        </w:rPr>
        <w:t xml:space="preserve">SecureProfit Hub</w:t>
      </w:r>
    </w:p>
    <w:p>
      <w:pPr>
        <w:spacing w:after="40"/>
        <w:jc w:val="center"/>
      </w:pPr>
      <w:r>
        <w:rPr>
          <w:b/>
          <w:bCs/>
          <w:color w:val="0F1B14"/>
          <w:sz w:val="34"/>
          <w:szCs w:val="34"/>
        </w:rPr>
        <w:t xml:space="preserve">Dokumen Fitur &amp; Perhitungan Aplikasi</w:t>
      </w:r>
    </w:p>
    <w:p>
      <w:pPr>
        <w:spacing w:after="40"/>
        <w:jc w:val="center"/>
      </w:pPr>
      <w:r>
        <w:rPr>
          <w:i/>
          <w:iCs/>
          <w:color w:val="555555"/>
          <w:sz w:val="24"/>
          <w:szCs w:val="24"/>
        </w:rPr>
        <w:t xml:space="preserve">Sistem Manajemen Project &amp; Profitabilitas untuk Konsultan Keamanan TI</w:t>
      </w:r>
    </w:p>
    <w:p>
      <w:pPr>
        <w:spacing w:before="600"/>
        <w:jc w:val="center"/>
      </w:pPr>
      <w:r>
        <w:rPr>
          <w:color w:val="555555"/>
          <w:sz w:val="22"/>
          <w:szCs w:val="22"/>
        </w:rPr>
        <w:t xml:space="preserve">Bahan Presentasi Internal</w:t>
      </w:r>
    </w:p>
    <w:p>
      <w:pPr>
        <w:jc w:val="center"/>
      </w:pPr>
      <w:r>
        <w:rPr>
          <w:color w:val="555555"/>
          <w:sz w:val="22"/>
          <w:szCs w:val="22"/>
        </w:rPr>
        <w:t xml:space="preserve">Disusun: Juni 2026</w:t>
      </w:r>
    </w:p>
    <w:p>
      <w:r>
        <w:br w:type="page"/>
      </w:r>
    </w:p>
    <w:p>
      <w:pPr>
        <w:pStyle w:val="Heading1"/>
        <w:spacing w:after="140" w:before="360"/>
      </w:pPr>
      <w:r>
        <w:rPr>
          <w:b/>
          <w:bCs/>
          <w:color w:val="1F7A4D"/>
          <w:sz w:val="30"/>
          <w:szCs w:val="30"/>
        </w:rPr>
        <w:t xml:space="preserve">Daftar Isi</w:t>
      </w:r>
    </w:p>
    <w:p>
      <w:pPr>
        <w:pStyle w:val="ListParagraph"/>
        <w:numPr>
          <w:ilvl w:val="0"/>
          <w:numId w:val="1"/>
        </w:numPr>
        <w:spacing w:after="60" w:line="268"/>
      </w:pPr>
      <w:r>
        <w:rPr>
          <w:sz w:val="22"/>
          <w:szCs w:val="22"/>
        </w:rPr>
        <w:t xml:space="preserve">1.  Ringkasan Eksekutif</w:t>
      </w:r>
    </w:p>
    <w:p>
      <w:pPr>
        <w:pStyle w:val="ListParagraph"/>
        <w:numPr>
          <w:ilvl w:val="0"/>
          <w:numId w:val="1"/>
        </w:numPr>
        <w:spacing w:after="60" w:line="268"/>
      </w:pPr>
      <w:r>
        <w:rPr>
          <w:sz w:val="22"/>
          <w:szCs w:val="22"/>
        </w:rPr>
        <w:t xml:space="preserve">2.  Teknologi &amp; Arsitektur</w:t>
      </w:r>
    </w:p>
    <w:p>
      <w:pPr>
        <w:pStyle w:val="ListParagraph"/>
        <w:numPr>
          <w:ilvl w:val="0"/>
          <w:numId w:val="1"/>
        </w:numPr>
        <w:spacing w:after="60" w:line="268"/>
      </w:pPr>
      <w:r>
        <w:rPr>
          <w:sz w:val="22"/>
          <w:szCs w:val="22"/>
        </w:rPr>
        <w:t xml:space="preserve">3.  Peran Pengguna &amp; Hak Akses</w:t>
      </w:r>
    </w:p>
    <w:p>
      <w:pPr>
        <w:pStyle w:val="ListParagraph"/>
        <w:numPr>
          <w:ilvl w:val="0"/>
          <w:numId w:val="1"/>
        </w:numPr>
        <w:spacing w:after="60" w:line="268"/>
      </w:pPr>
      <w:r>
        <w:rPr>
          <w:sz w:val="22"/>
          <w:szCs w:val="22"/>
        </w:rPr>
        <w:t xml:space="preserve">4.  Siklus Hidup Project</w:t>
      </w:r>
    </w:p>
    <w:p>
      <w:pPr>
        <w:pStyle w:val="ListParagraph"/>
        <w:numPr>
          <w:ilvl w:val="0"/>
          <w:numId w:val="1"/>
        </w:numPr>
        <w:spacing w:after="60" w:line="268"/>
      </w:pPr>
      <w:r>
        <w:rPr>
          <w:sz w:val="22"/>
          <w:szCs w:val="22"/>
        </w:rPr>
        <w:t xml:space="preserve">5.  Fitur Utama per Modul</w:t>
      </w:r>
    </w:p>
    <w:p>
      <w:pPr>
        <w:pStyle w:val="ListParagraph"/>
        <w:numPr>
          <w:ilvl w:val="0"/>
          <w:numId w:val="1"/>
        </w:numPr>
        <w:spacing w:after="60" w:line="268"/>
      </w:pPr>
      <w:r>
        <w:rPr>
          <w:sz w:val="22"/>
          <w:szCs w:val="22"/>
        </w:rPr>
        <w:t xml:space="preserve">6.  Perhitungan dalam Aplikasi</w:t>
      </w:r>
    </w:p>
    <w:p>
      <w:pPr>
        <w:pStyle w:val="ListParagraph"/>
        <w:numPr>
          <w:ilvl w:val="0"/>
          <w:numId w:val="1"/>
        </w:numPr>
        <w:spacing w:after="60" w:line="268"/>
      </w:pPr>
      <w:r>
        <w:rPr>
          <w:sz w:val="22"/>
          <w:szCs w:val="22"/>
        </w:rPr>
        <w:t xml:space="preserve">7.  Contoh Perhitungan Menyeluruh</w:t>
      </w:r>
    </w:p>
    <w:p>
      <w:pPr>
        <w:pStyle w:val="ListParagraph"/>
        <w:numPr>
          <w:ilvl w:val="0"/>
          <w:numId w:val="1"/>
        </w:numPr>
        <w:spacing w:after="60" w:line="268"/>
      </w:pPr>
      <w:r>
        <w:rPr>
          <w:sz w:val="22"/>
          <w:szCs w:val="22"/>
        </w:rPr>
        <w:t xml:space="preserve">8.  Integrasi Akuntansi (Xero)</w:t>
      </w:r>
    </w:p>
    <w:p>
      <w:pPr>
        <w:pStyle w:val="ListParagraph"/>
        <w:numPr>
          <w:ilvl w:val="0"/>
          <w:numId w:val="1"/>
        </w:numPr>
        <w:spacing w:after="60" w:line="268"/>
      </w:pPr>
      <w:r>
        <w:rPr>
          <w:sz w:val="22"/>
          <w:szCs w:val="22"/>
        </w:rPr>
        <w:t xml:space="preserve">9.  Keamanan &amp; Kontrol Akses</w:t>
      </w:r>
    </w:p>
    <w:p>
      <w:pPr>
        <w:pStyle w:val="ListParagraph"/>
        <w:numPr>
          <w:ilvl w:val="0"/>
          <w:numId w:val="1"/>
        </w:numPr>
        <w:spacing w:after="60" w:line="268"/>
      </w:pPr>
      <w:r>
        <w:rPr>
          <w:sz w:val="22"/>
          <w:szCs w:val="22"/>
        </w:rPr>
        <w:t xml:space="preserve">10. Saran Persiapan &amp; Alur Demo Presentasi</w:t>
      </w:r>
    </w:p>
    <w:p>
      <w:r>
        <w:br w:type="page"/>
      </w:r>
    </w:p>
    <w:p>
      <w:pPr>
        <w:pStyle w:val="Heading1"/>
        <w:spacing w:after="140" w:before="360"/>
      </w:pPr>
      <w:r>
        <w:rPr>
          <w:b/>
          <w:bCs/>
          <w:color w:val="1F7A4D"/>
          <w:sz w:val="30"/>
          <w:szCs w:val="30"/>
        </w:rPr>
        <w:t xml:space="preserve">1. Ringkasan Eksekutif</w:t>
      </w:r>
    </w:p>
    <w:p>
      <w:pPr>
        <w:spacing w:after="120" w:line="276"/>
      </w:pPr>
      <w:r>
        <w:rPr>
          <w:sz w:val="22"/>
          <w:szCs w:val="22"/>
        </w:rPr>
        <w:t xml:space="preserve">SecureProfit Hub adalah aplikasi web full-stack untuk perusahaan konsultan keamanan TI. Aplikasi ini mengelola seluruh perjalanan sebuah project — mulai dari intake oleh tim Sales, perencanaan oleh Project Manager, eksekusi oleh tim konsultan, hingga penutupan dan penagihan — sambil memantau margin keuntungan secara real-time seiring konsultan mencatat hari kerja (manday) yang dapat ditagih.</w:t>
      </w:r>
    </w:p>
    <w:p>
      <w:pPr>
        <w:pStyle w:val="Heading3"/>
        <w:spacing w:after="70" w:before="160"/>
      </w:pPr>
      <w:r>
        <w:rPr>
          <w:b/>
          <w:bCs/>
          <w:color w:val="0F1B14"/>
          <w:sz w:val="23"/>
          <w:szCs w:val="23"/>
        </w:rPr>
        <w:t xml:space="preserve">Masalah yang dipecahkan</w:t>
      </w:r>
    </w:p>
    <w:p>
      <w:pPr>
        <w:pStyle w:val="ListParagraph"/>
        <w:numPr>
          <w:ilvl w:val="0"/>
          <w:numId w:val="1"/>
        </w:numPr>
        <w:spacing w:after="60" w:line="268"/>
      </w:pPr>
      <w:r>
        <w:rPr>
          <w:sz w:val="22"/>
          <w:szCs w:val="22"/>
        </w:rPr>
        <w:t xml:space="preserve">Visibilitas profitabilitas project yang lambat dan manual (biasanya baru ketahuan saat project selesai).</w:t>
      </w:r>
    </w:p>
    <w:p>
      <w:pPr>
        <w:pStyle w:val="ListParagraph"/>
        <w:numPr>
          <w:ilvl w:val="0"/>
          <w:numId w:val="1"/>
        </w:numPr>
        <w:spacing w:after="60" w:line="268"/>
      </w:pPr>
      <w:r>
        <w:rPr>
          <w:sz w:val="22"/>
          <w:szCs w:val="22"/>
        </w:rPr>
        <w:t xml:space="preserve">Pencatatan timesheet, biaya, dan penagihan yang tersebar di banyak spreadsheet.</w:t>
      </w:r>
    </w:p>
    <w:p>
      <w:pPr>
        <w:pStyle w:val="ListParagraph"/>
        <w:numPr>
          <w:ilvl w:val="0"/>
          <w:numId w:val="1"/>
        </w:numPr>
        <w:spacing w:after="60" w:line="268"/>
      </w:pPr>
      <w:r>
        <w:rPr>
          <w:sz w:val="22"/>
          <w:szCs w:val="22"/>
        </w:rPr>
        <w:t xml:space="preserve">Sulitnya perencanaan kapasitas sumber daya dan pemantauan utilisasi konsultan.</w:t>
      </w:r>
    </w:p>
    <w:p>
      <w:pPr>
        <w:pStyle w:val="ListParagraph"/>
        <w:numPr>
          <w:ilvl w:val="0"/>
          <w:numId w:val="1"/>
        </w:numPr>
        <w:spacing w:after="60" w:line="268"/>
      </w:pPr>
      <w:r>
        <w:rPr>
          <w:sz w:val="22"/>
          <w:szCs w:val="22"/>
        </w:rPr>
        <w:t xml:space="preserve">Proses penagihan (invoice) dan rekap PPN yang rawan kesalahan hitung.</w:t>
      </w:r>
    </w:p>
    <w:p>
      <w:pPr>
        <w:pStyle w:val="Heading3"/>
        <w:spacing w:after="70" w:before="160"/>
      </w:pPr>
      <w:r>
        <w:rPr>
          <w:b/>
          <w:bCs/>
          <w:color w:val="0F1B14"/>
          <w:sz w:val="23"/>
          <w:szCs w:val="23"/>
        </w:rPr>
        <w:t xml:space="preserve">Nilai utama</w:t>
      </w:r>
    </w:p>
    <w:p>
      <w:pPr>
        <w:pStyle w:val="ListParagraph"/>
        <w:numPr>
          <w:ilvl w:val="0"/>
          <w:numId w:val="1"/>
        </w:numPr>
        <w:spacing w:after="60" w:line="268"/>
      </w:pPr>
      <w:r>
        <w:rPr>
          <w:sz w:val="22"/>
          <w:szCs w:val="22"/>
        </w:rPr>
        <w:t xml:space="preserve">Margin &amp; biaya project terhitung otomatis dari timesheet dan biaya yang disetujui.</w:t>
      </w:r>
    </w:p>
    <w:p>
      <w:pPr>
        <w:pStyle w:val="ListParagraph"/>
        <w:numPr>
          <w:ilvl w:val="0"/>
          <w:numId w:val="1"/>
        </w:numPr>
        <w:spacing w:after="60" w:line="268"/>
      </w:pPr>
      <w:r>
        <w:rPr>
          <w:sz w:val="22"/>
          <w:szCs w:val="22"/>
        </w:rPr>
        <w:t xml:space="preserve">Satu sumber data untuk project, sumber daya, penagihan, dan laporan manajemen.</w:t>
      </w:r>
    </w:p>
    <w:p>
      <w:pPr>
        <w:pStyle w:val="ListParagraph"/>
        <w:numPr>
          <w:ilvl w:val="0"/>
          <w:numId w:val="1"/>
        </w:numPr>
        <w:spacing w:after="60" w:line="268"/>
      </w:pPr>
      <w:r>
        <w:rPr>
          <w:sz w:val="22"/>
          <w:szCs w:val="22"/>
        </w:rPr>
        <w:t xml:space="preserve">Kontrol akses berbasis peran sehingga setiap fungsi hanya melihat yang relevan.</w:t>
      </w:r>
    </w:p>
    <w:p>
      <w:pPr>
        <w:pStyle w:val="ListParagraph"/>
        <w:numPr>
          <w:ilvl w:val="0"/>
          <w:numId w:val="1"/>
        </w:numPr>
        <w:spacing w:after="60" w:line="268"/>
      </w:pPr>
      <w:r>
        <w:rPr>
          <w:sz w:val="22"/>
          <w:szCs w:val="22"/>
        </w:rPr>
        <w:t xml:space="preserve">Integrasi langsung ke Xero untuk penerbitan invoice dan sinkronisasi pembayaran.</w:t>
      </w:r>
    </w:p>
    <w:p>
      <w:pPr>
        <w:pStyle w:val="Heading1"/>
        <w:spacing w:after="140" w:before="360"/>
      </w:pPr>
      <w:r>
        <w:rPr>
          <w:b/>
          <w:bCs/>
          <w:color w:val="1F7A4D"/>
          <w:sz w:val="30"/>
          <w:szCs w:val="30"/>
        </w:rPr>
        <w:t xml:space="preserve">2. Teknologi &amp; Arsitektur</w:t>
      </w:r>
    </w:p>
    <w:p>
      <w:pPr>
        <w:spacing w:after="120" w:line="276"/>
      </w:pPr>
      <w:r>
        <w:rPr>
          <w:sz w:val="22"/>
          <w:szCs w:val="22"/>
        </w:rPr>
        <w:t xml:space="preserve">Aplikasi dibangun sebagai monorepo dengan pemisahan jelas antara antarmuka, server, dan basis data.</w:t>
      </w:r>
    </w:p>
    <w:tbl>
      <w:tblPr>
        <w:tblW w:type="pct" w:w="100%"/>
        <w:tblBorders>
          <w:top w:val="single" w:color="CCCCCC" w:sz="4"/>
          <w:left w:val="single" w:color="CCCCCC" w:sz="4"/>
          <w:bottom w:val="single" w:color="CCCCCC" w:sz="4"/>
          <w:right w:val="single" w:color="CCCCCC" w:sz="4"/>
          <w:insideH w:val="single" w:color="DDDDDD" w:sz="2"/>
          <w:insideV w:val="single" w:color="DDDDDD" w:sz="2"/>
        </w:tblBorders>
      </w:tblPr>
      <w:tblGrid>
        <w:gridCol w:w="100"/>
        <w:gridCol w:w="100"/>
        <w:gridCol w:w="100"/>
      </w:tblGrid>
      <w:tr>
        <w:trPr>
          <w:tblHeader/>
        </w:trPr>
        <w:tc>
          <w:tcPr>
            <w:tcW w:type="pct" w:w="22%"/>
            <w:shd w:fill="1F7A4D"/>
            <w:tcMar>
              <w:top w:type="dxa" w:w="60"/>
              <w:left w:type="dxa" w:w="90"/>
              <w:bottom w:type="dxa" w:w="60"/>
              <w:right w:type="dxa" w:w="90"/>
            </w:tcMar>
          </w:tcPr>
          <w:p>
            <w:r>
              <w:rPr>
                <w:b/>
                <w:bCs/>
                <w:color w:val="FFFFFF"/>
                <w:sz w:val="20"/>
                <w:szCs w:val="20"/>
              </w:rPr>
              <w:t xml:space="preserve">Lapisan</w:t>
            </w:r>
          </w:p>
        </w:tc>
        <w:tc>
          <w:tcPr>
            <w:tcW w:type="pct" w:w="40%"/>
            <w:shd w:fill="1F7A4D"/>
            <w:tcMar>
              <w:top w:type="dxa" w:w="60"/>
              <w:left w:type="dxa" w:w="90"/>
              <w:bottom w:type="dxa" w:w="60"/>
              <w:right w:type="dxa" w:w="90"/>
            </w:tcMar>
          </w:tcPr>
          <w:p>
            <w:r>
              <w:rPr>
                <w:b/>
                <w:bCs/>
                <w:color w:val="FFFFFF"/>
                <w:sz w:val="20"/>
                <w:szCs w:val="20"/>
              </w:rPr>
              <w:t xml:space="preserve">Teknologi</w:t>
            </w:r>
          </w:p>
        </w:tc>
        <w:tc>
          <w:tcPr>
            <w:tcW w:type="pct" w:w="38%"/>
            <w:shd w:fill="1F7A4D"/>
            <w:tcMar>
              <w:top w:type="dxa" w:w="60"/>
              <w:left w:type="dxa" w:w="90"/>
              <w:bottom w:type="dxa" w:w="60"/>
              <w:right w:type="dxa" w:w="90"/>
            </w:tcMar>
          </w:tcPr>
          <w:p>
            <w:r>
              <w:rPr>
                <w:b/>
                <w:bCs/>
                <w:color w:val="FFFFFF"/>
                <w:sz w:val="20"/>
                <w:szCs w:val="20"/>
              </w:rPr>
              <w:t xml:space="preserve">Fungsi</w:t>
            </w:r>
          </w:p>
        </w:tc>
      </w:tr>
      <w:tr>
        <w:tc>
          <w:tcPr>
            <w:tcW w:type="pct" w:w="22%"/>
            <w:tcMar>
              <w:top w:type="dxa" w:w="60"/>
              <w:left w:type="dxa" w:w="90"/>
              <w:bottom w:type="dxa" w:w="60"/>
              <w:right w:type="dxa" w:w="90"/>
            </w:tcMar>
          </w:tcPr>
          <w:p>
            <w:r>
              <w:rPr>
                <w:color w:val="0F1B14"/>
                <w:sz w:val="20"/>
                <w:szCs w:val="20"/>
              </w:rPr>
              <w:t xml:space="preserve">Antarmuka (Frontend)</w:t>
            </w:r>
          </w:p>
        </w:tc>
        <w:tc>
          <w:tcPr>
            <w:tcW w:type="pct" w:w="40%"/>
            <w:tcMar>
              <w:top w:type="dxa" w:w="60"/>
              <w:left w:type="dxa" w:w="90"/>
              <w:bottom w:type="dxa" w:w="60"/>
              <w:right w:type="dxa" w:w="90"/>
            </w:tcMar>
          </w:tcPr>
          <w:p>
            <w:r>
              <w:rPr>
                <w:color w:val="0F1B14"/>
                <w:sz w:val="20"/>
                <w:szCs w:val="20"/>
              </w:rPr>
              <w:t xml:space="preserve">React + Vite + TypeScript + Tailwind, grafik Recharts</w:t>
            </w:r>
          </w:p>
        </w:tc>
        <w:tc>
          <w:tcPr>
            <w:tcW w:type="pct" w:w="38%"/>
            <w:tcMar>
              <w:top w:type="dxa" w:w="60"/>
              <w:left w:type="dxa" w:w="90"/>
              <w:bottom w:type="dxa" w:w="60"/>
              <w:right w:type="dxa" w:w="90"/>
            </w:tcMar>
          </w:tcPr>
          <w:p>
            <w:r>
              <w:rPr>
                <w:color w:val="0F1B14"/>
                <w:sz w:val="20"/>
                <w:szCs w:val="20"/>
              </w:rPr>
              <w:t xml:space="preserve">Tampilan pengguna, dashboard, formulir, dan visualisasi</w:t>
            </w:r>
          </w:p>
        </w:tc>
      </w:tr>
      <w:tr>
        <w:tc>
          <w:tcPr>
            <w:tcW w:type="pct" w:w="22%"/>
            <w:shd w:fill="F1F6F2"/>
            <w:tcMar>
              <w:top w:type="dxa" w:w="60"/>
              <w:left w:type="dxa" w:w="90"/>
              <w:bottom w:type="dxa" w:w="60"/>
              <w:right w:type="dxa" w:w="90"/>
            </w:tcMar>
          </w:tcPr>
          <w:p>
            <w:r>
              <w:rPr>
                <w:color w:val="0F1B14"/>
                <w:sz w:val="20"/>
                <w:szCs w:val="20"/>
              </w:rPr>
              <w:t xml:space="preserve">Server (Backend)</w:t>
            </w:r>
          </w:p>
        </w:tc>
        <w:tc>
          <w:tcPr>
            <w:tcW w:type="pct" w:w="40%"/>
            <w:shd w:fill="F1F6F2"/>
            <w:tcMar>
              <w:top w:type="dxa" w:w="60"/>
              <w:left w:type="dxa" w:w="90"/>
              <w:bottom w:type="dxa" w:w="60"/>
              <w:right w:type="dxa" w:w="90"/>
            </w:tcMar>
          </w:tcPr>
          <w:p>
            <w:r>
              <w:rPr>
                <w:color w:val="0F1B14"/>
                <w:sz w:val="20"/>
                <w:szCs w:val="20"/>
              </w:rPr>
              <w:t xml:space="preserve">Node.js + Express, autentikasi JWT</w:t>
            </w:r>
          </w:p>
        </w:tc>
        <w:tc>
          <w:tcPr>
            <w:tcW w:type="pct" w:w="38%"/>
            <w:shd w:fill="F1F6F2"/>
            <w:tcMar>
              <w:top w:type="dxa" w:w="60"/>
              <w:left w:type="dxa" w:w="90"/>
              <w:bottom w:type="dxa" w:w="60"/>
              <w:right w:type="dxa" w:w="90"/>
            </w:tcMar>
          </w:tcPr>
          <w:p>
            <w:r>
              <w:rPr>
                <w:color w:val="0F1B14"/>
                <w:sz w:val="20"/>
                <w:szCs w:val="20"/>
              </w:rPr>
              <w:t xml:space="preserve">Logika bisnis, validasi, dan API</w:t>
            </w:r>
          </w:p>
        </w:tc>
      </w:tr>
      <w:tr>
        <w:tc>
          <w:tcPr>
            <w:tcW w:type="pct" w:w="22%"/>
            <w:tcMar>
              <w:top w:type="dxa" w:w="60"/>
              <w:left w:type="dxa" w:w="90"/>
              <w:bottom w:type="dxa" w:w="60"/>
              <w:right w:type="dxa" w:w="90"/>
            </w:tcMar>
          </w:tcPr>
          <w:p>
            <w:r>
              <w:rPr>
                <w:color w:val="0F1B14"/>
                <w:sz w:val="20"/>
                <w:szCs w:val="20"/>
              </w:rPr>
              <w:t xml:space="preserve">Basis Data</w:t>
            </w:r>
          </w:p>
        </w:tc>
        <w:tc>
          <w:tcPr>
            <w:tcW w:type="pct" w:w="40%"/>
            <w:tcMar>
              <w:top w:type="dxa" w:w="60"/>
              <w:left w:type="dxa" w:w="90"/>
              <w:bottom w:type="dxa" w:w="60"/>
              <w:right w:type="dxa" w:w="90"/>
            </w:tcMar>
          </w:tcPr>
          <w:p>
            <w:r>
              <w:rPr>
                <w:color w:val="0F1B14"/>
                <w:sz w:val="20"/>
                <w:szCs w:val="20"/>
              </w:rPr>
              <w:t xml:space="preserve">PostgreSQL (via Prisma)</w:t>
            </w:r>
          </w:p>
        </w:tc>
        <w:tc>
          <w:tcPr>
            <w:tcW w:type="pct" w:w="38%"/>
            <w:tcMar>
              <w:top w:type="dxa" w:w="60"/>
              <w:left w:type="dxa" w:w="90"/>
              <w:bottom w:type="dxa" w:w="60"/>
              <w:right w:type="dxa" w:w="90"/>
            </w:tcMar>
          </w:tcPr>
          <w:p>
            <w:r>
              <w:rPr>
                <w:color w:val="0F1B14"/>
                <w:sz w:val="20"/>
                <w:szCs w:val="20"/>
              </w:rPr>
              <w:t xml:space="preserve">Penyimpanan data project, pengguna, timesheet, penagihan</w:t>
            </w:r>
          </w:p>
        </w:tc>
      </w:tr>
      <w:tr>
        <w:tc>
          <w:tcPr>
            <w:tcW w:type="pct" w:w="22%"/>
            <w:shd w:fill="F1F6F2"/>
            <w:tcMar>
              <w:top w:type="dxa" w:w="60"/>
              <w:left w:type="dxa" w:w="90"/>
              <w:bottom w:type="dxa" w:w="60"/>
              <w:right w:type="dxa" w:w="90"/>
            </w:tcMar>
          </w:tcPr>
          <w:p>
            <w:r>
              <w:rPr>
                <w:color w:val="0F1B14"/>
                <w:sz w:val="20"/>
                <w:szCs w:val="20"/>
              </w:rPr>
              <w:t xml:space="preserve">Kontrak API</w:t>
            </w:r>
          </w:p>
        </w:tc>
        <w:tc>
          <w:tcPr>
            <w:tcW w:type="pct" w:w="40%"/>
            <w:shd w:fill="F1F6F2"/>
            <w:tcMar>
              <w:top w:type="dxa" w:w="60"/>
              <w:left w:type="dxa" w:w="90"/>
              <w:bottom w:type="dxa" w:w="60"/>
              <w:right w:type="dxa" w:w="90"/>
            </w:tcMar>
          </w:tcPr>
          <w:p>
            <w:r>
              <w:rPr>
                <w:color w:val="0F1B14"/>
                <w:sz w:val="20"/>
                <w:szCs w:val="20"/>
              </w:rPr>
              <w:t xml:space="preserve">OpenAPI 3 + validasi skema</w:t>
            </w:r>
          </w:p>
        </w:tc>
        <w:tc>
          <w:tcPr>
            <w:tcW w:type="pct" w:w="38%"/>
            <w:shd w:fill="F1F6F2"/>
            <w:tcMar>
              <w:top w:type="dxa" w:w="60"/>
              <w:left w:type="dxa" w:w="90"/>
              <w:bottom w:type="dxa" w:w="60"/>
              <w:right w:type="dxa" w:w="90"/>
            </w:tcMar>
          </w:tcPr>
          <w:p>
            <w:r>
              <w:rPr>
                <w:color w:val="0F1B14"/>
                <w:sz w:val="20"/>
                <w:szCs w:val="20"/>
              </w:rPr>
              <w:t xml:space="preserve">Menjaga konsistensi data antara server dan antarmuka</w:t>
            </w:r>
          </w:p>
        </w:tc>
      </w:tr>
      <w:tr>
        <w:tc>
          <w:tcPr>
            <w:tcW w:type="pct" w:w="22%"/>
            <w:tcMar>
              <w:top w:type="dxa" w:w="60"/>
              <w:left w:type="dxa" w:w="90"/>
              <w:bottom w:type="dxa" w:w="60"/>
              <w:right w:type="dxa" w:w="90"/>
            </w:tcMar>
          </w:tcPr>
          <w:p>
            <w:r>
              <w:rPr>
                <w:color w:val="0F1B14"/>
                <w:sz w:val="20"/>
                <w:szCs w:val="20"/>
              </w:rPr>
              <w:t xml:space="preserve">Integrasi</w:t>
            </w:r>
          </w:p>
        </w:tc>
        <w:tc>
          <w:tcPr>
            <w:tcW w:type="pct" w:w="40%"/>
            <w:tcMar>
              <w:top w:type="dxa" w:w="60"/>
              <w:left w:type="dxa" w:w="90"/>
              <w:bottom w:type="dxa" w:w="60"/>
              <w:right w:type="dxa" w:w="90"/>
            </w:tcMar>
          </w:tcPr>
          <w:p>
            <w:r>
              <w:rPr>
                <w:color w:val="0F1B14"/>
                <w:sz w:val="20"/>
                <w:szCs w:val="20"/>
              </w:rPr>
              <w:t xml:space="preserve">Xero Accounting API (OAuth2)</w:t>
            </w:r>
          </w:p>
        </w:tc>
        <w:tc>
          <w:tcPr>
            <w:tcW w:type="pct" w:w="38%"/>
            <w:tcMar>
              <w:top w:type="dxa" w:w="60"/>
              <w:left w:type="dxa" w:w="90"/>
              <w:bottom w:type="dxa" w:w="60"/>
              <w:right w:type="dxa" w:w="90"/>
            </w:tcMar>
          </w:tcPr>
          <w:p>
            <w:r>
              <w:rPr>
                <w:color w:val="0F1B14"/>
                <w:sz w:val="20"/>
                <w:szCs w:val="20"/>
              </w:rPr>
              <w:t xml:space="preserve">Penerbitan invoice &amp; sinkronisasi pembayaran</w:t>
            </w:r>
          </w:p>
        </w:tc>
      </w:tr>
    </w:tbl>
    <w:p>
      <w:pPr>
        <w:pStyle w:val="Heading1"/>
        <w:spacing w:after="140" w:before="360"/>
      </w:pPr>
      <w:r>
        <w:rPr>
          <w:b/>
          <w:bCs/>
          <w:color w:val="1F7A4D"/>
          <w:sz w:val="30"/>
          <w:szCs w:val="30"/>
        </w:rPr>
        <w:t xml:space="preserve">3. Peran Pengguna &amp; Hak Akses</w:t>
      </w:r>
    </w:p>
    <w:p>
      <w:pPr>
        <w:spacing w:after="120" w:line="276"/>
      </w:pPr>
      <w:r>
        <w:rPr>
          <w:sz w:val="22"/>
          <w:szCs w:val="22"/>
        </w:rPr>
        <w:t xml:space="preserve">Setiap pengguna memiliki peran yang menentukan modul dan data yang dapat diakses. Ringkasan peran utama:</w:t>
      </w:r>
    </w:p>
    <w:tbl>
      <w:tblPr>
        <w:tblW w:type="pct" w:w="100%"/>
        <w:tblBorders>
          <w:top w:val="single" w:color="CCCCCC" w:sz="4"/>
          <w:left w:val="single" w:color="CCCCCC" w:sz="4"/>
          <w:bottom w:val="single" w:color="CCCCCC" w:sz="4"/>
          <w:right w:val="single" w:color="CCCCCC" w:sz="4"/>
          <w:insideH w:val="single" w:color="DDDDDD" w:sz="2"/>
          <w:insideV w:val="single" w:color="DDDDDD" w:sz="2"/>
        </w:tblBorders>
      </w:tblPr>
      <w:tblGrid>
        <w:gridCol w:w="100"/>
        <w:gridCol w:w="100"/>
      </w:tblGrid>
      <w:tr>
        <w:trPr>
          <w:tblHeader/>
        </w:trPr>
        <w:tc>
          <w:tcPr>
            <w:tcW w:type="pct" w:w="32%"/>
            <w:shd w:fill="1F7A4D"/>
            <w:tcMar>
              <w:top w:type="dxa" w:w="60"/>
              <w:left w:type="dxa" w:w="90"/>
              <w:bottom w:type="dxa" w:w="60"/>
              <w:right w:type="dxa" w:w="90"/>
            </w:tcMar>
          </w:tcPr>
          <w:p>
            <w:r>
              <w:rPr>
                <w:b/>
                <w:bCs/>
                <w:color w:val="FFFFFF"/>
                <w:sz w:val="20"/>
                <w:szCs w:val="20"/>
              </w:rPr>
              <w:t xml:space="preserve">Peran</w:t>
            </w:r>
          </w:p>
        </w:tc>
        <w:tc>
          <w:tcPr>
            <w:tcW w:type="pct" w:w="68%"/>
            <w:shd w:fill="1F7A4D"/>
            <w:tcMar>
              <w:top w:type="dxa" w:w="60"/>
              <w:left w:type="dxa" w:w="90"/>
              <w:bottom w:type="dxa" w:w="60"/>
              <w:right w:type="dxa" w:w="90"/>
            </w:tcMar>
          </w:tcPr>
          <w:p>
            <w:r>
              <w:rPr>
                <w:b/>
                <w:bCs/>
                <w:color w:val="FFFFFF"/>
                <w:sz w:val="20"/>
                <w:szCs w:val="20"/>
              </w:rPr>
              <w:t xml:space="preserve">Tanggung jawab utama</w:t>
            </w:r>
          </w:p>
        </w:tc>
      </w:tr>
      <w:tr>
        <w:tc>
          <w:tcPr>
            <w:tcW w:type="pct" w:w="32%"/>
            <w:tcMar>
              <w:top w:type="dxa" w:w="60"/>
              <w:left w:type="dxa" w:w="90"/>
              <w:bottom w:type="dxa" w:w="60"/>
              <w:right w:type="dxa" w:w="90"/>
            </w:tcMar>
          </w:tcPr>
          <w:p>
            <w:r>
              <w:rPr>
                <w:color w:val="0F1B14"/>
                <w:sz w:val="20"/>
                <w:szCs w:val="20"/>
              </w:rPr>
              <w:t xml:space="preserve">Management (PMO Director)</w:t>
            </w:r>
          </w:p>
        </w:tc>
        <w:tc>
          <w:tcPr>
            <w:tcW w:type="pct" w:w="68%"/>
            <w:tcMar>
              <w:top w:type="dxa" w:w="60"/>
              <w:left w:type="dxa" w:w="90"/>
              <w:bottom w:type="dxa" w:w="60"/>
              <w:right w:type="dxa" w:w="90"/>
            </w:tcMar>
          </w:tcPr>
          <w:p>
            <w:r>
              <w:rPr>
                <w:color w:val="0F1B14"/>
                <w:sz w:val="20"/>
                <w:szCs w:val="20"/>
              </w:rPr>
              <w:t xml:space="preserve">Akses penuh: seluruh project, persetujuan, dan semua angka finansial.</w:t>
            </w:r>
          </w:p>
        </w:tc>
      </w:tr>
      <w:tr>
        <w:tc>
          <w:tcPr>
            <w:tcW w:type="pct" w:w="32%"/>
            <w:shd w:fill="F1F6F2"/>
            <w:tcMar>
              <w:top w:type="dxa" w:w="60"/>
              <w:left w:type="dxa" w:w="90"/>
              <w:bottom w:type="dxa" w:w="60"/>
              <w:right w:type="dxa" w:w="90"/>
            </w:tcMar>
          </w:tcPr>
          <w:p>
            <w:r>
              <w:rPr>
                <w:color w:val="0F1B14"/>
                <w:sz w:val="20"/>
                <w:szCs w:val="20"/>
              </w:rPr>
              <w:t xml:space="preserve">Project Manager (PM)</w:t>
            </w:r>
          </w:p>
        </w:tc>
        <w:tc>
          <w:tcPr>
            <w:tcW w:type="pct" w:w="68%"/>
            <w:shd w:fill="F1F6F2"/>
            <w:tcMar>
              <w:top w:type="dxa" w:w="60"/>
              <w:left w:type="dxa" w:w="90"/>
              <w:bottom w:type="dxa" w:w="60"/>
              <w:right w:type="dxa" w:w="90"/>
            </w:tcMar>
          </w:tcPr>
          <w:p>
            <w:r>
              <w:rPr>
                <w:color w:val="0F1B14"/>
                <w:sz w:val="20"/>
                <w:szCs w:val="20"/>
              </w:rPr>
              <w:t xml:space="preserve">Mengelola project sendiri, sumber daya, dan menyetujui timesheet timnya.</w:t>
            </w:r>
          </w:p>
        </w:tc>
      </w:tr>
      <w:tr>
        <w:tc>
          <w:tcPr>
            <w:tcW w:type="pct" w:w="32%"/>
            <w:tcMar>
              <w:top w:type="dxa" w:w="60"/>
              <w:left w:type="dxa" w:w="90"/>
              <w:bottom w:type="dxa" w:w="60"/>
              <w:right w:type="dxa" w:w="90"/>
            </w:tcMar>
          </w:tcPr>
          <w:p>
            <w:r>
              <w:rPr>
                <w:color w:val="0F1B14"/>
                <w:sz w:val="20"/>
                <w:szCs w:val="20"/>
              </w:rPr>
              <w:t xml:space="preserve">Sales</w:t>
            </w:r>
          </w:p>
        </w:tc>
        <w:tc>
          <w:tcPr>
            <w:tcW w:type="pct" w:w="68%"/>
            <w:tcMar>
              <w:top w:type="dxa" w:w="60"/>
              <w:left w:type="dxa" w:w="90"/>
              <w:bottom w:type="dxa" w:w="60"/>
              <w:right w:type="dxa" w:w="90"/>
            </w:tcMar>
          </w:tcPr>
          <w:p>
            <w:r>
              <w:rPr>
                <w:color w:val="0F1B14"/>
                <w:sz w:val="20"/>
                <w:szCs w:val="20"/>
              </w:rPr>
              <w:t xml:space="preserve">Membuat klien &amp; project (intake), mengelola data komersial project sendiri.</w:t>
            </w:r>
          </w:p>
        </w:tc>
      </w:tr>
      <w:tr>
        <w:tc>
          <w:tcPr>
            <w:tcW w:type="pct" w:w="32%"/>
            <w:shd w:fill="F1F6F2"/>
            <w:tcMar>
              <w:top w:type="dxa" w:w="60"/>
              <w:left w:type="dxa" w:w="90"/>
              <w:bottom w:type="dxa" w:w="60"/>
              <w:right w:type="dxa" w:w="90"/>
            </w:tcMar>
          </w:tcPr>
          <w:p>
            <w:r>
              <w:rPr>
                <w:color w:val="0F1B14"/>
                <w:sz w:val="20"/>
                <w:szCs w:val="20"/>
              </w:rPr>
              <w:t xml:space="preserve">Konsultan</w:t>
            </w:r>
          </w:p>
        </w:tc>
        <w:tc>
          <w:tcPr>
            <w:tcW w:type="pct" w:w="68%"/>
            <w:shd w:fill="F1F6F2"/>
            <w:tcMar>
              <w:top w:type="dxa" w:w="60"/>
              <w:left w:type="dxa" w:w="90"/>
              <w:bottom w:type="dxa" w:w="60"/>
              <w:right w:type="dxa" w:w="90"/>
            </w:tcMar>
          </w:tcPr>
          <w:p>
            <w:r>
              <w:rPr>
                <w:color w:val="0F1B14"/>
                <w:sz w:val="20"/>
                <w:szCs w:val="20"/>
              </w:rPr>
              <w:t xml:space="preserve">Mencatat timesheet sendiri dan memperbarui status tugas.</w:t>
            </w:r>
          </w:p>
        </w:tc>
      </w:tr>
      <w:tr>
        <w:tc>
          <w:tcPr>
            <w:tcW w:type="pct" w:w="32%"/>
            <w:tcMar>
              <w:top w:type="dxa" w:w="60"/>
              <w:left w:type="dxa" w:w="90"/>
              <w:bottom w:type="dxa" w:w="60"/>
              <w:right w:type="dxa" w:w="90"/>
            </w:tcMar>
          </w:tcPr>
          <w:p>
            <w:r>
              <w:rPr>
                <w:color w:val="0F1B14"/>
                <w:sz w:val="20"/>
                <w:szCs w:val="20"/>
              </w:rPr>
              <w:t xml:space="preserve">Technical Writer</w:t>
            </w:r>
          </w:p>
        </w:tc>
        <w:tc>
          <w:tcPr>
            <w:tcW w:type="pct" w:w="68%"/>
            <w:tcMar>
              <w:top w:type="dxa" w:w="60"/>
              <w:left w:type="dxa" w:w="90"/>
              <w:bottom w:type="dxa" w:w="60"/>
              <w:right w:type="dxa" w:w="90"/>
            </w:tcMar>
          </w:tcPr>
          <w:p>
            <w:r>
              <w:rPr>
                <w:color w:val="0F1B14"/>
                <w:sz w:val="20"/>
                <w:szCs w:val="20"/>
              </w:rPr>
              <w:t xml:space="preserve">Sama seperti konsultan untuk pekerjaan penulisan/laporan.</w:t>
            </w:r>
          </w:p>
        </w:tc>
      </w:tr>
      <w:tr>
        <w:tc>
          <w:tcPr>
            <w:tcW w:type="pct" w:w="32%"/>
            <w:shd w:fill="F1F6F2"/>
            <w:tcMar>
              <w:top w:type="dxa" w:w="60"/>
              <w:left w:type="dxa" w:w="90"/>
              <w:bottom w:type="dxa" w:w="60"/>
              <w:right w:type="dxa" w:w="90"/>
            </w:tcMar>
          </w:tcPr>
          <w:p>
            <w:r>
              <w:rPr>
                <w:color w:val="0F1B14"/>
                <w:sz w:val="20"/>
                <w:szCs w:val="20"/>
              </w:rPr>
              <w:t xml:space="preserve">Admin Project</w:t>
            </w:r>
          </w:p>
        </w:tc>
        <w:tc>
          <w:tcPr>
            <w:tcW w:type="pct" w:w="68%"/>
            <w:shd w:fill="F1F6F2"/>
            <w:tcMar>
              <w:top w:type="dxa" w:w="60"/>
              <w:left w:type="dxa" w:w="90"/>
              <w:bottom w:type="dxa" w:w="60"/>
              <w:right w:type="dxa" w:w="90"/>
            </w:tcMar>
          </w:tcPr>
          <w:p>
            <w:r>
              <w:rPr>
                <w:color w:val="0F1B14"/>
                <w:sz w:val="20"/>
                <w:szCs w:val="20"/>
              </w:rPr>
              <w:t xml:space="preserve">Mengelola dokumen penutupan (BAST/Invoice/Kontrak).</w:t>
            </w:r>
          </w:p>
        </w:tc>
      </w:tr>
      <w:tr>
        <w:tc>
          <w:tcPr>
            <w:tcW w:type="pct" w:w="32%"/>
            <w:tcMar>
              <w:top w:type="dxa" w:w="60"/>
              <w:left w:type="dxa" w:w="90"/>
              <w:bottom w:type="dxa" w:w="60"/>
              <w:right w:type="dxa" w:w="90"/>
            </w:tcMar>
          </w:tcPr>
          <w:p>
            <w:r>
              <w:rPr>
                <w:color w:val="0F1B14"/>
                <w:sz w:val="20"/>
                <w:szCs w:val="20"/>
              </w:rPr>
              <w:t xml:space="preserve">Principal (3 jenis)</w:t>
            </w:r>
          </w:p>
        </w:tc>
        <w:tc>
          <w:tcPr>
            <w:tcW w:type="pct" w:w="68%"/>
            <w:tcMar>
              <w:top w:type="dxa" w:w="60"/>
              <w:left w:type="dxa" w:w="90"/>
              <w:bottom w:type="dxa" w:w="60"/>
              <w:right w:type="dxa" w:w="90"/>
            </w:tcMar>
          </w:tcPr>
          <w:p>
            <w:r>
              <w:rPr>
                <w:color w:val="0F1B14"/>
                <w:sz w:val="20"/>
                <w:szCs w:val="20"/>
              </w:rPr>
              <w:t xml:space="preserve">Mengawasi tim delivery (Konsultan/TW/Admin) — TANPA akses angka finansial.</w:t>
            </w:r>
          </w:p>
        </w:tc>
      </w:tr>
      <w:tr>
        <w:tc>
          <w:tcPr>
            <w:tcW w:type="pct" w:w="32%"/>
            <w:shd w:fill="F1F6F2"/>
            <w:tcMar>
              <w:top w:type="dxa" w:w="60"/>
              <w:left w:type="dxa" w:w="90"/>
              <w:bottom w:type="dxa" w:w="60"/>
              <w:right w:type="dxa" w:w="90"/>
            </w:tcMar>
          </w:tcPr>
          <w:p>
            <w:r>
              <w:rPr>
                <w:color w:val="0F1B14"/>
                <w:sz w:val="20"/>
                <w:szCs w:val="20"/>
              </w:rPr>
              <w:t xml:space="preserve">Finance</w:t>
            </w:r>
          </w:p>
        </w:tc>
        <w:tc>
          <w:tcPr>
            <w:tcW w:type="pct" w:w="68%"/>
            <w:shd w:fill="F1F6F2"/>
            <w:tcMar>
              <w:top w:type="dxa" w:w="60"/>
              <w:left w:type="dxa" w:w="90"/>
              <w:bottom w:type="dxa" w:w="60"/>
              <w:right w:type="dxa" w:w="90"/>
            </w:tcMar>
          </w:tcPr>
          <w:p>
            <w:r>
              <w:rPr>
                <w:color w:val="0F1B14"/>
                <w:sz w:val="20"/>
                <w:szCs w:val="20"/>
              </w:rPr>
              <w:t xml:space="preserve">Akses baca seluruh project/laporan + rekap PPN; unggah dokumen invoice/kontrak.</w:t>
            </w:r>
          </w:p>
        </w:tc>
      </w:tr>
      <w:tr>
        <w:tc>
          <w:tcPr>
            <w:tcW w:type="pct" w:w="32%"/>
            <w:tcMar>
              <w:top w:type="dxa" w:w="60"/>
              <w:left w:type="dxa" w:w="90"/>
              <w:bottom w:type="dxa" w:w="60"/>
              <w:right w:type="dxa" w:w="90"/>
            </w:tcMar>
          </w:tcPr>
          <w:p>
            <w:r>
              <w:rPr>
                <w:color w:val="0F1B14"/>
                <w:sz w:val="20"/>
                <w:szCs w:val="20"/>
              </w:rPr>
              <w:t xml:space="preserve">HR</w:t>
            </w:r>
          </w:p>
        </w:tc>
        <w:tc>
          <w:tcPr>
            <w:tcW w:type="pct" w:w="68%"/>
            <w:tcMar>
              <w:top w:type="dxa" w:w="60"/>
              <w:left w:type="dxa" w:w="90"/>
              <w:bottom w:type="dxa" w:w="60"/>
              <w:right w:type="dxa" w:w="90"/>
            </w:tcMar>
          </w:tcPr>
          <w:p>
            <w:r>
              <w:rPr>
                <w:color w:val="0F1B14"/>
                <w:sz w:val="20"/>
                <w:szCs w:val="20"/>
              </w:rPr>
              <w:t xml:space="preserve">Operasi SDM: karyawan, cuti, matriks keahlian, bench — tanpa akses finansial.</w:t>
            </w:r>
          </w:p>
        </w:tc>
      </w:tr>
      <w:tr>
        <w:tc>
          <w:tcPr>
            <w:tcW w:type="pct" w:w="32%"/>
            <w:shd w:fill="F1F6F2"/>
            <w:tcMar>
              <w:top w:type="dxa" w:w="60"/>
              <w:left w:type="dxa" w:w="90"/>
              <w:bottom w:type="dxa" w:w="60"/>
              <w:right w:type="dxa" w:w="90"/>
            </w:tcMar>
          </w:tcPr>
          <w:p>
            <w:r>
              <w:rPr>
                <w:color w:val="0F1B14"/>
                <w:sz w:val="20"/>
                <w:szCs w:val="20"/>
              </w:rPr>
              <w:t xml:space="preserve">Site Admin</w:t>
            </w:r>
          </w:p>
        </w:tc>
        <w:tc>
          <w:tcPr>
            <w:tcW w:type="pct" w:w="68%"/>
            <w:shd w:fill="F1F6F2"/>
            <w:tcMar>
              <w:top w:type="dxa" w:w="60"/>
              <w:left w:type="dxa" w:w="90"/>
              <w:bottom w:type="dxa" w:w="60"/>
              <w:right w:type="dxa" w:w="90"/>
            </w:tcMar>
          </w:tcPr>
          <w:p>
            <w:r>
              <w:rPr>
                <w:color w:val="0F1B14"/>
                <w:sz w:val="20"/>
                <w:szCs w:val="20"/>
              </w:rPr>
              <w:t xml:space="preserve">Administrasi pengguna dan log audit sistem.</w:t>
            </w:r>
          </w:p>
        </w:tc>
      </w:tr>
    </w:tbl>
    <w:p>
      <w:pPr>
        <w:spacing w:after="120" w:line="276"/>
      </w:pPr>
      <w:r>
        <w:rPr>
          <w:b/>
          <w:bCs/>
          <w:sz w:val="22"/>
          <w:szCs w:val="22"/>
        </w:rPr>
        <w:t xml:space="preserve">Catatan penting: </w:t>
      </w:r>
      <w:r>
        <w:rPr>
          <w:b w:val="false"/>
          <w:bCs w:val="false"/>
          <w:sz w:val="22"/>
          <w:szCs w:val="22"/>
        </w:rPr>
        <w:t xml:space="preserve">peran Principal dan peran delivery (Konsultan/TW) serta HR tidak pernah melihat nilai kontrak, biaya, maupun margin. Tab Financials dan Billing otomatis disembunyikan untuk mereka.</w:t>
      </w:r>
    </w:p>
    <w:p>
      <w:pPr>
        <w:pStyle w:val="Heading1"/>
        <w:spacing w:after="140" w:before="360"/>
      </w:pPr>
      <w:r>
        <w:rPr>
          <w:b/>
          <w:bCs/>
          <w:color w:val="1F7A4D"/>
          <w:sz w:val="30"/>
          <w:szCs w:val="30"/>
        </w:rPr>
        <w:t xml:space="preserve">4. Siklus Hidup Project</w:t>
      </w:r>
    </w:p>
    <w:p>
      <w:pPr>
        <w:spacing w:after="120" w:line="276"/>
      </w:pPr>
      <w:r>
        <w:rPr>
          <w:sz w:val="22"/>
          <w:szCs w:val="22"/>
        </w:rPr>
        <w:t xml:space="preserve">Sebuah project bergerak melalui status berikut:</w:t>
      </w:r>
    </w:p>
    <w:p>
      <w:pPr>
        <w:pBdr>
          <w:left w:val="single" w:color="1F7A4D" w:sz="18" w:space="8"/>
        </w:pBdr>
        <w:shd w:fill="F1F6F2"/>
        <w:spacing w:after="120" w:before="60"/>
      </w:pPr>
      <w:r>
        <w:rPr>
          <w:rFonts w:ascii="Consolas" w:cs="Consolas" w:eastAsia="Consolas" w:hAnsi="Consolas"/>
          <w:color w:val="0F1B14"/>
          <w:sz w:val="21"/>
          <w:szCs w:val="21"/>
        </w:rPr>
        <w:t xml:space="preserve">DRAFT  →  OBSERVATION  →  ACTIVE  →  PAUSE / COMPLETE  →  CLOSED</w:t>
      </w:r>
    </w:p>
    <w:tbl>
      <w:tblPr>
        <w:tblW w:type="pct" w:w="100%"/>
        <w:tblBorders>
          <w:top w:val="single" w:color="CCCCCC" w:sz="4"/>
          <w:left w:val="single" w:color="CCCCCC" w:sz="4"/>
          <w:bottom w:val="single" w:color="CCCCCC" w:sz="4"/>
          <w:right w:val="single" w:color="CCCCCC" w:sz="4"/>
          <w:insideH w:val="single" w:color="DDDDDD" w:sz="2"/>
          <w:insideV w:val="single" w:color="DDDDDD" w:sz="2"/>
        </w:tblBorders>
      </w:tblPr>
      <w:tblGrid>
        <w:gridCol w:w="100"/>
        <w:gridCol w:w="100"/>
        <w:gridCol w:w="100"/>
      </w:tblGrid>
      <w:tr>
        <w:trPr>
          <w:tblHeader/>
        </w:trPr>
        <w:tc>
          <w:tcPr>
            <w:tcW w:type="pct" w:w="20%"/>
            <w:shd w:fill="1F7A4D"/>
            <w:tcMar>
              <w:top w:type="dxa" w:w="60"/>
              <w:left w:type="dxa" w:w="90"/>
              <w:bottom w:type="dxa" w:w="60"/>
              <w:right w:type="dxa" w:w="90"/>
            </w:tcMar>
          </w:tcPr>
          <w:p>
            <w:r>
              <w:rPr>
                <w:b/>
                <w:bCs/>
                <w:color w:val="FFFFFF"/>
                <w:sz w:val="20"/>
                <w:szCs w:val="20"/>
              </w:rPr>
              <w:t xml:space="preserve">Status</w:t>
            </w:r>
          </w:p>
        </w:tc>
        <w:tc>
          <w:tcPr>
            <w:tcW w:type="pct" w:w="52%"/>
            <w:shd w:fill="1F7A4D"/>
            <w:tcMar>
              <w:top w:type="dxa" w:w="60"/>
              <w:left w:type="dxa" w:w="90"/>
              <w:bottom w:type="dxa" w:w="60"/>
              <w:right w:type="dxa" w:w="90"/>
            </w:tcMar>
          </w:tcPr>
          <w:p>
            <w:r>
              <w:rPr>
                <w:b/>
                <w:bCs/>
                <w:color w:val="FFFFFF"/>
                <w:sz w:val="20"/>
                <w:szCs w:val="20"/>
              </w:rPr>
              <w:t xml:space="preserve">Arti</w:t>
            </w:r>
          </w:p>
        </w:tc>
        <w:tc>
          <w:tcPr>
            <w:tcW w:type="pct" w:w="28%"/>
            <w:shd w:fill="1F7A4D"/>
            <w:tcMar>
              <w:top w:type="dxa" w:w="60"/>
              <w:left w:type="dxa" w:w="90"/>
              <w:bottom w:type="dxa" w:w="60"/>
              <w:right w:type="dxa" w:w="90"/>
            </w:tcMar>
          </w:tcPr>
          <w:p>
            <w:r>
              <w:rPr>
                <w:b/>
                <w:bCs/>
                <w:color w:val="FFFFFF"/>
                <w:sz w:val="20"/>
                <w:szCs w:val="20"/>
              </w:rPr>
              <w:t xml:space="preserve">Siapa yang bertindak</w:t>
            </w:r>
          </w:p>
        </w:tc>
      </w:tr>
      <w:tr>
        <w:tc>
          <w:tcPr>
            <w:tcW w:type="pct" w:w="20%"/>
            <w:tcMar>
              <w:top w:type="dxa" w:w="60"/>
              <w:left w:type="dxa" w:w="90"/>
              <w:bottom w:type="dxa" w:w="60"/>
              <w:right w:type="dxa" w:w="90"/>
            </w:tcMar>
          </w:tcPr>
          <w:p>
            <w:r>
              <w:rPr>
                <w:color w:val="0F1B14"/>
                <w:sz w:val="20"/>
                <w:szCs w:val="20"/>
              </w:rPr>
              <w:t xml:space="preserve">DRAFT</w:t>
            </w:r>
          </w:p>
        </w:tc>
        <w:tc>
          <w:tcPr>
            <w:tcW w:type="pct" w:w="52%"/>
            <w:tcMar>
              <w:top w:type="dxa" w:w="60"/>
              <w:left w:type="dxa" w:w="90"/>
              <w:bottom w:type="dxa" w:w="60"/>
              <w:right w:type="dxa" w:w="90"/>
            </w:tcMar>
          </w:tcPr>
          <w:p>
            <w:r>
              <w:rPr>
                <w:color w:val="0F1B14"/>
                <w:sz w:val="20"/>
                <w:szCs w:val="20"/>
              </w:rPr>
              <w:t xml:space="preserve">Intake awal oleh Sales (4 kolom dasar).</w:t>
            </w:r>
          </w:p>
        </w:tc>
        <w:tc>
          <w:tcPr>
            <w:tcW w:type="pct" w:w="28%"/>
            <w:tcMar>
              <w:top w:type="dxa" w:w="60"/>
              <w:left w:type="dxa" w:w="90"/>
              <w:bottom w:type="dxa" w:w="60"/>
              <w:right w:type="dxa" w:w="90"/>
            </w:tcMar>
          </w:tcPr>
          <w:p>
            <w:r>
              <w:rPr>
                <w:color w:val="0F1B14"/>
                <w:sz w:val="20"/>
                <w:szCs w:val="20"/>
              </w:rPr>
              <w:t xml:space="preserve">Sales</w:t>
            </w:r>
          </w:p>
        </w:tc>
      </w:tr>
      <w:tr>
        <w:tc>
          <w:tcPr>
            <w:tcW w:type="pct" w:w="20%"/>
            <w:shd w:fill="F1F6F2"/>
            <w:tcMar>
              <w:top w:type="dxa" w:w="60"/>
              <w:left w:type="dxa" w:w="90"/>
              <w:bottom w:type="dxa" w:w="60"/>
              <w:right w:type="dxa" w:w="90"/>
            </w:tcMar>
          </w:tcPr>
          <w:p>
            <w:r>
              <w:rPr>
                <w:color w:val="0F1B14"/>
                <w:sz w:val="20"/>
                <w:szCs w:val="20"/>
              </w:rPr>
              <w:t xml:space="preserve">OBSERVATION</w:t>
            </w:r>
          </w:p>
        </w:tc>
        <w:tc>
          <w:tcPr>
            <w:tcW w:type="pct" w:w="52%"/>
            <w:shd w:fill="F1F6F2"/>
            <w:tcMar>
              <w:top w:type="dxa" w:w="60"/>
              <w:left w:type="dxa" w:w="90"/>
              <w:bottom w:type="dxa" w:w="60"/>
              <w:right w:type="dxa" w:w="90"/>
            </w:tcMar>
          </w:tcPr>
          <w:p>
            <w:r>
              <w:rPr>
                <w:color w:val="0F1B14"/>
                <w:sz w:val="20"/>
                <w:szCs w:val="20"/>
              </w:rPr>
              <w:t xml:space="preserve">PM melengkapi deskripsi, tanggal, revenue, manday &amp; biaya.</w:t>
            </w:r>
          </w:p>
        </w:tc>
        <w:tc>
          <w:tcPr>
            <w:tcW w:type="pct" w:w="28%"/>
            <w:shd w:fill="F1F6F2"/>
            <w:tcMar>
              <w:top w:type="dxa" w:w="60"/>
              <w:left w:type="dxa" w:w="90"/>
              <w:bottom w:type="dxa" w:w="60"/>
              <w:right w:type="dxa" w:w="90"/>
            </w:tcMar>
          </w:tcPr>
          <w:p>
            <w:r>
              <w:rPr>
                <w:color w:val="0F1B14"/>
                <w:sz w:val="20"/>
                <w:szCs w:val="20"/>
              </w:rPr>
              <w:t xml:space="preserve">Project Manager</w:t>
            </w:r>
          </w:p>
        </w:tc>
      </w:tr>
      <w:tr>
        <w:tc>
          <w:tcPr>
            <w:tcW w:type="pct" w:w="20%"/>
            <w:tcMar>
              <w:top w:type="dxa" w:w="60"/>
              <w:left w:type="dxa" w:w="90"/>
              <w:bottom w:type="dxa" w:w="60"/>
              <w:right w:type="dxa" w:w="90"/>
            </w:tcMar>
          </w:tcPr>
          <w:p>
            <w:r>
              <w:rPr>
                <w:color w:val="0F1B14"/>
                <w:sz w:val="20"/>
                <w:szCs w:val="20"/>
              </w:rPr>
              <w:t xml:space="preserve">ACTIVE</w:t>
            </w:r>
          </w:p>
        </w:tc>
        <w:tc>
          <w:tcPr>
            <w:tcW w:type="pct" w:w="52%"/>
            <w:tcMar>
              <w:top w:type="dxa" w:w="60"/>
              <w:left w:type="dxa" w:w="90"/>
              <w:bottom w:type="dxa" w:w="60"/>
              <w:right w:type="dxa" w:w="90"/>
            </w:tcMar>
          </w:tcPr>
          <w:p>
            <w:r>
              <w:rPr>
                <w:color w:val="0F1B14"/>
                <w:sz w:val="20"/>
                <w:szCs w:val="20"/>
              </w:rPr>
              <w:t xml:space="preserve">Project berjalan; timesheet &amp; biaya mulai berjalan.</w:t>
            </w:r>
          </w:p>
        </w:tc>
        <w:tc>
          <w:tcPr>
            <w:tcW w:type="pct" w:w="28%"/>
            <w:tcMar>
              <w:top w:type="dxa" w:w="60"/>
              <w:left w:type="dxa" w:w="90"/>
              <w:bottom w:type="dxa" w:w="60"/>
              <w:right w:type="dxa" w:w="90"/>
            </w:tcMar>
          </w:tcPr>
          <w:p>
            <w:r>
              <w:rPr>
                <w:color w:val="0F1B14"/>
                <w:sz w:val="20"/>
                <w:szCs w:val="20"/>
              </w:rPr>
              <w:t xml:space="preserve">Tim delivery</w:t>
            </w:r>
          </w:p>
        </w:tc>
      </w:tr>
      <w:tr>
        <w:tc>
          <w:tcPr>
            <w:tcW w:type="pct" w:w="20%"/>
            <w:shd w:fill="F1F6F2"/>
            <w:tcMar>
              <w:top w:type="dxa" w:w="60"/>
              <w:left w:type="dxa" w:w="90"/>
              <w:bottom w:type="dxa" w:w="60"/>
              <w:right w:type="dxa" w:w="90"/>
            </w:tcMar>
          </w:tcPr>
          <w:p>
            <w:r>
              <w:rPr>
                <w:color w:val="0F1B14"/>
                <w:sz w:val="20"/>
                <w:szCs w:val="20"/>
              </w:rPr>
              <w:t xml:space="preserve">PAUSE / COMPLETE</w:t>
            </w:r>
          </w:p>
        </w:tc>
        <w:tc>
          <w:tcPr>
            <w:tcW w:type="pct" w:w="52%"/>
            <w:shd w:fill="F1F6F2"/>
            <w:tcMar>
              <w:top w:type="dxa" w:w="60"/>
              <w:left w:type="dxa" w:w="90"/>
              <w:bottom w:type="dxa" w:w="60"/>
              <w:right w:type="dxa" w:w="90"/>
            </w:tcMar>
          </w:tcPr>
          <w:p>
            <w:r>
              <w:rPr>
                <w:color w:val="0F1B14"/>
                <w:sz w:val="20"/>
                <w:szCs w:val="20"/>
              </w:rPr>
              <w:t xml:space="preserve">Project dijeda atau selesai dikerjakan.</w:t>
            </w:r>
          </w:p>
        </w:tc>
        <w:tc>
          <w:tcPr>
            <w:tcW w:type="pct" w:w="28%"/>
            <w:shd w:fill="F1F6F2"/>
            <w:tcMar>
              <w:top w:type="dxa" w:w="60"/>
              <w:left w:type="dxa" w:w="90"/>
              <w:bottom w:type="dxa" w:w="60"/>
              <w:right w:type="dxa" w:w="90"/>
            </w:tcMar>
          </w:tcPr>
          <w:p>
            <w:r>
              <w:rPr>
                <w:color w:val="0F1B14"/>
                <w:sz w:val="20"/>
                <w:szCs w:val="20"/>
              </w:rPr>
              <w:t xml:space="preserve">PM / Management</w:t>
            </w:r>
          </w:p>
        </w:tc>
      </w:tr>
      <w:tr>
        <w:tc>
          <w:tcPr>
            <w:tcW w:type="pct" w:w="20%"/>
            <w:tcMar>
              <w:top w:type="dxa" w:w="60"/>
              <w:left w:type="dxa" w:w="90"/>
              <w:bottom w:type="dxa" w:w="60"/>
              <w:right w:type="dxa" w:w="90"/>
            </w:tcMar>
          </w:tcPr>
          <w:p>
            <w:r>
              <w:rPr>
                <w:color w:val="0F1B14"/>
                <w:sz w:val="20"/>
                <w:szCs w:val="20"/>
              </w:rPr>
              <w:t xml:space="preserve">CLOSED</w:t>
            </w:r>
          </w:p>
        </w:tc>
        <w:tc>
          <w:tcPr>
            <w:tcW w:type="pct" w:w="52%"/>
            <w:tcMar>
              <w:top w:type="dxa" w:w="60"/>
              <w:left w:type="dxa" w:w="90"/>
              <w:bottom w:type="dxa" w:w="60"/>
              <w:right w:type="dxa" w:w="90"/>
            </w:tcMar>
          </w:tcPr>
          <w:p>
            <w:r>
              <w:rPr>
                <w:color w:val="0F1B14"/>
                <w:sz w:val="20"/>
                <w:szCs w:val="20"/>
              </w:rPr>
              <w:t xml:space="preserve">Project ditutup sepenuhnya.</w:t>
            </w:r>
          </w:p>
        </w:tc>
        <w:tc>
          <w:tcPr>
            <w:tcW w:type="pct" w:w="28%"/>
            <w:tcMar>
              <w:top w:type="dxa" w:w="60"/>
              <w:left w:type="dxa" w:w="90"/>
              <w:bottom w:type="dxa" w:w="60"/>
              <w:right w:type="dxa" w:w="90"/>
            </w:tcMar>
          </w:tcPr>
          <w:p>
            <w:r>
              <w:rPr>
                <w:color w:val="0F1B14"/>
                <w:sz w:val="20"/>
                <w:szCs w:val="20"/>
              </w:rPr>
              <w:t xml:space="preserve">Management</w:t>
            </w:r>
          </w:p>
        </w:tc>
      </w:tr>
    </w:tbl>
    <w:p>
      <w:pPr>
        <w:spacing w:after="120" w:line="276"/>
      </w:pPr>
      <w:r>
        <w:rPr>
          <w:b/>
          <w:bCs/>
          <w:sz w:val="22"/>
          <w:szCs w:val="22"/>
        </w:rPr>
        <w:t xml:space="preserve">Aturan penagihan baru: </w:t>
      </w:r>
      <w:r>
        <w:rPr>
          <w:b w:val="false"/>
          <w:bCs w:val="false"/>
          <w:sz w:val="22"/>
          <w:szCs w:val="22"/>
        </w:rPr>
        <w:t xml:space="preserve">project hanya dapat di-invoice setelah berstatus ACTIVE atau lebih (ACTIVE, PAUSE, COMPLETE, CLOSED). Project yang masih DRAFT atau OBSERVATION — yaitu belum berjalan — tidak dapat menerbitkan invoice, mendorong ke Xero, maupun ditandai INVOICED/PAID.</w:t>
      </w:r>
    </w:p>
    <w:p>
      <w:pPr>
        <w:pStyle w:val="Heading1"/>
        <w:spacing w:after="140" w:before="360"/>
      </w:pPr>
      <w:r>
        <w:rPr>
          <w:b/>
          <w:bCs/>
          <w:color w:val="1F7A4D"/>
          <w:sz w:val="30"/>
          <w:szCs w:val="30"/>
        </w:rPr>
        <w:t xml:space="preserve">5. Fitur Utama per Modul</w:t>
      </w:r>
    </w:p>
    <w:p>
      <w:pPr>
        <w:pStyle w:val="Heading2"/>
        <w:spacing w:after="90" w:before="220"/>
      </w:pPr>
      <w:r>
        <w:rPr>
          <w:b/>
          <w:bCs/>
          <w:color w:val="0F1B14"/>
          <w:sz w:val="26"/>
          <w:szCs w:val="26"/>
        </w:rPr>
        <w:t xml:space="preserve">5.1 Dashboard per Peran</w:t>
      </w:r>
    </w:p>
    <w:p>
      <w:pPr>
        <w:spacing w:after="120" w:line="276"/>
      </w:pPr>
      <w:r>
        <w:rPr>
          <w:sz w:val="22"/>
          <w:szCs w:val="22"/>
        </w:rPr>
        <w:t xml:space="preserve">Setiap peran memperoleh dashboard yang disesuaikan dengan kebutuhannya:</w:t>
      </w:r>
    </w:p>
    <w:p>
      <w:pPr>
        <w:pStyle w:val="ListParagraph"/>
        <w:numPr>
          <w:ilvl w:val="0"/>
          <w:numId w:val="1"/>
        </w:numPr>
        <w:spacing w:after="60" w:line="268"/>
      </w:pPr>
      <w:r>
        <w:rPr>
          <w:sz w:val="22"/>
          <w:szCs w:val="22"/>
        </w:rPr>
        <w:t xml:space="preserve">Management: KPI eksekutif, tren profit, aging penagihan, project berisiko, alokasi PM.</w:t>
      </w:r>
    </w:p>
    <w:p>
      <w:pPr>
        <w:pStyle w:val="ListParagraph"/>
        <w:numPr>
          <w:ilvl w:val="0"/>
          <w:numId w:val="1"/>
        </w:numPr>
        <w:spacing w:after="60" w:line="268"/>
      </w:pPr>
      <w:r>
        <w:rPr>
          <w:sz w:val="22"/>
          <w:szCs w:val="22"/>
        </w:rPr>
        <w:t xml:space="preserve">Project Manager: project aktif, kotak persetujuan, utilisasi, revenue vs profit, peringatan.</w:t>
      </w:r>
    </w:p>
    <w:p>
      <w:pPr>
        <w:pStyle w:val="ListParagraph"/>
        <w:numPr>
          <w:ilvl w:val="0"/>
          <w:numId w:val="1"/>
        </w:numPr>
        <w:spacing w:after="60" w:line="268"/>
      </w:pPr>
      <w:r>
        <w:rPr>
          <w:sz w:val="22"/>
          <w:szCs w:val="22"/>
        </w:rPr>
        <w:t xml:space="preserve">Sales: pipeline, revenue per klien, tren profitabilitas.</w:t>
      </w:r>
    </w:p>
    <w:p>
      <w:pPr>
        <w:pStyle w:val="ListParagraph"/>
        <w:numPr>
          <w:ilvl w:val="0"/>
          <w:numId w:val="1"/>
        </w:numPr>
        <w:spacing w:after="60" w:line="268"/>
      </w:pPr>
      <w:r>
        <w:rPr>
          <w:sz w:val="22"/>
          <w:szCs w:val="22"/>
        </w:rPr>
        <w:t xml:space="preserve">Konsultan/TW: ajakan mencatat waktu, tren, dan daftar tugas saya.</w:t>
      </w:r>
    </w:p>
    <w:p>
      <w:pPr>
        <w:pStyle w:val="ListParagraph"/>
        <w:numPr>
          <w:ilvl w:val="0"/>
          <w:numId w:val="1"/>
        </w:numPr>
        <w:spacing w:after="60" w:line="268"/>
      </w:pPr>
      <w:r>
        <w:rPr>
          <w:sz w:val="22"/>
          <w:szCs w:val="22"/>
        </w:rPr>
        <w:t xml:space="preserve">Admin Project: kotak dokumen penutupan.</w:t>
      </w:r>
    </w:p>
    <w:p>
      <w:pPr>
        <w:pStyle w:val="ListParagraph"/>
        <w:numPr>
          <w:ilvl w:val="0"/>
          <w:numId w:val="1"/>
        </w:numPr>
        <w:spacing w:after="60" w:line="268"/>
      </w:pPr>
      <w:r>
        <w:rPr>
          <w:sz w:val="22"/>
          <w:szCs w:val="22"/>
        </w:rPr>
        <w:t xml:space="preserve">HR: headcount, distribusi unit bisnis/peran, cuti, bench, kesenjangan keahlian.</w:t>
      </w:r>
    </w:p>
    <w:p>
      <w:pPr>
        <w:pStyle w:val="Heading2"/>
        <w:spacing w:after="90" w:before="220"/>
      </w:pPr>
      <w:r>
        <w:rPr>
          <w:b/>
          <w:bCs/>
          <w:color w:val="0F1B14"/>
          <w:sz w:val="26"/>
          <w:szCs w:val="26"/>
        </w:rPr>
        <w:t xml:space="preserve">5.2 Manajemen Project &amp; Tab-tabnya</w:t>
      </w:r>
    </w:p>
    <w:p>
      <w:pPr>
        <w:spacing w:after="120" w:line="276"/>
      </w:pPr>
      <w:r>
        <w:rPr>
          <w:sz w:val="22"/>
          <w:szCs w:val="22"/>
        </w:rPr>
        <w:t xml:space="preserve">Setiap project memiliki halaman detail dengan tab fungsional berikut:</w:t>
      </w:r>
    </w:p>
    <w:p>
      <w:pPr>
        <w:pStyle w:val="ListParagraph"/>
        <w:numPr>
          <w:ilvl w:val="0"/>
          <w:numId w:val="1"/>
        </w:numPr>
        <w:spacing w:after="60" w:line="268"/>
      </w:pPr>
      <w:r>
        <w:rPr>
          <w:b/>
          <w:bCs/>
          <w:sz w:val="22"/>
          <w:szCs w:val="22"/>
        </w:rPr>
        <w:t xml:space="preserve">Overview — </w:t>
      </w:r>
      <w:r>
        <w:rPr>
          <w:b w:val="false"/>
          <w:bCs w:val="false"/>
          <w:sz w:val="22"/>
          <w:szCs w:val="22"/>
        </w:rPr>
        <w:t xml:space="preserve">ringkasan &amp; edit data inti melalui dialog 'Review &amp; Save'.</w:t>
      </w:r>
    </w:p>
    <w:p>
      <w:pPr>
        <w:pStyle w:val="ListParagraph"/>
        <w:numPr>
          <w:ilvl w:val="0"/>
          <w:numId w:val="1"/>
        </w:numPr>
        <w:spacing w:after="60" w:line="268"/>
      </w:pPr>
      <w:r>
        <w:rPr>
          <w:b/>
          <w:bCs/>
          <w:sz w:val="22"/>
          <w:szCs w:val="22"/>
        </w:rPr>
        <w:t xml:space="preserve">Timeline (Gantt) — </w:t>
      </w:r>
      <w:r>
        <w:rPr>
          <w:b w:val="false"/>
          <w:bCs w:val="false"/>
          <w:sz w:val="22"/>
          <w:szCs w:val="22"/>
        </w:rPr>
        <w:t xml:space="preserve">penjadwalan tugas dengan drag-and-drop, resize, dan panah dependensi.</w:t>
      </w:r>
    </w:p>
    <w:p>
      <w:pPr>
        <w:pStyle w:val="ListParagraph"/>
        <w:numPr>
          <w:ilvl w:val="0"/>
          <w:numId w:val="1"/>
        </w:numPr>
        <w:spacing w:after="60" w:line="268"/>
      </w:pPr>
      <w:r>
        <w:rPr>
          <w:b/>
          <w:bCs/>
          <w:sz w:val="22"/>
          <w:szCs w:val="22"/>
        </w:rPr>
        <w:t xml:space="preserve">Tasks (WBS) — </w:t>
      </w:r>
      <w:r>
        <w:rPr>
          <w:b w:val="false"/>
          <w:bCs w:val="false"/>
          <w:sz w:val="22"/>
          <w:szCs w:val="22"/>
        </w:rPr>
        <w:t xml:space="preserve">struktur rincian kerja berjenjang, multi-assignee, dependensi finish-to-start, penanda billable.</w:t>
      </w:r>
    </w:p>
    <w:p>
      <w:pPr>
        <w:pStyle w:val="ListParagraph"/>
        <w:numPr>
          <w:ilvl w:val="0"/>
          <w:numId w:val="1"/>
        </w:numPr>
        <w:spacing w:after="60" w:line="268"/>
      </w:pPr>
      <w:r>
        <w:rPr>
          <w:b/>
          <w:bCs/>
          <w:sz w:val="22"/>
          <w:szCs w:val="22"/>
        </w:rPr>
        <w:t xml:space="preserve">Resources — </w:t>
      </w:r>
      <w:r>
        <w:rPr>
          <w:b w:val="false"/>
          <w:bCs w:val="false"/>
          <w:sz w:val="22"/>
          <w:szCs w:val="22"/>
        </w:rPr>
        <w:t xml:space="preserve">staffing tim Konsultan &amp; Technical Writer, Admin Project, dan sumber daya lain.</w:t>
      </w:r>
    </w:p>
    <w:p>
      <w:pPr>
        <w:pStyle w:val="ListParagraph"/>
        <w:numPr>
          <w:ilvl w:val="0"/>
          <w:numId w:val="1"/>
        </w:numPr>
        <w:spacing w:after="60" w:line="268"/>
      </w:pPr>
      <w:r>
        <w:rPr>
          <w:b/>
          <w:bCs/>
          <w:sz w:val="22"/>
          <w:szCs w:val="22"/>
        </w:rPr>
        <w:t xml:space="preserve">RAID — </w:t>
      </w:r>
      <w:r>
        <w:rPr>
          <w:b w:val="false"/>
          <w:bCs w:val="false"/>
          <w:sz w:val="22"/>
          <w:szCs w:val="22"/>
        </w:rPr>
        <w:t xml:space="preserve">registrasi Risk, Assumption, Issue, Dependency (khusus tim delivery).</w:t>
      </w:r>
    </w:p>
    <w:p>
      <w:pPr>
        <w:pStyle w:val="ListParagraph"/>
        <w:numPr>
          <w:ilvl w:val="0"/>
          <w:numId w:val="1"/>
        </w:numPr>
        <w:spacing w:after="60" w:line="268"/>
      </w:pPr>
      <w:r>
        <w:rPr>
          <w:b/>
          <w:bCs/>
          <w:sz w:val="22"/>
          <w:szCs w:val="22"/>
        </w:rPr>
        <w:t xml:space="preserve">Expenses — </w:t>
      </w:r>
      <w:r>
        <w:rPr>
          <w:b w:val="false"/>
          <w:bCs w:val="false"/>
          <w:sz w:val="22"/>
          <w:szCs w:val="22"/>
        </w:rPr>
        <w:t xml:space="preserve">biaya non-sumber daya dengan alur persetujuan; hanya yang APPROVED menambah biaya aktual.</w:t>
      </w:r>
    </w:p>
    <w:p>
      <w:pPr>
        <w:pStyle w:val="ListParagraph"/>
        <w:numPr>
          <w:ilvl w:val="0"/>
          <w:numId w:val="1"/>
        </w:numPr>
        <w:spacing w:after="60" w:line="268"/>
      </w:pPr>
      <w:r>
        <w:rPr>
          <w:b/>
          <w:bCs/>
          <w:sz w:val="22"/>
          <w:szCs w:val="22"/>
        </w:rPr>
        <w:t xml:space="preserve">Timesheets — </w:t>
      </w:r>
      <w:r>
        <w:rPr>
          <w:b w:val="false"/>
          <w:bCs w:val="false"/>
          <w:sz w:val="22"/>
          <w:szCs w:val="22"/>
        </w:rPr>
        <w:t xml:space="preserve">seluruh entri waktu pada project, dengan KPI dan persetujuan massal.</w:t>
      </w:r>
    </w:p>
    <w:p>
      <w:pPr>
        <w:pStyle w:val="ListParagraph"/>
        <w:numPr>
          <w:ilvl w:val="0"/>
          <w:numId w:val="1"/>
        </w:numPr>
        <w:spacing w:after="60" w:line="268"/>
      </w:pPr>
      <w:r>
        <w:rPr>
          <w:b/>
          <w:bCs/>
          <w:sz w:val="22"/>
          <w:szCs w:val="22"/>
        </w:rPr>
        <w:t xml:space="preserve">Billing — </w:t>
      </w:r>
      <w:r>
        <w:rPr>
          <w:b w:val="false"/>
          <w:bCs w:val="false"/>
          <w:sz w:val="22"/>
          <w:szCs w:val="22"/>
        </w:rPr>
        <w:t xml:space="preserve">Termin pembayaran (milestone) dengan %, DPP, PPN, total, jatuh tempo, dan status invoice.</w:t>
      </w:r>
    </w:p>
    <w:p>
      <w:pPr>
        <w:pStyle w:val="ListParagraph"/>
        <w:numPr>
          <w:ilvl w:val="0"/>
          <w:numId w:val="1"/>
        </w:numPr>
        <w:spacing w:after="60" w:line="268"/>
      </w:pPr>
      <w:r>
        <w:rPr>
          <w:b/>
          <w:bCs/>
          <w:sz w:val="22"/>
          <w:szCs w:val="22"/>
        </w:rPr>
        <w:t xml:space="preserve">Financials — </w:t>
      </w:r>
      <w:r>
        <w:rPr>
          <w:b w:val="false"/>
          <w:bCs w:val="false"/>
          <w:sz w:val="22"/>
          <w:szCs w:val="22"/>
        </w:rPr>
        <w:t>biaya, profit, margin, burn rate, proyeksi (forecast), serta panel Profit Outlook (apakah project ini akan untung?) dan skor Project Health.</w:t>
      </w:r>
    </w:p>
    <w:p>
      <w:pPr>
        <w:pStyle w:val="ListParagraph"/>
        <w:numPr>
          <w:ilvl w:val="0"/>
          <w:numId w:val="1"/>
        </w:numPr>
        <w:spacing w:after="60" w:line="268"/>
      </w:pPr>
      <w:r>
        <w:rPr>
          <w:b/>
          <w:bCs/>
          <w:sz w:val="22"/>
          <w:szCs w:val="22"/>
        </w:rPr>
        <w:t xml:space="preserve">Documents, Closing, Report, Survey, Workstreams, Activity — </w:t>
      </w:r>
      <w:r>
        <w:rPr>
          <w:b w:val="false"/>
          <w:bCs w:val="false"/>
          <w:sz w:val="22"/>
          <w:szCs w:val="22"/>
        </w:rPr>
        <w:t xml:space="preserve">dokumen, penutupan, laporan project, survei pelanggan, alur kerja, dan jejak audit.</w:t>
      </w:r>
    </w:p>
    <w:p>
      <w:pPr>
        <w:pStyle w:val="Heading2"/>
        <w:spacing w:after="90" w:before="220"/>
      </w:pPr>
      <w:r>
        <w:rPr>
          <w:b/>
          <w:bCs/>
          <w:color w:val="0F1B14"/>
          <w:sz w:val="26"/>
          <w:szCs w:val="26"/>
        </w:rPr>
        <w:t xml:space="preserve">5.3 Modul &amp; Halaman Lain</w:t>
      </w:r>
    </w:p>
    <w:tbl>
      <w:tblPr>
        <w:tblW w:type="pct" w:w="100%"/>
        <w:tblBorders>
          <w:top w:val="single" w:color="CCCCCC" w:sz="4"/>
          <w:left w:val="single" w:color="CCCCCC" w:sz="4"/>
          <w:bottom w:val="single" w:color="CCCCCC" w:sz="4"/>
          <w:right w:val="single" w:color="CCCCCC" w:sz="4"/>
          <w:insideH w:val="single" w:color="DDDDDD" w:sz="2"/>
          <w:insideV w:val="single" w:color="DDDDDD" w:sz="2"/>
        </w:tblBorders>
      </w:tblPr>
      <w:tblGrid>
        <w:gridCol w:w="100"/>
        <w:gridCol w:w="100"/>
      </w:tblGrid>
      <w:tr>
        <w:trPr>
          <w:tblHeader/>
        </w:trPr>
        <w:tc>
          <w:tcPr>
            <w:tcW w:type="pct" w:w="34%"/>
            <w:shd w:fill="1F7A4D"/>
            <w:tcMar>
              <w:top w:type="dxa" w:w="60"/>
              <w:left w:type="dxa" w:w="90"/>
              <w:bottom w:type="dxa" w:w="60"/>
              <w:right w:type="dxa" w:w="90"/>
            </w:tcMar>
          </w:tcPr>
          <w:p>
            <w:r>
              <w:rPr>
                <w:b/>
                <w:bCs/>
                <w:color w:val="FFFFFF"/>
                <w:sz w:val="20"/>
                <w:szCs w:val="20"/>
              </w:rPr>
              <w:t xml:space="preserve">Modul</w:t>
            </w:r>
          </w:p>
        </w:tc>
        <w:tc>
          <w:tcPr>
            <w:tcW w:type="pct" w:w="66%"/>
            <w:shd w:fill="1F7A4D"/>
            <w:tcMar>
              <w:top w:type="dxa" w:w="60"/>
              <w:left w:type="dxa" w:w="90"/>
              <w:bottom w:type="dxa" w:w="60"/>
              <w:right w:type="dxa" w:w="90"/>
            </w:tcMar>
          </w:tcPr>
          <w:p>
            <w:r>
              <w:rPr>
                <w:b/>
                <w:bCs/>
                <w:color w:val="FFFFFF"/>
                <w:sz w:val="20"/>
                <w:szCs w:val="20"/>
              </w:rPr>
              <w:t xml:space="preserve">Fungsi</w:t>
            </w:r>
          </w:p>
        </w:tc>
      </w:tr>
      <w:tr>
        <w:tc>
          <w:tcPr>
            <w:tcW w:type="pct" w:w="34%"/>
            <w:tcMar>
              <w:top w:type="dxa" w:w="60"/>
              <w:left w:type="dxa" w:w="90"/>
              <w:bottom w:type="dxa" w:w="60"/>
              <w:right w:type="dxa" w:w="90"/>
            </w:tcMar>
          </w:tcPr>
          <w:p>
            <w:r>
              <w:rPr>
                <w:color w:val="0F1B14"/>
                <w:sz w:val="20"/>
                <w:szCs w:val="20"/>
              </w:rPr>
              <w:t xml:space="preserve">Clients</w:t>
            </w:r>
          </w:p>
        </w:tc>
        <w:tc>
          <w:tcPr>
            <w:tcW w:type="pct" w:w="66%"/>
            <w:tcMar>
              <w:top w:type="dxa" w:w="60"/>
              <w:left w:type="dxa" w:w="90"/>
              <w:bottom w:type="dxa" w:w="60"/>
              <w:right w:type="dxa" w:w="90"/>
            </w:tcMar>
          </w:tcPr>
          <w:p>
            <w:r>
              <w:rPr>
                <w:color w:val="0F1B14"/>
                <w:sz w:val="20"/>
                <w:szCs w:val="20"/>
              </w:rPr>
              <w:t xml:space="preserve">Manajemen data klien.</w:t>
            </w:r>
          </w:p>
        </w:tc>
      </w:tr>
      <w:tr>
        <w:tc>
          <w:tcPr>
            <w:tcW w:type="pct" w:w="34%"/>
            <w:shd w:fill="F1F6F2"/>
            <w:tcMar>
              <w:top w:type="dxa" w:w="60"/>
              <w:left w:type="dxa" w:w="90"/>
              <w:bottom w:type="dxa" w:w="60"/>
              <w:right w:type="dxa" w:w="90"/>
            </w:tcMar>
          </w:tcPr>
          <w:p>
            <w:r>
              <w:rPr>
                <w:color w:val="0F1B14"/>
                <w:sz w:val="20"/>
                <w:szCs w:val="20"/>
              </w:rPr>
              <w:t xml:space="preserve">Timesheets (global) + entri massal</w:t>
            </w:r>
          </w:p>
        </w:tc>
        <w:tc>
          <w:tcPr>
            <w:tcW w:type="pct" w:w="66%"/>
            <w:shd w:fill="F1F6F2"/>
            <w:tcMar>
              <w:top w:type="dxa" w:w="60"/>
              <w:left w:type="dxa" w:w="90"/>
              <w:bottom w:type="dxa" w:w="60"/>
              <w:right w:type="dxa" w:w="90"/>
            </w:tcMar>
          </w:tcPr>
          <w:p>
            <w:r>
              <w:rPr>
                <w:color w:val="0F1B14"/>
                <w:sz w:val="20"/>
                <w:szCs w:val="20"/>
              </w:rPr>
              <w:t xml:space="preserve">Pencatatan &amp; persetujuan waktu lintas project; entri mingguan massal.</w:t>
            </w:r>
          </w:p>
        </w:tc>
      </w:tr>
      <w:tr>
        <w:tc>
          <w:tcPr>
            <w:tcW w:type="pct" w:w="34%"/>
            <w:tcMar>
              <w:top w:type="dxa" w:w="60"/>
              <w:left w:type="dxa" w:w="90"/>
              <w:bottom w:type="dxa" w:w="60"/>
              <w:right w:type="dxa" w:w="90"/>
            </w:tcMar>
          </w:tcPr>
          <w:p>
            <w:r>
              <w:rPr>
                <w:color w:val="0F1B14"/>
                <w:sz w:val="20"/>
                <w:szCs w:val="20"/>
              </w:rPr>
              <w:t xml:space="preserve">Reports</w:t>
            </w:r>
          </w:p>
        </w:tc>
        <w:tc>
          <w:tcPr>
            <w:tcW w:type="pct" w:w="66%"/>
            <w:tcMar>
              <w:top w:type="dxa" w:w="60"/>
              <w:left w:type="dxa" w:w="90"/>
              <w:bottom w:type="dxa" w:w="60"/>
              <w:right w:type="dxa" w:w="90"/>
            </w:tcMar>
          </w:tcPr>
          <w:p>
            <w:r>
              <w:rPr>
                <w:color w:val="0F1B14"/>
                <w:sz w:val="20"/>
                <w:szCs w:val="20"/>
              </w:rPr>
              <w:t xml:space="preserve">10 laporan siap pakai dengan ekspor CSV/XLSX/PDF.</w:t>
            </w:r>
          </w:p>
        </w:tc>
      </w:tr>
      <w:tr>
        <w:tc>
          <w:tcPr>
            <w:tcW w:type="pct" w:w="34%"/>
            <w:shd w:fill="F1F6F2"/>
            <w:tcMar>
              <w:top w:type="dxa" w:w="60"/>
              <w:left w:type="dxa" w:w="90"/>
              <w:bottom w:type="dxa" w:w="60"/>
              <w:right w:type="dxa" w:w="90"/>
            </w:tcMar>
          </w:tcPr>
          <w:p>
            <w:r>
              <w:rPr>
                <w:color w:val="0F1B14"/>
                <w:sz w:val="20"/>
                <w:szCs w:val="20"/>
              </w:rPr>
              <w:t xml:space="preserve">Resource Planning</w:t>
            </w:r>
          </w:p>
        </w:tc>
        <w:tc>
          <w:tcPr>
            <w:tcW w:type="pct" w:w="66%"/>
            <w:shd w:fill="F1F6F2"/>
            <w:tcMar>
              <w:top w:type="dxa" w:w="60"/>
              <w:left w:type="dxa" w:w="90"/>
              <w:bottom w:type="dxa" w:w="60"/>
              <w:right w:type="dxa" w:w="90"/>
            </w:tcMar>
          </w:tcPr>
          <w:p>
            <w:r>
              <w:rPr>
                <w:color w:val="0F1B14"/>
                <w:sz w:val="20"/>
                <w:szCs w:val="20"/>
              </w:rPr>
              <w:t xml:space="preserve">Beban manday mingguan per unit bisnis (dengan overlay cuti).</w:t>
            </w:r>
          </w:p>
        </w:tc>
      </w:tr>
      <w:tr>
        <w:tc>
          <w:tcPr>
            <w:tcW w:type="pct" w:w="34%"/>
            <w:tcMar>
              <w:top w:type="dxa" w:w="60"/>
              <w:left w:type="dxa" w:w="90"/>
              <w:bottom w:type="dxa" w:w="60"/>
              <w:right w:type="dxa" w:w="90"/>
            </w:tcMar>
          </w:tcPr>
          <w:p>
            <w:r>
              <w:rPr>
                <w:color w:val="0F1B14"/>
                <w:sz w:val="20"/>
                <w:szCs w:val="20"/>
              </w:rPr>
              <w:t xml:space="preserve">Bench &amp; Capacity</w:t>
            </w:r>
          </w:p>
        </w:tc>
        <w:tc>
          <w:tcPr>
            <w:tcW w:type="pct" w:w="66%"/>
            <w:tcMar>
              <w:top w:type="dxa" w:w="60"/>
              <w:left w:type="dxa" w:w="90"/>
              <w:bottom w:type="dxa" w:w="60"/>
              <w:right w:type="dxa" w:w="90"/>
            </w:tcMar>
          </w:tcPr>
          <w:p>
            <w:r>
              <w:rPr>
                <w:color w:val="0F1B14"/>
                <w:sz w:val="20"/>
                <w:szCs w:val="20"/>
              </w:rPr>
              <w:t xml:space="preserve">Konsultan yang belum teralokasi dan kapasitas tim.</w:t>
            </w:r>
          </w:p>
        </w:tc>
      </w:tr>
      <w:tr>
        <w:tc>
          <w:tcPr>
            <w:tcW w:type="pct" w:w="34%"/>
            <w:shd w:fill="F1F6F2"/>
            <w:tcMar>
              <w:top w:type="dxa" w:w="60"/>
              <w:left w:type="dxa" w:w="90"/>
              <w:bottom w:type="dxa" w:w="60"/>
              <w:right w:type="dxa" w:w="90"/>
            </w:tcMar>
          </w:tcPr>
          <w:p>
            <w:r>
              <w:rPr>
                <w:color w:val="0F1B14"/>
                <w:sz w:val="20"/>
                <w:szCs w:val="20"/>
              </w:rPr>
              <w:t xml:space="preserve">Skill Matrix</w:t>
            </w:r>
          </w:p>
        </w:tc>
        <w:tc>
          <w:tcPr>
            <w:tcW w:type="pct" w:w="66%"/>
            <w:shd w:fill="F1F6F2"/>
            <w:tcMar>
              <w:top w:type="dxa" w:w="60"/>
              <w:left w:type="dxa" w:w="90"/>
              <w:bottom w:type="dxa" w:w="60"/>
              <w:right w:type="dxa" w:w="90"/>
            </w:tcMar>
          </w:tcPr>
          <w:p>
            <w:r>
              <w:rPr>
                <w:color w:val="0F1B14"/>
                <w:sz w:val="20"/>
                <w:szCs w:val="20"/>
              </w:rPr>
              <w:t xml:space="preserve">Pemetaan keahlian tim dan identifikasi kesenjangan.</w:t>
            </w:r>
          </w:p>
        </w:tc>
      </w:tr>
      <w:tr>
        <w:tc>
          <w:tcPr>
            <w:tcW w:type="pct" w:w="34%"/>
            <w:tcMar>
              <w:top w:type="dxa" w:w="60"/>
              <w:left w:type="dxa" w:w="90"/>
              <w:bottom w:type="dxa" w:w="60"/>
              <w:right w:type="dxa" w:w="90"/>
            </w:tcMar>
          </w:tcPr>
          <w:p>
            <w:r>
              <w:rPr>
                <w:color w:val="0F1B14"/>
                <w:sz w:val="20"/>
                <w:szCs w:val="20"/>
              </w:rPr>
              <w:t xml:space="preserve">Invoice Planning</w:t>
            </w:r>
          </w:p>
        </w:tc>
        <w:tc>
          <w:tcPr>
            <w:tcW w:type="pct" w:w="66%"/>
            <w:tcMar>
              <w:top w:type="dxa" w:w="60"/>
              <w:left w:type="dxa" w:w="90"/>
              <w:bottom w:type="dxa" w:w="60"/>
              <w:right w:type="dxa" w:w="90"/>
            </w:tcMar>
          </w:tcPr>
          <w:p>
            <w:r>
              <w:rPr>
                <w:color w:val="0F1B14"/>
                <w:sz w:val="20"/>
                <w:szCs w:val="20"/>
              </w:rPr>
              <w:t xml:space="preserve">Proyeksi penagihan per periode (minggu/bulan) per unit bisnis.</w:t>
            </w:r>
          </w:p>
        </w:tc>
      </w:tr>
      <w:tr>
        <w:tc>
          <w:tcPr>
            <w:tcW w:type="pct" w:w="34%"/>
            <w:shd w:fill="F1F6F2"/>
            <w:tcMar>
              <w:top w:type="dxa" w:w="60"/>
              <w:left w:type="dxa" w:w="90"/>
              <w:bottom w:type="dxa" w:w="60"/>
              <w:right w:type="dxa" w:w="90"/>
            </w:tcMar>
          </w:tcPr>
          <w:p>
            <w:r>
              <w:rPr>
                <w:color w:val="0F1B14"/>
                <w:sz w:val="20"/>
                <w:szCs w:val="20"/>
              </w:rPr>
              <w:t xml:space="preserve">VAT Recap</w:t>
            </w:r>
          </w:p>
        </w:tc>
        <w:tc>
          <w:tcPr>
            <w:tcW w:type="pct" w:w="66%"/>
            <w:shd w:fill="F1F6F2"/>
            <w:tcMar>
              <w:top w:type="dxa" w:w="60"/>
              <w:left w:type="dxa" w:w="90"/>
              <w:bottom w:type="dxa" w:w="60"/>
              <w:right w:type="dxa" w:w="90"/>
            </w:tcMar>
          </w:tcPr>
          <w:p>
            <w:r>
              <w:rPr>
                <w:color w:val="0F1B14"/>
                <w:sz w:val="20"/>
                <w:szCs w:val="20"/>
              </w:rPr>
              <w:t xml:space="preserve">Rekap PPN 12 bulan + tahunan dari invoice INVOICED/PAID.</w:t>
            </w:r>
          </w:p>
        </w:tc>
      </w:tr>
      <w:tr>
        <w:tc>
          <w:tcPr>
            <w:tcW w:type="pct" w:w="34%"/>
            <w:tcMar>
              <w:top w:type="dxa" w:w="60"/>
              <w:left w:type="dxa" w:w="90"/>
              <w:bottom w:type="dxa" w:w="60"/>
              <w:right w:type="dxa" w:w="90"/>
            </w:tcMar>
          </w:tcPr>
          <w:p>
            <w:r>
              <w:rPr>
                <w:color w:val="0F1B14"/>
                <w:sz w:val="20"/>
                <w:szCs w:val="20"/>
              </w:rPr>
              <w:t xml:space="preserve">Performance Reviews</w:t>
            </w:r>
          </w:p>
        </w:tc>
        <w:tc>
          <w:tcPr>
            <w:tcW w:type="pct" w:w="66%"/>
            <w:tcMar>
              <w:top w:type="dxa" w:w="60"/>
              <w:left w:type="dxa" w:w="90"/>
              <w:bottom w:type="dxa" w:w="60"/>
              <w:right w:type="dxa" w:w="90"/>
            </w:tcMar>
          </w:tcPr>
          <w:p>
            <w:r>
              <w:rPr>
                <w:color w:val="0F1B14"/>
                <w:sz w:val="20"/>
                <w:szCs w:val="20"/>
              </w:rPr>
              <w:t xml:space="preserve">Penilaian kinerja dengan alur DRAFT → SUBMITTED → ACKNOWLEDGED.</w:t>
            </w:r>
          </w:p>
        </w:tc>
      </w:tr>
      <w:tr>
        <w:tc>
          <w:tcPr>
            <w:tcW w:type="pct" w:w="34%"/>
            <w:shd w:fill="F1F6F2"/>
            <w:tcMar>
              <w:top w:type="dxa" w:w="60"/>
              <w:left w:type="dxa" w:w="90"/>
              <w:bottom w:type="dxa" w:w="60"/>
              <w:right w:type="dxa" w:w="90"/>
            </w:tcMar>
          </w:tcPr>
          <w:p>
            <w:r>
              <w:rPr>
                <w:color w:val="0F1B14"/>
                <w:sz w:val="20"/>
                <w:szCs w:val="20"/>
              </w:rPr>
              <w:t xml:space="preserve">Leaves &amp; Org Chart</w:t>
            </w:r>
          </w:p>
        </w:tc>
        <w:tc>
          <w:tcPr>
            <w:tcW w:type="pct" w:w="66%"/>
            <w:shd w:fill="F1F6F2"/>
            <w:tcMar>
              <w:top w:type="dxa" w:w="60"/>
              <w:left w:type="dxa" w:w="90"/>
              <w:bottom w:type="dxa" w:w="60"/>
              <w:right w:type="dxa" w:w="90"/>
            </w:tcMar>
          </w:tcPr>
          <w:p>
            <w:r>
              <w:rPr>
                <w:color w:val="0F1B14"/>
                <w:sz w:val="20"/>
                <w:szCs w:val="20"/>
              </w:rPr>
              <w:t xml:space="preserve">Manajemen cuti dan bagan organisasi.</w:t>
            </w:r>
          </w:p>
        </w:tc>
      </w:tr>
      <w:tr>
        <w:tc>
          <w:tcPr>
            <w:tcW w:type="pct" w:w="34%"/>
            <w:tcMar>
              <w:top w:type="dxa" w:w="60"/>
              <w:left w:type="dxa" w:w="90"/>
              <w:bottom w:type="dxa" w:w="60"/>
              <w:right w:type="dxa" w:w="90"/>
            </w:tcMar>
          </w:tcPr>
          <w:p>
            <w:r>
              <w:rPr>
                <w:color w:val="0F1B14"/>
                <w:sz w:val="20"/>
                <w:szCs w:val="20"/>
              </w:rPr>
              <w:t xml:space="preserve">Task Templates</w:t>
            </w:r>
          </w:p>
        </w:tc>
        <w:tc>
          <w:tcPr>
            <w:tcW w:type="pct" w:w="66%"/>
            <w:tcMar>
              <w:top w:type="dxa" w:w="60"/>
              <w:left w:type="dxa" w:w="90"/>
              <w:bottom w:type="dxa" w:w="60"/>
              <w:right w:type="dxa" w:w="90"/>
            </w:tcMar>
          </w:tcPr>
          <w:p>
            <w:r>
              <w:rPr>
                <w:color w:val="0F1B14"/>
                <w:sz w:val="20"/>
                <w:szCs w:val="20"/>
              </w:rPr>
              <w:t xml:space="preserve">Template WBS yang dapat diterapkan ke project baru.</w:t>
            </w:r>
          </w:p>
        </w:tc>
      </w:tr>
    </w:tbl>
    <w:p>
      <w:r>
        <w:br w:type="page"/>
      </w:r>
    </w:p>
    <w:p>
      <w:pPr>
        <w:pStyle w:val="Heading1"/>
        <w:spacing w:after="140" w:before="360"/>
      </w:pPr>
      <w:r>
        <w:rPr>
          <w:b/>
          <w:bCs/>
          <w:color w:val="1F7A4D"/>
          <w:sz w:val="30"/>
          <w:szCs w:val="30"/>
        </w:rPr>
        <w:t xml:space="preserve">6. Perhitungan dalam Aplikasi</w:t>
      </w:r>
    </w:p>
    <w:p>
      <w:pPr>
        <w:spacing w:after="120" w:line="276"/>
      </w:pPr>
      <w:r>
        <w:rPr>
          <w:sz w:val="22"/>
          <w:szCs w:val="22"/>
        </w:rPr>
        <w:t xml:space="preserve">Bagian ini menjelaskan semua rumus inti yang dipakai aplikasi untuk menghitung biaya, profit, margin, pajak, dan penagihan. Semua nilai mata uang dalam Rupiah (Rp).</w:t>
      </w:r>
    </w:p>
    <w:p>
      <w:pPr>
        <w:pStyle w:val="Heading2"/>
        <w:spacing w:after="90" w:before="220"/>
      </w:pPr>
      <w:r>
        <w:rPr>
          <w:b/>
          <w:bCs/>
          <w:color w:val="0F1B14"/>
          <w:sz w:val="26"/>
          <w:szCs w:val="26"/>
        </w:rPr>
        <w:t xml:space="preserve">6.1 Biaya Sumber Daya (Resource Cost)</w:t>
      </w:r>
    </w:p>
    <w:p>
      <w:pPr>
        <w:spacing w:after="120" w:line="276"/>
      </w:pPr>
      <w:r>
        <w:rPr>
          <w:sz w:val="22"/>
          <w:szCs w:val="22"/>
        </w:rPr>
        <w:t xml:space="preserve">Biaya tenaga kerja dihitung dari timesheet yang sudah DISETUJUI (APPROVED). Jam kerja dikonversi ke hari (manday) dengan basis 8 jam per hari, lalu dikalikan tarif harian sumber daya.</w:t>
      </w:r>
    </w:p>
    <w:p>
      <w:pPr>
        <w:pBdr>
          <w:left w:val="single" w:color="1F7A4D" w:sz="18" w:space="8"/>
        </w:pBdr>
        <w:shd w:fill="F1F6F2"/>
        <w:spacing w:after="120" w:before="60"/>
      </w:pPr>
      <w:r>
        <w:rPr>
          <w:rFonts w:ascii="Consolas" w:cs="Consolas" w:eastAsia="Consolas" w:hAnsi="Consolas"/>
          <w:color w:val="0F1B14"/>
          <w:sz w:val="21"/>
          <w:szCs w:val="21"/>
        </w:rPr>
        <w:t xml:space="preserve">hari (manday) = jam timesheet ÷ 8</w:t>
      </w:r>
    </w:p>
    <w:p>
      <w:pPr>
        <w:pBdr>
          <w:left w:val="single" w:color="1F7A4D" w:sz="18" w:space="8"/>
        </w:pBdr>
        <w:shd w:fill="F1F6F2"/>
        <w:spacing w:after="120" w:before="60"/>
      </w:pPr>
      <w:r>
        <w:rPr>
          <w:rFonts w:ascii="Consolas" w:cs="Consolas" w:eastAsia="Consolas" w:hAnsi="Consolas"/>
          <w:color w:val="0F1B14"/>
          <w:sz w:val="21"/>
          <w:szCs w:val="21"/>
        </w:rPr>
        <w:t xml:space="preserve">resourceCost = Σ (hari × tarif_harian) untuk semua timesheet APPROVED</w:t>
      </w:r>
    </w:p>
    <w:p>
      <w:pPr>
        <w:spacing w:after="120" w:line="276"/>
      </w:pPr>
      <w:r>
        <w:rPr>
          <w:b/>
          <w:bCs/>
          <w:sz w:val="22"/>
          <w:szCs w:val="22"/>
        </w:rPr>
        <w:t xml:space="preserve">Catatan: </w:t>
      </w:r>
      <w:r>
        <w:rPr>
          <w:b w:val="false"/>
          <w:bCs w:val="false"/>
          <w:sz w:val="22"/>
          <w:szCs w:val="22"/>
        </w:rPr>
        <w:t xml:space="preserve">tarif yang dipakai adalah tarif pada penugasan project (ProjectResource); jika tidak ada, jatuh ke tarif harian default pengguna.</w:t>
      </w:r>
    </w:p>
    <w:p>
      <w:pPr>
        <w:pStyle w:val="Heading2"/>
        <w:spacing w:after="90" w:before="220"/>
      </w:pPr>
      <w:r>
        <w:rPr>
          <w:b/>
          <w:bCs/>
          <w:color w:val="0F1B14"/>
          <w:sz w:val="26"/>
          <w:szCs w:val="26"/>
        </w:rPr>
        <w:t xml:space="preserve">6.2 Biaya Tambahan (Additional Cost)</w:t>
      </w:r>
    </w:p>
    <w:p>
      <w:pPr>
        <w:spacing w:after="120" w:line="276"/>
      </w:pPr>
      <w:r>
        <w:rPr>
          <w:sz w:val="22"/>
          <w:szCs w:val="22"/>
        </w:rPr>
        <w:t xml:space="preserve">Biaya non-tenaga kerja (software, hardware, lisensi, perjalanan, lainnya). Hanya biaya berstatus APPROVED yang dihitung; biaya PENDING/REJECTED tetap terlihat untuk transparansi tetapi tidak menambah biaya.</w:t>
      </w:r>
    </w:p>
    <w:p>
      <w:pPr>
        <w:pBdr>
          <w:left w:val="single" w:color="1F7A4D" w:sz="18" w:space="8"/>
        </w:pBdr>
        <w:shd w:fill="F1F6F2"/>
        <w:spacing w:after="120" w:before="60"/>
      </w:pPr>
      <w:r>
        <w:rPr>
          <w:rFonts w:ascii="Consolas" w:cs="Consolas" w:eastAsia="Consolas" w:hAnsi="Consolas"/>
          <w:color w:val="0F1B14"/>
          <w:sz w:val="21"/>
          <w:szCs w:val="21"/>
        </w:rPr>
        <w:t xml:space="preserve">additionalCost = Σ amount untuk semua ProjectExpense APPROVED</w:t>
      </w:r>
    </w:p>
    <w:p>
      <w:pPr>
        <w:pStyle w:val="Heading2"/>
        <w:spacing w:after="90" w:before="220"/>
      </w:pPr>
      <w:r>
        <w:rPr>
          <w:b/>
          <w:bCs/>
          <w:color w:val="0F1B14"/>
          <w:sz w:val="26"/>
          <w:szCs w:val="26"/>
        </w:rPr>
        <w:t xml:space="preserve">6.3 Biaya Aktual, Profit, dan Margin</w:t>
      </w:r>
    </w:p>
    <w:p>
      <w:pPr>
        <w:pBdr>
          <w:left w:val="single" w:color="1F7A4D" w:sz="18" w:space="8"/>
        </w:pBdr>
        <w:shd w:fill="F1F6F2"/>
        <w:spacing w:after="120" w:before="60"/>
      </w:pPr>
      <w:r>
        <w:rPr>
          <w:rFonts w:ascii="Consolas" w:cs="Consolas" w:eastAsia="Consolas" w:hAnsi="Consolas"/>
          <w:color w:val="0F1B14"/>
          <w:sz w:val="21"/>
          <w:szCs w:val="21"/>
        </w:rPr>
        <w:t xml:space="preserve">actualCost   = resourceCost + additionalCost</w:t>
      </w:r>
    </w:p>
    <w:p>
      <w:pPr>
        <w:pBdr>
          <w:left w:val="single" w:color="1F7A4D" w:sz="18" w:space="8"/>
        </w:pBdr>
        <w:shd w:fill="F1F6F2"/>
        <w:spacing w:after="120" w:before="60"/>
      </w:pPr>
      <w:r>
        <w:rPr>
          <w:rFonts w:ascii="Consolas" w:cs="Consolas" w:eastAsia="Consolas" w:hAnsi="Consolas"/>
          <w:color w:val="0F1B14"/>
          <w:sz w:val="21"/>
          <w:szCs w:val="21"/>
        </w:rPr>
        <w:t xml:space="preserve">actualProfit = contractValue − actualCost</w:t>
      </w:r>
    </w:p>
    <w:p>
      <w:pPr>
        <w:pBdr>
          <w:left w:val="single" w:color="1F7A4D" w:sz="18" w:space="8"/>
        </w:pBdr>
        <w:shd w:fill="F1F6F2"/>
        <w:spacing w:after="120" w:before="60"/>
      </w:pPr>
      <w:r>
        <w:rPr>
          <w:rFonts w:ascii="Consolas" w:cs="Consolas" w:eastAsia="Consolas" w:hAnsi="Consolas"/>
          <w:color w:val="0F1B14"/>
          <w:sz w:val="21"/>
          <w:szCs w:val="21"/>
        </w:rPr>
        <w:t xml:space="preserve">marginPct    = (actualProfit ÷ contractValue) × 100</w:t>
      </w:r>
    </w:p>
    <w:p>
      <w:pPr>
        <w:spacing w:after="120" w:line="276"/>
      </w:pPr>
      <w:r>
        <w:rPr>
          <w:sz w:val="22"/>
          <w:szCs w:val="22"/>
        </w:rPr>
        <w:t xml:space="preserve">contractValue adalah nilai kontrak project. Margin dinyatakan dalam persen.</w:t>
      </w:r>
    </w:p>
    <w:p>
      <w:pPr>
        <w:pStyle w:val="Heading2"/>
        <w:spacing w:after="90" w:before="220"/>
      </w:pPr>
      <w:r>
        <w:rPr>
          <w:b/>
          <w:bCs/>
          <w:color w:val="0F1B14"/>
          <w:sz w:val="26"/>
          <w:szCs w:val="26"/>
        </w:rPr>
        <w:t xml:space="preserve">6.4 Biaya Akrual (Accrued Cost)</w:t>
      </w:r>
    </w:p>
    <w:p>
      <w:pPr>
        <w:spacing w:after="120" w:line="276"/>
      </w:pPr>
      <w:r>
        <w:rPr>
          <w:sz w:val="22"/>
          <w:szCs w:val="22"/>
        </w:rPr>
        <w:t xml:space="preserve">Untuk memantau biaya yang sedang berjalan, aplikasi juga menghitung biaya akrual yang memasukkan tenaga kerja yang sudah DIAJUKAN (SUBMITTED) namun belum disetujui.</w:t>
      </w:r>
    </w:p>
    <w:p>
      <w:pPr>
        <w:pBdr>
          <w:left w:val="single" w:color="1F7A4D" w:sz="18" w:space="8"/>
        </w:pBdr>
        <w:shd w:fill="F1F6F2"/>
        <w:spacing w:after="120" w:before="60"/>
      </w:pPr>
      <w:r>
        <w:rPr>
          <w:rFonts w:ascii="Consolas" w:cs="Consolas" w:eastAsia="Consolas" w:hAnsi="Consolas"/>
          <w:color w:val="0F1B14"/>
          <w:sz w:val="21"/>
          <w:szCs w:val="21"/>
        </w:rPr>
        <w:t xml:space="preserve">accruedResourceCost = Σ (hari × tarif) untuk timesheet APPROVED + SUBMITTED</w:t>
      </w:r>
    </w:p>
    <w:p>
      <w:pPr>
        <w:pBdr>
          <w:left w:val="single" w:color="1F7A4D" w:sz="18" w:space="8"/>
        </w:pBdr>
        <w:shd w:fill="F1F6F2"/>
        <w:spacing w:after="120" w:before="60"/>
      </w:pPr>
      <w:r>
        <w:rPr>
          <w:rFonts w:ascii="Consolas" w:cs="Consolas" w:eastAsia="Consolas" w:hAnsi="Consolas"/>
          <w:color w:val="0F1B14"/>
          <w:sz w:val="21"/>
          <w:szCs w:val="21"/>
        </w:rPr>
        <w:t xml:space="preserve">accruedCost = accruedResourceCost + additionalCost</w:t>
      </w:r>
    </w:p>
    <w:p>
      <w:pPr>
        <w:pStyle w:val="Heading2"/>
        <w:spacing w:after="90" w:before="220"/>
      </w:pPr>
      <w:r>
        <w:rPr>
          <w:b/>
          <w:bCs/>
          <w:color w:val="0F1B14"/>
          <w:sz w:val="26"/>
          <w:szCs w:val="26"/>
        </w:rPr>
        <w:t xml:space="preserve">6.5 Biaya Penuh / Overhead (Fully-Loaded Cost)</w:t>
      </w:r>
    </w:p>
    <w:p>
      <w:pPr>
        <w:spacing w:after="120" w:line="276"/>
      </w:pPr>
      <w:r>
        <w:rPr>
          <w:sz w:val="22"/>
          <w:szCs w:val="22"/>
        </w:rPr>
        <w:t xml:space="preserve">Untuk mencerminkan biaya tidak langsung (overhead) perusahaan, biaya sumber daya dapat dikalikan faktor pengali overhead (dapat dikonfigurasi). Ini menghasilkan biaya dan margin 'bersih' yang lebih konservatif.</w:t>
      </w:r>
    </w:p>
    <w:p>
      <w:pPr>
        <w:pBdr>
          <w:left w:val="single" w:color="1F7A4D" w:sz="18" w:space="8"/>
        </w:pBdr>
        <w:shd w:fill="F1F6F2"/>
        <w:spacing w:after="120" w:before="60"/>
      </w:pPr>
      <w:r>
        <w:rPr>
          <w:rFonts w:ascii="Consolas" w:cs="Consolas" w:eastAsia="Consolas" w:hAnsi="Consolas"/>
          <w:color w:val="0F1B14"/>
          <w:sz w:val="21"/>
          <w:szCs w:val="21"/>
        </w:rPr>
        <w:t xml:space="preserve">loadedResourceCost = resourceCost × overheadMultiplier</w:t>
      </w:r>
    </w:p>
    <w:p>
      <w:pPr>
        <w:pBdr>
          <w:left w:val="single" w:color="1F7A4D" w:sz="18" w:space="8"/>
        </w:pBdr>
        <w:shd w:fill="F1F6F2"/>
        <w:spacing w:after="120" w:before="60"/>
      </w:pPr>
      <w:r>
        <w:rPr>
          <w:rFonts w:ascii="Consolas" w:cs="Consolas" w:eastAsia="Consolas" w:hAnsi="Consolas"/>
          <w:color w:val="0F1B14"/>
          <w:sz w:val="21"/>
          <w:szCs w:val="21"/>
        </w:rPr>
        <w:t xml:space="preserve">netActualCost   = loadedResourceCost + additionalCost</w:t>
      </w:r>
    </w:p>
    <w:p>
      <w:pPr>
        <w:pBdr>
          <w:left w:val="single" w:color="1F7A4D" w:sz="18" w:space="8"/>
        </w:pBdr>
        <w:shd w:fill="F1F6F2"/>
        <w:spacing w:after="120" w:before="60"/>
      </w:pPr>
      <w:r>
        <w:rPr>
          <w:rFonts w:ascii="Consolas" w:cs="Consolas" w:eastAsia="Consolas" w:hAnsi="Consolas"/>
          <w:color w:val="0F1B14"/>
          <w:sz w:val="21"/>
          <w:szCs w:val="21"/>
        </w:rPr>
        <w:t xml:space="preserve">netActualProfit = revenueNet − netActualCost</w:t>
      </w:r>
    </w:p>
    <w:p>
      <w:pPr>
        <w:pBdr>
          <w:left w:val="single" w:color="1F7A4D" w:sz="18" w:space="8"/>
        </w:pBdr>
        <w:shd w:fill="F1F6F2"/>
        <w:spacing w:after="120" w:before="60"/>
      </w:pPr>
      <w:r>
        <w:rPr>
          <w:rFonts w:ascii="Consolas" w:cs="Consolas" w:eastAsia="Consolas" w:hAnsi="Consolas"/>
          <w:color w:val="0F1B14"/>
          <w:sz w:val="21"/>
          <w:szCs w:val="21"/>
        </w:rPr>
        <w:t xml:space="preserve">netMarginPct    = (netActualProfit ÷ revenueNet) × 100</w:t>
      </w:r>
    </w:p>
    <w:p>
      <w:pPr>
        <w:pStyle w:val="Heading2"/>
        <w:spacing w:after="90" w:before="220"/>
      </w:pPr>
      <w:r>
        <w:rPr>
          <w:b/>
          <w:bCs/>
          <w:color w:val="0F1B14"/>
          <w:sz w:val="26"/>
          <w:szCs w:val="26"/>
        </w:rPr>
        <w:t xml:space="preserve">6.6 Burn Rate &amp; Pengakuan Pendapatan</w:t>
      </w:r>
    </w:p>
    <w:p>
      <w:pPr>
        <w:spacing w:after="120" w:line="276"/>
      </w:pPr>
      <w:r>
        <w:rPr>
          <w:sz w:val="22"/>
          <w:szCs w:val="22"/>
        </w:rPr>
        <w:t xml:space="preserve">Tingkat penyelesaian (burn rate) diukur dari manday aktual dibanding manday yang direncanakan, dibatasi maksimal 100%. Pendapatan diakui secara proporsional (mengacu prinsip persentase penyelesaian / PSAK 72).</w:t>
      </w:r>
    </w:p>
    <w:p>
      <w:pPr>
        <w:pBdr>
          <w:left w:val="single" w:color="1F7A4D" w:sz="18" w:space="8"/>
        </w:pBdr>
        <w:shd w:fill="F1F6F2"/>
        <w:spacing w:after="120" w:before="60"/>
      </w:pPr>
      <w:r>
        <w:rPr>
          <w:rFonts w:ascii="Consolas" w:cs="Consolas" w:eastAsia="Consolas" w:hAnsi="Consolas"/>
          <w:color w:val="0F1B14"/>
          <w:sz w:val="21"/>
          <w:szCs w:val="21"/>
        </w:rPr>
        <w:t xml:space="preserve">burnRatePct = min( (actualMandays ÷ plannedMandays) × 100 , 100 )</w:t>
      </w:r>
    </w:p>
    <w:p>
      <w:pPr>
        <w:pBdr>
          <w:left w:val="single" w:color="1F7A4D" w:sz="18" w:space="8"/>
        </w:pBdr>
        <w:shd w:fill="F1F6F2"/>
        <w:spacing w:after="120" w:before="60"/>
      </w:pPr>
      <w:r>
        <w:rPr>
          <w:rFonts w:ascii="Consolas" w:cs="Consolas" w:eastAsia="Consolas" w:hAnsi="Consolas"/>
          <w:color w:val="0F1B14"/>
          <w:sz w:val="21"/>
          <w:szCs w:val="21"/>
        </w:rPr>
        <w:t xml:space="preserve">recognizedRevenue = (burnRatePct ÷ 100) × revenueNet</w:t>
      </w:r>
    </w:p>
    <w:p>
      <w:pPr>
        <w:pStyle w:val="Heading2"/>
        <w:spacing w:after="90" w:before="220"/>
      </w:pPr>
      <w:r>
        <w:rPr>
          <w:b/>
          <w:bCs/>
          <w:color w:val="0F1B14"/>
          <w:sz w:val="26"/>
          <w:szCs w:val="26"/>
        </w:rPr>
        <w:t xml:space="preserve">6.7 DPP &amp; PPN (Pemisahan Pajak)</w:t>
      </w:r>
    </w:p>
    <w:p>
      <w:pPr>
        <w:spacing w:after="120" w:line="276"/>
      </w:pPr>
      <w:r>
        <w:rPr>
          <w:sz w:val="22"/>
          <w:szCs w:val="22"/>
        </w:rPr>
        <w:t xml:space="preserve">Nilai kontrak dapat sudah termasuk PPN (inclusive) atau belum (exclusive). DPP adalah Dasar Pengenaan Pajak (nilai bersih), dan PPN dihitung dari sini. Tarif default 11%.</w:t>
      </w:r>
    </w:p>
    <w:p>
      <w:pPr>
        <w:pStyle w:val="Heading3"/>
        <w:spacing w:after="70" w:before="160"/>
      </w:pPr>
      <w:r>
        <w:rPr>
          <w:b/>
          <w:bCs/>
          <w:color w:val="0F1B14"/>
          <w:sz w:val="23"/>
          <w:szCs w:val="23"/>
        </w:rPr>
        <w:t xml:space="preserve">Jika nilai SUDAH termasuk PPN (inclusive):</w:t>
      </w:r>
    </w:p>
    <w:p>
      <w:pPr>
        <w:pBdr>
          <w:left w:val="single" w:color="1F7A4D" w:sz="18" w:space="8"/>
        </w:pBdr>
        <w:shd w:fill="F1F6F2"/>
        <w:spacing w:after="120" w:before="60"/>
      </w:pPr>
      <w:r>
        <w:rPr>
          <w:rFonts w:ascii="Consolas" w:cs="Consolas" w:eastAsia="Consolas" w:hAnsi="Consolas"/>
          <w:color w:val="0F1B14"/>
          <w:sz w:val="21"/>
          <w:szCs w:val="21"/>
        </w:rPr>
        <w:t xml:space="preserve">DPP = nilai ÷ (1 + tarifPPN/100)
PPN = nilai − DPP
Total = nilai</w:t>
      </w:r>
    </w:p>
    <w:p>
      <w:pPr>
        <w:pStyle w:val="Heading3"/>
        <w:spacing w:after="70" w:before="160"/>
      </w:pPr>
      <w:r>
        <w:rPr>
          <w:b/>
          <w:bCs/>
          <w:color w:val="0F1B14"/>
          <w:sz w:val="23"/>
          <w:szCs w:val="23"/>
        </w:rPr>
        <w:t xml:space="preserve">Jika nilai BELUM termasuk PPN (exclusive):</w:t>
      </w:r>
    </w:p>
    <w:p>
      <w:pPr>
        <w:pBdr>
          <w:left w:val="single" w:color="1F7A4D" w:sz="18" w:space="8"/>
        </w:pBdr>
        <w:shd w:fill="F1F6F2"/>
        <w:spacing w:after="120" w:before="60"/>
      </w:pPr>
      <w:r>
        <w:rPr>
          <w:rFonts w:ascii="Consolas" w:cs="Consolas" w:eastAsia="Consolas" w:hAnsi="Consolas"/>
          <w:color w:val="0F1B14"/>
          <w:sz w:val="21"/>
          <w:szCs w:val="21"/>
        </w:rPr>
        <w:t xml:space="preserve">DPP = nilai
PPN = nilai × (tarifPPN/100)
Total = nilai + PPN</w:t>
      </w:r>
    </w:p>
    <w:p>
      <w:pPr>
        <w:pStyle w:val="Heading2"/>
        <w:spacing w:after="90" w:before="220"/>
      </w:pPr>
      <w:r>
        <w:rPr>
          <w:b/>
          <w:bCs/>
          <w:color w:val="0F1B14"/>
          <w:sz w:val="26"/>
          <w:szCs w:val="26"/>
        </w:rPr>
        <w:t xml:space="preserve">6.8 Termin Pembayaran (Billing Milestone)</w:t>
      </w:r>
    </w:p>
    <w:p>
      <w:pPr>
        <w:spacing w:after="120" w:line="276"/>
      </w:pPr>
      <w:r>
        <w:rPr>
          <w:sz w:val="22"/>
          <w:szCs w:val="22"/>
        </w:rPr>
        <w:t xml:space="preserve">Setiap project dapat dibagi menjadi beberapa termin (Terms of Payment). Tiap termin memiliki persentase dari nilai kontrak (atau nominal tetap), lalu dipecah menjadi DPP, PPN, dan Total memakai rumus pada 6.7.</w:t>
      </w:r>
    </w:p>
    <w:p>
      <w:pPr>
        <w:pBdr>
          <w:left w:val="single" w:color="1F7A4D" w:sz="18" w:space="8"/>
        </w:pBdr>
        <w:shd w:fill="F1F6F2"/>
        <w:spacing w:after="120" w:before="60"/>
      </w:pPr>
      <w:r>
        <w:rPr>
          <w:rFonts w:ascii="Consolas" w:cs="Consolas" w:eastAsia="Consolas" w:hAnsi="Consolas"/>
          <w:color w:val="0F1B14"/>
          <w:sz w:val="21"/>
          <w:szCs w:val="21"/>
        </w:rPr>
        <w:t xml:space="preserve">nilai_termin = (persentase ÷ 100) × contractValue   (atau nominal tetap bila diisi)</w:t>
      </w:r>
    </w:p>
    <w:p>
      <w:pPr>
        <w:spacing w:after="120" w:line="276"/>
      </w:pPr>
      <w:r>
        <w:rPr>
          <w:b/>
          <w:bCs/>
          <w:sz w:val="22"/>
          <w:szCs w:val="22"/>
        </w:rPr>
        <w:t xml:space="preserve">Validasi: </w:t>
      </w:r>
      <w:r>
        <w:rPr>
          <w:b w:val="false"/>
          <w:bCs w:val="false"/>
          <w:sz w:val="22"/>
          <w:szCs w:val="22"/>
        </w:rPr>
        <w:t xml:space="preserve">aplikasi memberi peringatan bila total persentase seluruh termin tidak sama dengan 100%.</w:t>
      </w:r>
    </w:p>
    <w:p>
      <w:pPr>
        <w:pStyle w:val="Heading2"/>
        <w:spacing w:after="90" w:before="220"/>
      </w:pPr>
      <w:r>
        <w:rPr>
          <w:b/>
          <w:bCs/>
          <w:color w:val="0F1B14"/>
          <w:sz w:val="26"/>
          <w:szCs w:val="26"/>
        </w:rPr>
        <w:t xml:space="preserve">6.9 Penomoran Invoice</w:t>
      </w:r>
    </w:p>
    <w:p>
      <w:pPr>
        <w:spacing w:after="120" w:line="276"/>
      </w:pPr>
      <w:r>
        <w:rPr>
          <w:sz w:val="22"/>
          <w:szCs w:val="22"/>
        </w:rPr>
        <w:t xml:space="preserve">Nomor invoice dialokasikan secara berurutan dan unik dengan format tahun/bulan, lalu nomor urut 4 digit, contoh:</w:t>
      </w:r>
    </w:p>
    <w:p>
      <w:pPr>
        <w:pBdr>
          <w:left w:val="single" w:color="1F7A4D" w:sz="18" w:space="8"/>
        </w:pBdr>
        <w:shd w:fill="F1F6F2"/>
        <w:spacing w:after="120" w:before="60"/>
      </w:pPr>
      <w:r>
        <w:rPr>
          <w:rFonts w:ascii="Consolas" w:cs="Consolas" w:eastAsia="Consolas" w:hAnsi="Consolas"/>
          <w:color w:val="0F1B14"/>
          <w:sz w:val="21"/>
          <w:szCs w:val="21"/>
        </w:rPr>
        <w:t xml:space="preserve">INV/2026/06/0001 , INV/2026/06/0002 , ...</w:t>
      </w:r>
    </w:p>
    <w:p>
      <w:pPr>
        <w:spacing w:after="120" w:line="276"/>
      </w:pPr>
      <w:r>
        <w:rPr>
          <w:sz w:val="22"/>
          <w:szCs w:val="22"/>
        </w:rPr>
        <w:t xml:space="preserve">Nomor dialokasikan di dalam transaksi yang aman dari tabrakan (race-safe), sehingga tidak ada nomor ganda meski beberapa invoice dibuat bersamaan.</w:t>
      </w:r>
    </w:p>
    <w:p>
      <w:pPr>
        <w:pStyle w:val="Heading2"/>
        <w:spacing w:after="90" w:before="220"/>
      </w:pPr>
      <w:r>
        <w:rPr>
          <w:b/>
          <w:bCs/>
          <w:color w:val="0F1B14"/>
          <w:sz w:val="26"/>
          <w:szCs w:val="26"/>
        </w:rPr>
        <w:t xml:space="preserve">6.10 Proyeksi Biaya (Forecast)</w:t>
      </w:r>
    </w:p>
    <w:p>
      <w:pPr>
        <w:spacing w:after="120" w:line="276"/>
      </w:pPr>
      <w:r>
        <w:rPr>
          <w:sz w:val="22"/>
          <w:szCs w:val="22"/>
        </w:rPr>
        <w:t xml:space="preserve">Forecast memproyeksikan biaya akhir secara linear berdasarkan laju pembakaran (burn rate) saat ini. Endpoint finansial mengagregasi timesheet yang disetujui per bulan dan membandingkannya dengan nilai kontrak yang disebar di sepanjang bulan-bulan aktif project.</w:t>
      </w:r>
    </w:p>
    <w:p>
      <w:pPr>
        <w:pStyle w:val="Heading2"/>
        <w:spacing w:after="90" w:before="220"/>
      </w:pPr>
      <w:r>
        <w:rPr>
          <w:b/>
          <w:bCs/>
          <w:color w:val="0F1B14"/>
          <w:sz w:val="26"/>
          <w:szCs w:val="26"/>
        </w:rPr>
        <w:t>6.11 Profit Outlook (Apakah Project Ini Akan Untung?)</w:t>
      </w:r>
    </w:p>
    <w:p>
      <w:pPr>
        <w:spacing w:after="120" w:line="276"/>
      </w:pPr>
      <w:r>
        <w:rPr>
          <w:sz w:val="22"/>
          <w:szCs w:val="22"/>
        </w:rPr>
        <w:t>Profit Outlook menjawab, dalam bahasa sederhana, “apakah project ini akan menghasilkan keuntungan?” tanpa harus menunggu project selesai. Panel ini membandingkan tiga snapshot berdampingan, masing-masing ditampilkan sebagai nilai untung/rugi dalam Rupiah beserta persentase margin:</w:t>
      </w:r>
    </w:p>
    <w:p>
      <w:pPr>
        <w:pStyle w:val="ListParagraph"/>
        <w:numPr>
          <w:ilvl w:val="0"/>
          <w:numId w:val="1"/>
        </w:numPr>
        <w:spacing w:after="60" w:line="268"/>
      </w:pPr>
      <w:r>
        <w:rPr>
          <w:b/>
          <w:bCs/>
          <w:sz w:val="22"/>
          <w:szCs w:val="22"/>
        </w:rPr>
        <w:t xml:space="preserve">Estimasi Awal — </w:t>
      </w:r>
      <w:r>
        <w:rPr>
          <w:b w:val="false"/>
          <w:bCs w:val="false"/>
          <w:sz w:val="22"/>
          <w:szCs w:val="22"/>
        </w:rPr>
        <w:t>rencana yang dicatat saat intake (nilai kontrak dikurangi estimasi biaya).</w:t>
      </w:r>
    </w:p>
    <w:p>
      <w:pPr>
        <w:pStyle w:val="ListParagraph"/>
        <w:numPr>
          <w:ilvl w:val="0"/>
          <w:numId w:val="1"/>
        </w:numPr>
        <w:spacing w:after="60" w:line="268"/>
      </w:pPr>
      <w:r>
        <w:rPr>
          <w:b/>
          <w:bCs/>
          <w:sz w:val="22"/>
          <w:szCs w:val="22"/>
        </w:rPr>
        <w:t xml:space="preserve">Aktual (sejauh ini) — </w:t>
      </w:r>
      <w:r>
        <w:rPr>
          <w:b w:val="false"/>
          <w:bCs w:val="false"/>
          <w:sz w:val="22"/>
          <w:szCs w:val="22"/>
        </w:rPr>
        <w:t>hasil memakai hanya biaya yang sudah disetujui sampai saat ini (nilai kontrak dikurangi actualCost).</w:t>
      </w:r>
    </w:p>
    <w:p>
      <w:pPr>
        <w:pStyle w:val="ListParagraph"/>
        <w:numPr>
          <w:ilvl w:val="0"/>
          <w:numId w:val="1"/>
        </w:numPr>
        <w:spacing w:after="60" w:line="268"/>
      </w:pPr>
      <w:r>
        <w:rPr>
          <w:b/>
          <w:bCs/>
          <w:sz w:val="22"/>
          <w:szCs w:val="22"/>
        </w:rPr>
        <w:t xml:space="preserve">Proyeksi (akhir) — </w:t>
      </w:r>
      <w:r>
        <w:rPr>
          <w:b w:val="false"/>
          <w:bCs w:val="false"/>
          <w:sz w:val="22"/>
          <w:szCs w:val="22"/>
        </w:rPr>
        <w:t>perkiraan saat selesai, dengan menskalakan laju pengeluaran saat ini ke seluruh manday yang direncanakan.</w:t>
      </w:r>
    </w:p>
    <w:p>
      <w:pPr>
        <w:spacing w:after="120" w:line="276"/>
      </w:pPr>
      <w:r>
        <w:rPr>
          <w:sz w:val="22"/>
          <w:szCs w:val="22"/>
        </w:rPr>
        <w:t>Angka proyeksi (akhir) diturunkan dari burn rate:</w:t>
      </w:r>
    </w:p>
    <w:p>
      <w:pPr>
        <w:pBdr>
          <w:left w:val="single" w:color="1F7A4D" w:sz="18" w:space="8"/>
        </w:pBdr>
        <w:shd w:fill="F1F6F2"/>
        <w:spacing w:after="120" w:before="60"/>
      </w:pPr>
      <w:r>
        <w:rPr>
          <w:rFonts w:ascii="Consolas" w:cs="Consolas" w:eastAsia="Consolas" w:hAnsi="Consolas"/>
          <w:color w:val="0F1B14"/>
          <w:sz w:val="21"/>
          <w:szCs w:val="21"/>
        </w:rPr>
        <w:t>avgDailyRate  = resourceCost ÷ actualMandays</w:t>
      </w:r>
    </w:p>
    <w:p>
      <w:pPr>
        <w:pBdr>
          <w:left w:val="single" w:color="1F7A4D" w:sz="18" w:space="8"/>
        </w:pBdr>
        <w:shd w:fill="F1F6F2"/>
        <w:spacing w:after="120" w:before="60"/>
      </w:pPr>
      <w:r>
        <w:rPr>
          <w:rFonts w:ascii="Consolas" w:cs="Consolas" w:eastAsia="Consolas" w:hAnsi="Consolas"/>
          <w:color w:val="0F1B14"/>
          <w:sz w:val="21"/>
          <w:szCs w:val="21"/>
        </w:rPr>
        <w:t>forecastCost  = max(plannedMandays, actualMandays) × avgDailyRate + additionalCost</w:t>
      </w:r>
    </w:p>
    <w:p>
      <w:pPr>
        <w:pBdr>
          <w:left w:val="single" w:color="1F7A4D" w:sz="18" w:space="8"/>
        </w:pBdr>
        <w:shd w:fill="F1F6F2"/>
        <w:spacing w:after="120" w:before="60"/>
      </w:pPr>
      <w:r>
        <w:rPr>
          <w:rFonts w:ascii="Consolas" w:cs="Consolas" w:eastAsia="Consolas" w:hAnsi="Consolas"/>
          <w:color w:val="0F1B14"/>
          <w:sz w:val="21"/>
          <w:szCs w:val="21"/>
        </w:rPr>
        <w:t>forecastProfit = contractValue − forecastCost</w:t>
      </w:r>
    </w:p>
    <w:p>
      <w:pPr>
        <w:spacing w:after="120" w:line="276"/>
      </w:pPr>
      <w:r>
        <w:rPr>
          <w:sz w:val="22"/>
          <w:szCs w:val="22"/>
        </w:rPr>
        <w:t>Sebuah badge status merangkum hasil yang diproyeksikan:</w:t>
      </w:r>
    </w:p>
    <w:p>
      <w:pPr>
        <w:pStyle w:val="ListParagraph"/>
        <w:numPr>
          <w:ilvl w:val="0"/>
          <w:numId w:val="1"/>
        </w:numPr>
        <w:spacing w:after="60" w:line="268"/>
      </w:pPr>
      <w:r>
        <w:rPr>
          <w:b/>
          <w:bCs/>
          <w:sz w:val="22"/>
          <w:szCs w:val="22"/>
        </w:rPr>
        <w:t xml:space="preserve">On Track for Profit — </w:t>
      </w:r>
      <w:r>
        <w:rPr>
          <w:b w:val="false"/>
          <w:bCs w:val="false"/>
          <w:sz w:val="22"/>
          <w:szCs w:val="22"/>
        </w:rPr>
        <w:t>margin akhir yang diproyeksikan sehat.</w:t>
      </w:r>
    </w:p>
    <w:p>
      <w:pPr>
        <w:pStyle w:val="ListParagraph"/>
        <w:numPr>
          <w:ilvl w:val="0"/>
          <w:numId w:val="1"/>
        </w:numPr>
        <w:spacing w:after="60" w:line="268"/>
      </w:pPr>
      <w:r>
        <w:rPr>
          <w:b/>
          <w:bCs/>
          <w:sz w:val="22"/>
          <w:szCs w:val="22"/>
        </w:rPr>
        <w:t xml:space="preserve">Thin Margin — </w:t>
      </w:r>
      <w:r>
        <w:rPr>
          <w:b w:val="false"/>
          <w:bCs w:val="false"/>
          <w:sz w:val="22"/>
          <w:szCs w:val="22"/>
        </w:rPr>
        <w:t>margin akhir yang diproyeksikan di bawah 10%.</w:t>
      </w:r>
    </w:p>
    <w:p>
      <w:pPr>
        <w:pStyle w:val="ListParagraph"/>
        <w:numPr>
          <w:ilvl w:val="0"/>
          <w:numId w:val="1"/>
        </w:numPr>
        <w:spacing w:after="60" w:line="268"/>
      </w:pPr>
      <w:r>
        <w:rPr>
          <w:b/>
          <w:bCs/>
          <w:sz w:val="22"/>
          <w:szCs w:val="22"/>
        </w:rPr>
        <w:t xml:space="preserve">Loss Risk — </w:t>
      </w:r>
      <w:r>
        <w:rPr>
          <w:b w:val="false"/>
          <w:bCs w:val="false"/>
          <w:sz w:val="22"/>
          <w:szCs w:val="22"/>
        </w:rPr>
        <w:t>biaya akhir yang diproyeksikan melebihi nilai kontrak (proyeksi rugi).</w:t>
      </w:r>
    </w:p>
    <w:p>
      <w:pPr>
        <w:pStyle w:val="ListParagraph"/>
        <w:numPr>
          <w:ilvl w:val="0"/>
          <w:numId w:val="1"/>
        </w:numPr>
        <w:spacing w:after="60" w:line="268"/>
      </w:pPr>
      <w:r>
        <w:rPr>
          <w:b/>
          <w:bCs/>
          <w:sz w:val="22"/>
          <w:szCs w:val="22"/>
        </w:rPr>
        <w:t xml:space="preserve">Too Early to Tell — </w:t>
      </w:r>
      <w:r>
        <w:rPr>
          <w:b w:val="false"/>
          <w:bCs w:val="false"/>
          <w:sz w:val="22"/>
          <w:szCs w:val="22"/>
        </w:rPr>
        <w:t>pekerjaan sudah dimulai tetapi kurang dari 20% manday yang direncanakan tercatat, sehingga proyeksi bertumpu pada sampel yang terlalu kecil untuk dipercaya. Putusan untung/rugi ditahan sampai lebih banyak pekerjaan tercatat.</w:t>
      </w:r>
    </w:p>
    <w:p>
      <w:pPr>
        <w:spacing w:after="120" w:line="276"/>
      </w:pPr>
      <w:r>
        <w:rPr>
          <w:sz w:val="22"/>
          <w:szCs w:val="22"/>
        </w:rPr>
        <w:t>Setiap proyeksi juga menyertakan keterangan seperti “Proyeksi berdasarkan laju pengeluaran saat ini · X% pekerjaan selesai”, sehingga selalu jelas bahwa angka tersebut adalah perkiraan dan berapa banyak pekerjaan nyata yang menjadi dasarnya.</w:t>
      </w:r>
    </w:p>
    <w:p>
      <w:pPr>
        <w:spacing w:after="120" w:line="276"/>
      </w:pPr>
      <w:r>
        <w:rPr>
          <w:sz w:val="22"/>
          <w:szCs w:val="22"/>
        </w:rPr>
        <w:t>Mengapa MARGIN bisa positif sementara Profit Outlook menunjukkan proyeksi rugi? Keduanya menjawab pertanyaan yang berbeda. MARGIN dan Project Health melihat ke belakang pada biaya yang sudah terjadi sejauh ini — di awal project hanya sedikit biaya yang tercatat, sehingga margin tampak tinggi secara alami. Profit Outlook melihat ke depan, memproyeksikan biaya akhir dari laju pengeluaran saat ini. Jika tim saat ini mengeluarkan biaya per manday lebih cepat daripada yang direncanakan, biaya akhir yang diproyeksikan dapat melebihi nilai kontrak meskipun margin hari ini masih tampak sehat. Ini memang dirancang demikian — ini adalah peringatan dini, bukan kesalahan perhitungan.</w:t>
      </w:r>
    </w:p>
    <w:p>
      <w:pPr>
        <w:pStyle w:val="Heading2"/>
        <w:spacing w:after="90" w:before="220"/>
      </w:pPr>
      <w:r>
        <w:rPr>
          <w:b/>
          <w:bCs/>
          <w:color w:val="0F1B14"/>
          <w:sz w:val="26"/>
          <w:szCs w:val="26"/>
        </w:rPr>
        <w:t>6.12 Skor Project Health</w:t>
      </w:r>
    </w:p>
    <w:p>
      <w:pPr>
        <w:spacing w:after="120" w:line="276"/>
      </w:pPr>
      <w:r>
        <w:rPr>
          <w:sz w:val="22"/>
          <w:szCs w:val="22"/>
        </w:rPr>
        <w:t>Setiap project juga memiliki skor Health dari 0 hingga 100, ditampilkan sebagai badge berwarna (Healthy / At Risk / Critical). Skor ini memadukan lima sinyal berbobot menjadi satu angka sehingga manajer dapat melihat masalah secara sekilas:</w:t>
      </w:r>
    </w:p>
    <w:p>
      <w:pPr>
        <w:pStyle w:val="ListParagraph"/>
        <w:numPr>
          <w:ilvl w:val="0"/>
          <w:numId w:val="1"/>
        </w:numPr>
        <w:spacing w:after="60" w:line="268"/>
      </w:pPr>
      <w:r>
        <w:rPr>
          <w:b/>
          <w:bCs/>
          <w:sz w:val="22"/>
          <w:szCs w:val="22"/>
        </w:rPr>
        <w:t xml:space="preserve">Margin (30%) — </w:t>
      </w:r>
      <w:r>
        <w:rPr>
          <w:b w:val="false"/>
          <w:bCs w:val="false"/>
          <w:sz w:val="22"/>
          <w:szCs w:val="22"/>
        </w:rPr>
        <w:t>margin aktual dibandingkan dengan margin estimasi.</w:t>
      </w:r>
    </w:p>
    <w:p>
      <w:pPr>
        <w:pStyle w:val="ListParagraph"/>
        <w:numPr>
          <w:ilvl w:val="0"/>
          <w:numId w:val="1"/>
        </w:numPr>
        <w:spacing w:after="60" w:line="268"/>
      </w:pPr>
      <w:r>
        <w:rPr>
          <w:b/>
          <w:bCs/>
          <w:sz w:val="22"/>
          <w:szCs w:val="22"/>
        </w:rPr>
        <w:t xml:space="preserve">RAID (20%) — </w:t>
      </w:r>
      <w:r>
        <w:rPr>
          <w:b w:val="false"/>
          <w:bCs w:val="false"/>
          <w:sz w:val="22"/>
          <w:szCs w:val="22"/>
        </w:rPr>
        <w:t>jumlah dan tingkat keparahan risiko serta isu yang terbuka.</w:t>
      </w:r>
    </w:p>
    <w:p>
      <w:pPr>
        <w:pStyle w:val="ListParagraph"/>
        <w:numPr>
          <w:ilvl w:val="0"/>
          <w:numId w:val="1"/>
        </w:numPr>
        <w:spacing w:after="60" w:line="268"/>
      </w:pPr>
      <w:r>
        <w:rPr>
          <w:b/>
          <w:bCs/>
          <w:sz w:val="22"/>
          <w:szCs w:val="22"/>
        </w:rPr>
        <w:t xml:space="preserve">Expenses (15%) — </w:t>
      </w:r>
      <w:r>
        <w:rPr>
          <w:b w:val="false"/>
          <w:bCs w:val="false"/>
          <w:sz w:val="22"/>
          <w:szCs w:val="22"/>
        </w:rPr>
        <w:t>biaya yang masih menunggu persetujuan.</w:t>
      </w:r>
    </w:p>
    <w:p>
      <w:pPr>
        <w:pStyle w:val="ListParagraph"/>
        <w:numPr>
          <w:ilvl w:val="0"/>
          <w:numId w:val="1"/>
        </w:numPr>
        <w:spacing w:after="60" w:line="268"/>
      </w:pPr>
      <w:r>
        <w:rPr>
          <w:b/>
          <w:bCs/>
          <w:sz w:val="22"/>
          <w:szCs w:val="22"/>
        </w:rPr>
        <w:t xml:space="preserve">Billing (20%) — </w:t>
      </w:r>
      <w:r>
        <w:rPr>
          <w:b w:val="false"/>
          <w:bCs w:val="false"/>
          <w:sz w:val="22"/>
          <w:szCs w:val="22"/>
        </w:rPr>
        <w:t>kemajuan termin dan invoice yang jatuh tempo.</w:t>
      </w:r>
    </w:p>
    <w:p>
      <w:pPr>
        <w:pStyle w:val="ListParagraph"/>
        <w:numPr>
          <w:ilvl w:val="0"/>
          <w:numId w:val="1"/>
        </w:numPr>
        <w:spacing w:after="60" w:line="268"/>
      </w:pPr>
      <w:r>
        <w:rPr>
          <w:b/>
          <w:bCs/>
          <w:sz w:val="22"/>
          <w:szCs w:val="22"/>
        </w:rPr>
        <w:t xml:space="preserve">Schedule (15%) — </w:t>
      </w:r>
      <w:r>
        <w:rPr>
          <w:b w:val="false"/>
          <w:bCs w:val="false"/>
          <w:sz w:val="22"/>
          <w:szCs w:val="22"/>
        </w:rPr>
        <w:t>kemajuan tugas terhadap timeline yang direncanakan.</w:t>
      </w:r>
    </w:p>
    <w:p>
      <w:pPr>
        <w:spacing w:after="120" w:line="276"/>
      </w:pPr>
      <w:r>
        <w:rPr>
          <w:sz w:val="22"/>
          <w:szCs w:val="22"/>
        </w:rPr>
        <w:t>Seperti angka finansial lainnya, Project Health disembunyikan dari peran tanpa visibilitas finansial (Principal, tim delivery, dan HR).</w:t>
      </w:r>
    </w:p>
    <w:p>
      <w:pPr>
        <w:pStyle w:val="Heading2"/>
        <w:spacing w:after="90" w:before="220"/>
      </w:pPr>
      <w:r>
        <w:rPr>
          <w:b/>
          <w:bCs/>
          <w:color w:val="0F1B14"/>
          <w:sz w:val="26"/>
          <w:szCs w:val="26"/>
        </w:rPr>
        <w:t>6.13 Rekap PPN (VAT Recap)</w:t>
      </w:r>
    </w:p>
    <w:p>
      <w:pPr>
        <w:spacing w:after="120" w:line="276"/>
      </w:pPr>
      <w:r>
        <w:rPr>
          <w:sz w:val="22"/>
          <w:szCs w:val="22"/>
        </w:rPr>
        <w:t xml:space="preserve">Rekap PPN menjumlahkan seluruh invoice berstatus INVOICED dan PAID ke dalam rincian 12 bulan + total tahunan, untuk kebutuhan pelaporan pajak.</w:t>
      </w:r>
    </w:p>
    <w:p>
      <w:pPr>
        <w:pStyle w:val="Heading2"/>
        <w:spacing w:after="90" w:before="220"/>
      </w:pPr>
      <w:r>
        <w:rPr>
          <w:b/>
          <w:bCs/>
          <w:color w:val="0F1B14"/>
          <w:sz w:val="26"/>
          <w:szCs w:val="26"/>
        </w:rPr>
        <w:t>6.14 Utilisasi Sumber Daya</w:t>
      </w:r>
    </w:p>
    <w:p>
      <w:pPr>
        <w:spacing w:after="120" w:line="276"/>
      </w:pPr>
      <w:r>
        <w:rPr>
          <w:sz w:val="22"/>
          <w:szCs w:val="22"/>
        </w:rPr>
        <w:t xml:space="preserve">Perencanaan sumber daya menampilkan beban manday per minggu per orang/unit bisnis, dengan memperhitungkan cuti (UserLeave). Ini dipakai untuk memantau utilisasi konsultan dan mengidentifikasi bench (kapasitas menganggur).</w:t>
      </w:r>
    </w:p>
    <w:p>
      <w:r>
        <w:br w:type="page"/>
      </w:r>
    </w:p>
    <w:p>
      <w:pPr>
        <w:pStyle w:val="Heading1"/>
        <w:spacing w:after="140" w:before="360"/>
      </w:pPr>
      <w:r>
        <w:rPr>
          <w:b/>
          <w:bCs/>
          <w:color w:val="1F7A4D"/>
          <w:sz w:val="30"/>
          <w:szCs w:val="30"/>
        </w:rPr>
        <w:t xml:space="preserve">7. Contoh Perhitungan Menyeluruh</w:t>
      </w:r>
    </w:p>
    <w:p>
      <w:pPr>
        <w:spacing w:after="120" w:line="276"/>
      </w:pPr>
      <w:r>
        <w:rPr>
          <w:sz w:val="22"/>
          <w:szCs w:val="22"/>
        </w:rPr>
        <w:t xml:space="preserve">Berikut contoh angka (ilustrasi) untuk menggambarkan bagaimana semua rumus saling terhubung pada satu project.</w:t>
      </w:r>
    </w:p>
    <w:p>
      <w:pPr>
        <w:pStyle w:val="Heading3"/>
        <w:spacing w:after="70" w:before="160"/>
      </w:pPr>
      <w:r>
        <w:rPr>
          <w:b/>
          <w:bCs/>
          <w:color w:val="0F1B14"/>
          <w:sz w:val="23"/>
          <w:szCs w:val="23"/>
        </w:rPr>
        <w:t xml:space="preserve">Asumsi project</w:t>
      </w:r>
    </w:p>
    <w:tbl>
      <w:tblPr>
        <w:tblW w:type="pct" w:w="100%"/>
        <w:tblBorders>
          <w:top w:val="single" w:color="CCCCCC" w:sz="4"/>
          <w:left w:val="single" w:color="CCCCCC" w:sz="4"/>
          <w:bottom w:val="single" w:color="CCCCCC" w:sz="4"/>
          <w:right w:val="single" w:color="CCCCCC" w:sz="4"/>
          <w:insideH w:val="single" w:color="DDDDDD" w:sz="2"/>
          <w:insideV w:val="single" w:color="DDDDDD" w:sz="2"/>
        </w:tblBorders>
      </w:tblPr>
      <w:tblGrid>
        <w:gridCol w:w="100"/>
        <w:gridCol w:w="100"/>
      </w:tblGrid>
      <w:tr>
        <w:trPr>
          <w:tblHeader/>
        </w:trPr>
        <w:tc>
          <w:tcPr>
            <w:tcW w:type="pct" w:w="60%"/>
            <w:shd w:fill="1F7A4D"/>
            <w:tcMar>
              <w:top w:type="dxa" w:w="60"/>
              <w:left w:type="dxa" w:w="90"/>
              <w:bottom w:type="dxa" w:w="60"/>
              <w:right w:type="dxa" w:w="90"/>
            </w:tcMar>
          </w:tcPr>
          <w:p>
            <w:r>
              <w:rPr>
                <w:b/>
                <w:bCs/>
                <w:color w:val="FFFFFF"/>
                <w:sz w:val="20"/>
                <w:szCs w:val="20"/>
              </w:rPr>
              <w:t xml:space="preserve">Parameter</w:t>
            </w:r>
          </w:p>
        </w:tc>
        <w:tc>
          <w:tcPr>
            <w:tcW w:type="pct" w:w="40%"/>
            <w:shd w:fill="1F7A4D"/>
            <w:tcMar>
              <w:top w:type="dxa" w:w="60"/>
              <w:left w:type="dxa" w:w="90"/>
              <w:bottom w:type="dxa" w:w="60"/>
              <w:right w:type="dxa" w:w="90"/>
            </w:tcMar>
          </w:tcPr>
          <w:p>
            <w:r>
              <w:rPr>
                <w:b/>
                <w:bCs/>
                <w:color w:val="FFFFFF"/>
                <w:sz w:val="20"/>
                <w:szCs w:val="20"/>
              </w:rPr>
              <w:t xml:space="preserve">Nilai</w:t>
            </w:r>
          </w:p>
        </w:tc>
      </w:tr>
      <w:tr>
        <w:tc>
          <w:tcPr>
            <w:tcW w:type="pct" w:w="60%"/>
            <w:tcMar>
              <w:top w:type="dxa" w:w="60"/>
              <w:left w:type="dxa" w:w="90"/>
              <w:bottom w:type="dxa" w:w="60"/>
              <w:right w:type="dxa" w:w="90"/>
            </w:tcMar>
          </w:tcPr>
          <w:p>
            <w:r>
              <w:rPr>
                <w:color w:val="0F1B14"/>
                <w:sz w:val="20"/>
                <w:szCs w:val="20"/>
              </w:rPr>
              <w:t xml:space="preserve">Nilai kontrak (termasuk PPN 11%)</w:t>
            </w:r>
          </w:p>
        </w:tc>
        <w:tc>
          <w:tcPr>
            <w:tcW w:type="pct" w:w="40%"/>
            <w:tcMar>
              <w:top w:type="dxa" w:w="60"/>
              <w:left w:type="dxa" w:w="90"/>
              <w:bottom w:type="dxa" w:w="60"/>
              <w:right w:type="dxa" w:w="90"/>
            </w:tcMar>
          </w:tcPr>
          <w:p>
            <w:r>
              <w:rPr>
                <w:color w:val="0F1B14"/>
                <w:sz w:val="20"/>
                <w:szCs w:val="20"/>
              </w:rPr>
              <w:t xml:space="preserve">Rp 1.000.000.000</w:t>
            </w:r>
          </w:p>
        </w:tc>
      </w:tr>
      <w:tr>
        <w:tc>
          <w:tcPr>
            <w:tcW w:type="pct" w:w="60%"/>
            <w:shd w:fill="F1F6F2"/>
            <w:tcMar>
              <w:top w:type="dxa" w:w="60"/>
              <w:left w:type="dxa" w:w="90"/>
              <w:bottom w:type="dxa" w:w="60"/>
              <w:right w:type="dxa" w:w="90"/>
            </w:tcMar>
          </w:tcPr>
          <w:p>
            <w:r>
              <w:rPr>
                <w:color w:val="0F1B14"/>
                <w:sz w:val="20"/>
                <w:szCs w:val="20"/>
              </w:rPr>
              <w:t xml:space="preserve">Manday direncanakan</w:t>
            </w:r>
          </w:p>
        </w:tc>
        <w:tc>
          <w:tcPr>
            <w:tcW w:type="pct" w:w="40%"/>
            <w:shd w:fill="F1F6F2"/>
            <w:tcMar>
              <w:top w:type="dxa" w:w="60"/>
              <w:left w:type="dxa" w:w="90"/>
              <w:bottom w:type="dxa" w:w="60"/>
              <w:right w:type="dxa" w:w="90"/>
            </w:tcMar>
          </w:tcPr>
          <w:p>
            <w:r>
              <w:rPr>
                <w:color w:val="0F1B14"/>
                <w:sz w:val="20"/>
                <w:szCs w:val="20"/>
              </w:rPr>
              <w:t xml:space="preserve">100 hari</w:t>
            </w:r>
          </w:p>
        </w:tc>
      </w:tr>
      <w:tr>
        <w:tc>
          <w:tcPr>
            <w:tcW w:type="pct" w:w="60%"/>
            <w:tcMar>
              <w:top w:type="dxa" w:w="60"/>
              <w:left w:type="dxa" w:w="90"/>
              <w:bottom w:type="dxa" w:w="60"/>
              <w:right w:type="dxa" w:w="90"/>
            </w:tcMar>
          </w:tcPr>
          <w:p>
            <w:r>
              <w:rPr>
                <w:color w:val="0F1B14"/>
                <w:sz w:val="20"/>
                <w:szCs w:val="20"/>
              </w:rPr>
              <w:t xml:space="preserve">Konsultan A — tarif harian</w:t>
            </w:r>
          </w:p>
        </w:tc>
        <w:tc>
          <w:tcPr>
            <w:tcW w:type="pct" w:w="40%"/>
            <w:tcMar>
              <w:top w:type="dxa" w:w="60"/>
              <w:left w:type="dxa" w:w="90"/>
              <w:bottom w:type="dxa" w:w="60"/>
              <w:right w:type="dxa" w:w="90"/>
            </w:tcMar>
          </w:tcPr>
          <w:p>
            <w:r>
              <w:rPr>
                <w:color w:val="0F1B14"/>
                <w:sz w:val="20"/>
                <w:szCs w:val="20"/>
              </w:rPr>
              <w:t xml:space="preserve">Rp 2.000.000</w:t>
            </w:r>
          </w:p>
        </w:tc>
      </w:tr>
      <w:tr>
        <w:tc>
          <w:tcPr>
            <w:tcW w:type="pct" w:w="60%"/>
            <w:shd w:fill="F1F6F2"/>
            <w:tcMar>
              <w:top w:type="dxa" w:w="60"/>
              <w:left w:type="dxa" w:w="90"/>
              <w:bottom w:type="dxa" w:w="60"/>
              <w:right w:type="dxa" w:w="90"/>
            </w:tcMar>
          </w:tcPr>
          <w:p>
            <w:r>
              <w:rPr>
                <w:color w:val="0F1B14"/>
                <w:sz w:val="20"/>
                <w:szCs w:val="20"/>
              </w:rPr>
              <w:t xml:space="preserve">Konsultan A — timesheet disetujui</w:t>
            </w:r>
          </w:p>
        </w:tc>
        <w:tc>
          <w:tcPr>
            <w:tcW w:type="pct" w:w="40%"/>
            <w:shd w:fill="F1F6F2"/>
            <w:tcMar>
              <w:top w:type="dxa" w:w="60"/>
              <w:left w:type="dxa" w:w="90"/>
              <w:bottom w:type="dxa" w:w="60"/>
              <w:right w:type="dxa" w:w="90"/>
            </w:tcMar>
          </w:tcPr>
          <w:p>
            <w:r>
              <w:rPr>
                <w:color w:val="0F1B14"/>
                <w:sz w:val="20"/>
                <w:szCs w:val="20"/>
              </w:rPr>
              <w:t xml:space="preserve">320 jam (= 40 hari)</w:t>
            </w:r>
          </w:p>
        </w:tc>
      </w:tr>
      <w:tr>
        <w:tc>
          <w:tcPr>
            <w:tcW w:type="pct" w:w="60%"/>
            <w:tcMar>
              <w:top w:type="dxa" w:w="60"/>
              <w:left w:type="dxa" w:w="90"/>
              <w:bottom w:type="dxa" w:w="60"/>
              <w:right w:type="dxa" w:w="90"/>
            </w:tcMar>
          </w:tcPr>
          <w:p>
            <w:r>
              <w:rPr>
                <w:color w:val="0F1B14"/>
                <w:sz w:val="20"/>
                <w:szCs w:val="20"/>
              </w:rPr>
              <w:t xml:space="preserve">Konsultan B — tarif harian</w:t>
            </w:r>
          </w:p>
        </w:tc>
        <w:tc>
          <w:tcPr>
            <w:tcW w:type="pct" w:w="40%"/>
            <w:tcMar>
              <w:top w:type="dxa" w:w="60"/>
              <w:left w:type="dxa" w:w="90"/>
              <w:bottom w:type="dxa" w:w="60"/>
              <w:right w:type="dxa" w:w="90"/>
            </w:tcMar>
          </w:tcPr>
          <w:p>
            <w:r>
              <w:rPr>
                <w:color w:val="0F1B14"/>
                <w:sz w:val="20"/>
                <w:szCs w:val="20"/>
              </w:rPr>
              <w:t xml:space="preserve">Rp 1.500.000</w:t>
            </w:r>
          </w:p>
        </w:tc>
      </w:tr>
      <w:tr>
        <w:tc>
          <w:tcPr>
            <w:tcW w:type="pct" w:w="60%"/>
            <w:shd w:fill="F1F6F2"/>
            <w:tcMar>
              <w:top w:type="dxa" w:w="60"/>
              <w:left w:type="dxa" w:w="90"/>
              <w:bottom w:type="dxa" w:w="60"/>
              <w:right w:type="dxa" w:w="90"/>
            </w:tcMar>
          </w:tcPr>
          <w:p>
            <w:r>
              <w:rPr>
                <w:color w:val="0F1B14"/>
                <w:sz w:val="20"/>
                <w:szCs w:val="20"/>
              </w:rPr>
              <w:t xml:space="preserve">Konsultan B — timesheet disetujui</w:t>
            </w:r>
          </w:p>
        </w:tc>
        <w:tc>
          <w:tcPr>
            <w:tcW w:type="pct" w:w="40%"/>
            <w:shd w:fill="F1F6F2"/>
            <w:tcMar>
              <w:top w:type="dxa" w:w="60"/>
              <w:left w:type="dxa" w:w="90"/>
              <w:bottom w:type="dxa" w:w="60"/>
              <w:right w:type="dxa" w:w="90"/>
            </w:tcMar>
          </w:tcPr>
          <w:p>
            <w:r>
              <w:rPr>
                <w:color w:val="0F1B14"/>
                <w:sz w:val="20"/>
                <w:szCs w:val="20"/>
              </w:rPr>
              <w:t xml:space="preserve">160 jam (= 20 hari)</w:t>
            </w:r>
          </w:p>
        </w:tc>
      </w:tr>
      <w:tr>
        <w:tc>
          <w:tcPr>
            <w:tcW w:type="pct" w:w="60%"/>
            <w:tcMar>
              <w:top w:type="dxa" w:w="60"/>
              <w:left w:type="dxa" w:w="90"/>
              <w:bottom w:type="dxa" w:w="60"/>
              <w:right w:type="dxa" w:w="90"/>
            </w:tcMar>
          </w:tcPr>
          <w:p>
            <w:r>
              <w:rPr>
                <w:color w:val="0F1B14"/>
                <w:sz w:val="20"/>
                <w:szCs w:val="20"/>
              </w:rPr>
              <w:t xml:space="preserve">Biaya tambahan disetujui (lisensi)</w:t>
            </w:r>
          </w:p>
        </w:tc>
        <w:tc>
          <w:tcPr>
            <w:tcW w:type="pct" w:w="40%"/>
            <w:tcMar>
              <w:top w:type="dxa" w:w="60"/>
              <w:left w:type="dxa" w:w="90"/>
              <w:bottom w:type="dxa" w:w="60"/>
              <w:right w:type="dxa" w:w="90"/>
            </w:tcMar>
          </w:tcPr>
          <w:p>
            <w:r>
              <w:rPr>
                <w:color w:val="0F1B14"/>
                <w:sz w:val="20"/>
                <w:szCs w:val="20"/>
              </w:rPr>
              <w:t xml:space="preserve">Rp 20.000.000</w:t>
            </w:r>
          </w:p>
        </w:tc>
      </w:tr>
      <w:tr>
        <w:tc>
          <w:tcPr>
            <w:tcW w:type="pct" w:w="60%"/>
            <w:shd w:fill="F1F6F2"/>
            <w:tcMar>
              <w:top w:type="dxa" w:w="60"/>
              <w:left w:type="dxa" w:w="90"/>
              <w:bottom w:type="dxa" w:w="60"/>
              <w:right w:type="dxa" w:w="90"/>
            </w:tcMar>
          </w:tcPr>
          <w:p>
            <w:r>
              <w:rPr>
                <w:color w:val="0F1B14"/>
                <w:sz w:val="20"/>
                <w:szCs w:val="20"/>
              </w:rPr>
              <w:t xml:space="preserve">Faktor overhead (ilustrasi)</w:t>
            </w:r>
          </w:p>
        </w:tc>
        <w:tc>
          <w:tcPr>
            <w:tcW w:type="pct" w:w="40%"/>
            <w:shd w:fill="F1F6F2"/>
            <w:tcMar>
              <w:top w:type="dxa" w:w="60"/>
              <w:left w:type="dxa" w:w="90"/>
              <w:bottom w:type="dxa" w:w="60"/>
              <w:right w:type="dxa" w:w="90"/>
            </w:tcMar>
          </w:tcPr>
          <w:p>
            <w:r>
              <w:rPr>
                <w:color w:val="0F1B14"/>
                <w:sz w:val="20"/>
                <w:szCs w:val="20"/>
              </w:rPr>
              <w:t xml:space="preserve">1,30</w:t>
            </w:r>
          </w:p>
        </w:tc>
      </w:tr>
    </w:tbl>
    <w:p>
      <w:pPr>
        <w:pStyle w:val="Heading3"/>
        <w:spacing w:after="70" w:before="160"/>
      </w:pPr>
      <w:r>
        <w:rPr>
          <w:b/>
          <w:bCs/>
          <w:color w:val="0F1B14"/>
          <w:sz w:val="23"/>
          <w:szCs w:val="23"/>
        </w:rPr>
        <w:t xml:space="preserve">Hasil perhitungan</w:t>
      </w:r>
    </w:p>
    <w:tbl>
      <w:tblPr>
        <w:tblW w:type="pct" w:w="100%"/>
        <w:tblBorders>
          <w:top w:val="single" w:color="CCCCCC" w:sz="4"/>
          <w:left w:val="single" w:color="CCCCCC" w:sz="4"/>
          <w:bottom w:val="single" w:color="CCCCCC" w:sz="4"/>
          <w:right w:val="single" w:color="CCCCCC" w:sz="4"/>
          <w:insideH w:val="single" w:color="DDDDDD" w:sz="2"/>
          <w:insideV w:val="single" w:color="DDDDDD" w:sz="2"/>
        </w:tblBorders>
      </w:tblPr>
      <w:tblGrid>
        <w:gridCol w:w="100"/>
        <w:gridCol w:w="100"/>
        <w:gridCol w:w="100"/>
      </w:tblGrid>
      <w:tr>
        <w:trPr>
          <w:tblHeader/>
        </w:trPr>
        <w:tc>
          <w:tcPr>
            <w:tcW w:type="pct" w:w="24%"/>
            <w:shd w:fill="1F7A4D"/>
            <w:tcMar>
              <w:top w:type="dxa" w:w="60"/>
              <w:left w:type="dxa" w:w="90"/>
              <w:bottom w:type="dxa" w:w="60"/>
              <w:right w:type="dxa" w:w="90"/>
            </w:tcMar>
          </w:tcPr>
          <w:p>
            <w:r>
              <w:rPr>
                <w:b/>
                <w:bCs/>
                <w:color w:val="FFFFFF"/>
                <w:sz w:val="20"/>
                <w:szCs w:val="20"/>
              </w:rPr>
              <w:t xml:space="preserve">Komponen</w:t>
            </w:r>
          </w:p>
        </w:tc>
        <w:tc>
          <w:tcPr>
            <w:tcW w:type="pct" w:w="46%"/>
            <w:shd w:fill="1F7A4D"/>
            <w:tcMar>
              <w:top w:type="dxa" w:w="60"/>
              <w:left w:type="dxa" w:w="90"/>
              <w:bottom w:type="dxa" w:w="60"/>
              <w:right w:type="dxa" w:w="90"/>
            </w:tcMar>
          </w:tcPr>
          <w:p>
            <w:r>
              <w:rPr>
                <w:b/>
                <w:bCs/>
                <w:color w:val="FFFFFF"/>
                <w:sz w:val="20"/>
                <w:szCs w:val="20"/>
              </w:rPr>
              <w:t xml:space="preserve">Perhitungan</w:t>
            </w:r>
          </w:p>
        </w:tc>
        <w:tc>
          <w:tcPr>
            <w:tcW w:type="pct" w:w="30%"/>
            <w:shd w:fill="1F7A4D"/>
            <w:tcMar>
              <w:top w:type="dxa" w:w="60"/>
              <w:left w:type="dxa" w:w="90"/>
              <w:bottom w:type="dxa" w:w="60"/>
              <w:right w:type="dxa" w:w="90"/>
            </w:tcMar>
          </w:tcPr>
          <w:p>
            <w:r>
              <w:rPr>
                <w:b/>
                <w:bCs/>
                <w:color w:val="FFFFFF"/>
                <w:sz w:val="20"/>
                <w:szCs w:val="20"/>
              </w:rPr>
              <w:t xml:space="preserve">Hasil</w:t>
            </w:r>
          </w:p>
        </w:tc>
      </w:tr>
      <w:tr>
        <w:tc>
          <w:tcPr>
            <w:tcW w:type="pct" w:w="24%"/>
            <w:tcMar>
              <w:top w:type="dxa" w:w="60"/>
              <w:left w:type="dxa" w:w="90"/>
              <w:bottom w:type="dxa" w:w="60"/>
              <w:right w:type="dxa" w:w="90"/>
            </w:tcMar>
          </w:tcPr>
          <w:p>
            <w:r>
              <w:rPr>
                <w:color w:val="0F1B14"/>
                <w:sz w:val="20"/>
                <w:szCs w:val="20"/>
              </w:rPr>
              <w:t xml:space="preserve">resourceCost</w:t>
            </w:r>
          </w:p>
        </w:tc>
        <w:tc>
          <w:tcPr>
            <w:tcW w:type="pct" w:w="46%"/>
            <w:tcMar>
              <w:top w:type="dxa" w:w="60"/>
              <w:left w:type="dxa" w:w="90"/>
              <w:bottom w:type="dxa" w:w="60"/>
              <w:right w:type="dxa" w:w="90"/>
            </w:tcMar>
          </w:tcPr>
          <w:p>
            <w:r>
              <w:rPr>
                <w:color w:val="0F1B14"/>
                <w:sz w:val="20"/>
                <w:szCs w:val="20"/>
              </w:rPr>
              <w:t xml:space="preserve">(40 × 2.000.000) + (20 × 1.500.000)</w:t>
            </w:r>
          </w:p>
        </w:tc>
        <w:tc>
          <w:tcPr>
            <w:tcW w:type="pct" w:w="30%"/>
            <w:tcMar>
              <w:top w:type="dxa" w:w="60"/>
              <w:left w:type="dxa" w:w="90"/>
              <w:bottom w:type="dxa" w:w="60"/>
              <w:right w:type="dxa" w:w="90"/>
            </w:tcMar>
          </w:tcPr>
          <w:p>
            <w:r>
              <w:rPr>
                <w:color w:val="0F1B14"/>
                <w:sz w:val="20"/>
                <w:szCs w:val="20"/>
              </w:rPr>
              <w:t xml:space="preserve">Rp 110.000.000</w:t>
            </w:r>
          </w:p>
        </w:tc>
      </w:tr>
      <w:tr>
        <w:tc>
          <w:tcPr>
            <w:tcW w:type="pct" w:w="24%"/>
            <w:shd w:fill="F1F6F2"/>
            <w:tcMar>
              <w:top w:type="dxa" w:w="60"/>
              <w:left w:type="dxa" w:w="90"/>
              <w:bottom w:type="dxa" w:w="60"/>
              <w:right w:type="dxa" w:w="90"/>
            </w:tcMar>
          </w:tcPr>
          <w:p>
            <w:r>
              <w:rPr>
                <w:color w:val="0F1B14"/>
                <w:sz w:val="20"/>
                <w:szCs w:val="20"/>
              </w:rPr>
              <w:t xml:space="preserve">additionalCost</w:t>
            </w:r>
          </w:p>
        </w:tc>
        <w:tc>
          <w:tcPr>
            <w:tcW w:type="pct" w:w="46%"/>
            <w:shd w:fill="F1F6F2"/>
            <w:tcMar>
              <w:top w:type="dxa" w:w="60"/>
              <w:left w:type="dxa" w:w="90"/>
              <w:bottom w:type="dxa" w:w="60"/>
              <w:right w:type="dxa" w:w="90"/>
            </w:tcMar>
          </w:tcPr>
          <w:p>
            <w:r>
              <w:rPr>
                <w:color w:val="0F1B14"/>
                <w:sz w:val="20"/>
                <w:szCs w:val="20"/>
              </w:rPr>
              <w:t xml:space="preserve">lisensi disetujui</w:t>
            </w:r>
          </w:p>
        </w:tc>
        <w:tc>
          <w:tcPr>
            <w:tcW w:type="pct" w:w="30%"/>
            <w:shd w:fill="F1F6F2"/>
            <w:tcMar>
              <w:top w:type="dxa" w:w="60"/>
              <w:left w:type="dxa" w:w="90"/>
              <w:bottom w:type="dxa" w:w="60"/>
              <w:right w:type="dxa" w:w="90"/>
            </w:tcMar>
          </w:tcPr>
          <w:p>
            <w:r>
              <w:rPr>
                <w:color w:val="0F1B14"/>
                <w:sz w:val="20"/>
                <w:szCs w:val="20"/>
              </w:rPr>
              <w:t xml:space="preserve">Rp 20.000.000</w:t>
            </w:r>
          </w:p>
        </w:tc>
      </w:tr>
      <w:tr>
        <w:tc>
          <w:tcPr>
            <w:tcW w:type="pct" w:w="24%"/>
            <w:tcMar>
              <w:top w:type="dxa" w:w="60"/>
              <w:left w:type="dxa" w:w="90"/>
              <w:bottom w:type="dxa" w:w="60"/>
              <w:right w:type="dxa" w:w="90"/>
            </w:tcMar>
          </w:tcPr>
          <w:p>
            <w:r>
              <w:rPr>
                <w:color w:val="0F1B14"/>
                <w:sz w:val="20"/>
                <w:szCs w:val="20"/>
              </w:rPr>
              <w:t xml:space="preserve">actualCost</w:t>
            </w:r>
          </w:p>
        </w:tc>
        <w:tc>
          <w:tcPr>
            <w:tcW w:type="pct" w:w="46%"/>
            <w:tcMar>
              <w:top w:type="dxa" w:w="60"/>
              <w:left w:type="dxa" w:w="90"/>
              <w:bottom w:type="dxa" w:w="60"/>
              <w:right w:type="dxa" w:w="90"/>
            </w:tcMar>
          </w:tcPr>
          <w:p>
            <w:r>
              <w:rPr>
                <w:color w:val="0F1B14"/>
                <w:sz w:val="20"/>
                <w:szCs w:val="20"/>
              </w:rPr>
              <w:t xml:space="preserve">110.000.000 + 20.000.000</w:t>
            </w:r>
          </w:p>
        </w:tc>
        <w:tc>
          <w:tcPr>
            <w:tcW w:type="pct" w:w="30%"/>
            <w:tcMar>
              <w:top w:type="dxa" w:w="60"/>
              <w:left w:type="dxa" w:w="90"/>
              <w:bottom w:type="dxa" w:w="60"/>
              <w:right w:type="dxa" w:w="90"/>
            </w:tcMar>
          </w:tcPr>
          <w:p>
            <w:r>
              <w:rPr>
                <w:color w:val="0F1B14"/>
                <w:sz w:val="20"/>
                <w:szCs w:val="20"/>
              </w:rPr>
              <w:t xml:space="preserve">Rp 130.000.000</w:t>
            </w:r>
          </w:p>
        </w:tc>
      </w:tr>
      <w:tr>
        <w:tc>
          <w:tcPr>
            <w:tcW w:type="pct" w:w="24%"/>
            <w:shd w:fill="F1F6F2"/>
            <w:tcMar>
              <w:top w:type="dxa" w:w="60"/>
              <w:left w:type="dxa" w:w="90"/>
              <w:bottom w:type="dxa" w:w="60"/>
              <w:right w:type="dxa" w:w="90"/>
            </w:tcMar>
          </w:tcPr>
          <w:p>
            <w:r>
              <w:rPr>
                <w:color w:val="0F1B14"/>
                <w:sz w:val="20"/>
                <w:szCs w:val="20"/>
              </w:rPr>
              <w:t xml:space="preserve">actualProfit</w:t>
            </w:r>
          </w:p>
        </w:tc>
        <w:tc>
          <w:tcPr>
            <w:tcW w:type="pct" w:w="46%"/>
            <w:shd w:fill="F1F6F2"/>
            <w:tcMar>
              <w:top w:type="dxa" w:w="60"/>
              <w:left w:type="dxa" w:w="90"/>
              <w:bottom w:type="dxa" w:w="60"/>
              <w:right w:type="dxa" w:w="90"/>
            </w:tcMar>
          </w:tcPr>
          <w:p>
            <w:r>
              <w:rPr>
                <w:color w:val="0F1B14"/>
                <w:sz w:val="20"/>
                <w:szCs w:val="20"/>
              </w:rPr>
              <w:t xml:space="preserve">1.000.000.000 − 130.000.000</w:t>
            </w:r>
          </w:p>
        </w:tc>
        <w:tc>
          <w:tcPr>
            <w:tcW w:type="pct" w:w="30%"/>
            <w:shd w:fill="F1F6F2"/>
            <w:tcMar>
              <w:top w:type="dxa" w:w="60"/>
              <w:left w:type="dxa" w:w="90"/>
              <w:bottom w:type="dxa" w:w="60"/>
              <w:right w:type="dxa" w:w="90"/>
            </w:tcMar>
          </w:tcPr>
          <w:p>
            <w:r>
              <w:rPr>
                <w:color w:val="0F1B14"/>
                <w:sz w:val="20"/>
                <w:szCs w:val="20"/>
              </w:rPr>
              <w:t xml:space="preserve">Rp 870.000.000</w:t>
            </w:r>
          </w:p>
        </w:tc>
      </w:tr>
      <w:tr>
        <w:tc>
          <w:tcPr>
            <w:tcW w:type="pct" w:w="24%"/>
            <w:tcMar>
              <w:top w:type="dxa" w:w="60"/>
              <w:left w:type="dxa" w:w="90"/>
              <w:bottom w:type="dxa" w:w="60"/>
              <w:right w:type="dxa" w:w="90"/>
            </w:tcMar>
          </w:tcPr>
          <w:p>
            <w:r>
              <w:rPr>
                <w:color w:val="0F1B14"/>
                <w:sz w:val="20"/>
                <w:szCs w:val="20"/>
              </w:rPr>
              <w:t xml:space="preserve">marginPct</w:t>
            </w:r>
          </w:p>
        </w:tc>
        <w:tc>
          <w:tcPr>
            <w:tcW w:type="pct" w:w="46%"/>
            <w:tcMar>
              <w:top w:type="dxa" w:w="60"/>
              <w:left w:type="dxa" w:w="90"/>
              <w:bottom w:type="dxa" w:w="60"/>
              <w:right w:type="dxa" w:w="90"/>
            </w:tcMar>
          </w:tcPr>
          <w:p>
            <w:r>
              <w:rPr>
                <w:color w:val="0F1B14"/>
                <w:sz w:val="20"/>
                <w:szCs w:val="20"/>
              </w:rPr>
              <w:t xml:space="preserve">870.000.000 ÷ 1.000.000.000 × 100</w:t>
            </w:r>
          </w:p>
        </w:tc>
        <w:tc>
          <w:tcPr>
            <w:tcW w:type="pct" w:w="30%"/>
            <w:tcMar>
              <w:top w:type="dxa" w:w="60"/>
              <w:left w:type="dxa" w:w="90"/>
              <w:bottom w:type="dxa" w:w="60"/>
              <w:right w:type="dxa" w:w="90"/>
            </w:tcMar>
          </w:tcPr>
          <w:p>
            <w:r>
              <w:rPr>
                <w:color w:val="0F1B14"/>
                <w:sz w:val="20"/>
                <w:szCs w:val="20"/>
              </w:rPr>
              <w:t xml:space="preserve">87,0%</w:t>
            </w:r>
          </w:p>
        </w:tc>
      </w:tr>
      <w:tr>
        <w:tc>
          <w:tcPr>
            <w:tcW w:type="pct" w:w="24%"/>
            <w:shd w:fill="F1F6F2"/>
            <w:tcMar>
              <w:top w:type="dxa" w:w="60"/>
              <w:left w:type="dxa" w:w="90"/>
              <w:bottom w:type="dxa" w:w="60"/>
              <w:right w:type="dxa" w:w="90"/>
            </w:tcMar>
          </w:tcPr>
          <w:p>
            <w:r>
              <w:rPr>
                <w:color w:val="0F1B14"/>
                <w:sz w:val="20"/>
                <w:szCs w:val="20"/>
              </w:rPr>
              <w:t xml:space="preserve">DPP (revenueNet)</w:t>
            </w:r>
          </w:p>
        </w:tc>
        <w:tc>
          <w:tcPr>
            <w:tcW w:type="pct" w:w="46%"/>
            <w:shd w:fill="F1F6F2"/>
            <w:tcMar>
              <w:top w:type="dxa" w:w="60"/>
              <w:left w:type="dxa" w:w="90"/>
              <w:bottom w:type="dxa" w:w="60"/>
              <w:right w:type="dxa" w:w="90"/>
            </w:tcMar>
          </w:tcPr>
          <w:p>
            <w:r>
              <w:rPr>
                <w:color w:val="0F1B14"/>
                <w:sz w:val="20"/>
                <w:szCs w:val="20"/>
              </w:rPr>
              <w:t xml:space="preserve">1.000.000.000 ÷ 1,11</w:t>
            </w:r>
          </w:p>
        </w:tc>
        <w:tc>
          <w:tcPr>
            <w:tcW w:type="pct" w:w="30%"/>
            <w:shd w:fill="F1F6F2"/>
            <w:tcMar>
              <w:top w:type="dxa" w:w="60"/>
              <w:left w:type="dxa" w:w="90"/>
              <w:bottom w:type="dxa" w:w="60"/>
              <w:right w:type="dxa" w:w="90"/>
            </w:tcMar>
          </w:tcPr>
          <w:p>
            <w:r>
              <w:rPr>
                <w:color w:val="0F1B14"/>
                <w:sz w:val="20"/>
                <w:szCs w:val="20"/>
              </w:rPr>
              <w:t xml:space="preserve">Rp 900.900.900,90</w:t>
            </w:r>
          </w:p>
        </w:tc>
      </w:tr>
      <w:tr>
        <w:tc>
          <w:tcPr>
            <w:tcW w:type="pct" w:w="24%"/>
            <w:tcMar>
              <w:top w:type="dxa" w:w="60"/>
              <w:left w:type="dxa" w:w="90"/>
              <w:bottom w:type="dxa" w:w="60"/>
              <w:right w:type="dxa" w:w="90"/>
            </w:tcMar>
          </w:tcPr>
          <w:p>
            <w:r>
              <w:rPr>
                <w:color w:val="0F1B14"/>
                <w:sz w:val="20"/>
                <w:szCs w:val="20"/>
              </w:rPr>
              <w:t xml:space="preserve">PPN</w:t>
            </w:r>
          </w:p>
        </w:tc>
        <w:tc>
          <w:tcPr>
            <w:tcW w:type="pct" w:w="46%"/>
            <w:tcMar>
              <w:top w:type="dxa" w:w="60"/>
              <w:left w:type="dxa" w:w="90"/>
              <w:bottom w:type="dxa" w:w="60"/>
              <w:right w:type="dxa" w:w="90"/>
            </w:tcMar>
          </w:tcPr>
          <w:p>
            <w:r>
              <w:rPr>
                <w:color w:val="0F1B14"/>
                <w:sz w:val="20"/>
                <w:szCs w:val="20"/>
              </w:rPr>
              <w:t xml:space="preserve">1.000.000.000 − 900.900.900,90</w:t>
            </w:r>
          </w:p>
        </w:tc>
        <w:tc>
          <w:tcPr>
            <w:tcW w:type="pct" w:w="30%"/>
            <w:tcMar>
              <w:top w:type="dxa" w:w="60"/>
              <w:left w:type="dxa" w:w="90"/>
              <w:bottom w:type="dxa" w:w="60"/>
              <w:right w:type="dxa" w:w="90"/>
            </w:tcMar>
          </w:tcPr>
          <w:p>
            <w:r>
              <w:rPr>
                <w:color w:val="0F1B14"/>
                <w:sz w:val="20"/>
                <w:szCs w:val="20"/>
              </w:rPr>
              <w:t xml:space="preserve">Rp 99.099.099,10</w:t>
            </w:r>
          </w:p>
        </w:tc>
      </w:tr>
      <w:tr>
        <w:tc>
          <w:tcPr>
            <w:tcW w:type="pct" w:w="24%"/>
            <w:shd w:fill="F1F6F2"/>
            <w:tcMar>
              <w:top w:type="dxa" w:w="60"/>
              <w:left w:type="dxa" w:w="90"/>
              <w:bottom w:type="dxa" w:w="60"/>
              <w:right w:type="dxa" w:w="90"/>
            </w:tcMar>
          </w:tcPr>
          <w:p>
            <w:r>
              <w:rPr>
                <w:color w:val="0F1B14"/>
                <w:sz w:val="20"/>
                <w:szCs w:val="20"/>
              </w:rPr>
              <w:t xml:space="preserve">burnRatePct</w:t>
            </w:r>
          </w:p>
        </w:tc>
        <w:tc>
          <w:tcPr>
            <w:tcW w:type="pct" w:w="46%"/>
            <w:shd w:fill="F1F6F2"/>
            <w:tcMar>
              <w:top w:type="dxa" w:w="60"/>
              <w:left w:type="dxa" w:w="90"/>
              <w:bottom w:type="dxa" w:w="60"/>
              <w:right w:type="dxa" w:w="90"/>
            </w:tcMar>
          </w:tcPr>
          <w:p>
            <w:r>
              <w:rPr>
                <w:color w:val="0F1B14"/>
                <w:sz w:val="20"/>
                <w:szCs w:val="20"/>
              </w:rPr>
              <w:t xml:space="preserve">(60 ÷ 100) × 100</w:t>
            </w:r>
          </w:p>
        </w:tc>
        <w:tc>
          <w:tcPr>
            <w:tcW w:type="pct" w:w="30%"/>
            <w:shd w:fill="F1F6F2"/>
            <w:tcMar>
              <w:top w:type="dxa" w:w="60"/>
              <w:left w:type="dxa" w:w="90"/>
              <w:bottom w:type="dxa" w:w="60"/>
              <w:right w:type="dxa" w:w="90"/>
            </w:tcMar>
          </w:tcPr>
          <w:p>
            <w:r>
              <w:rPr>
                <w:color w:val="0F1B14"/>
                <w:sz w:val="20"/>
                <w:szCs w:val="20"/>
              </w:rPr>
              <w:t xml:space="preserve">60%</w:t>
            </w:r>
          </w:p>
        </w:tc>
      </w:tr>
      <w:tr>
        <w:tc>
          <w:tcPr>
            <w:tcW w:type="pct" w:w="24%"/>
            <w:tcMar>
              <w:top w:type="dxa" w:w="60"/>
              <w:left w:type="dxa" w:w="90"/>
              <w:bottom w:type="dxa" w:w="60"/>
              <w:right w:type="dxa" w:w="90"/>
            </w:tcMar>
          </w:tcPr>
          <w:p>
            <w:r>
              <w:rPr>
                <w:color w:val="0F1B14"/>
                <w:sz w:val="20"/>
                <w:szCs w:val="20"/>
              </w:rPr>
              <w:t xml:space="preserve">recognizedRevenue</w:t>
            </w:r>
          </w:p>
        </w:tc>
        <w:tc>
          <w:tcPr>
            <w:tcW w:type="pct" w:w="46%"/>
            <w:tcMar>
              <w:top w:type="dxa" w:w="60"/>
              <w:left w:type="dxa" w:w="90"/>
              <w:bottom w:type="dxa" w:w="60"/>
              <w:right w:type="dxa" w:w="90"/>
            </w:tcMar>
          </w:tcPr>
          <w:p>
            <w:r>
              <w:rPr>
                <w:color w:val="0F1B14"/>
                <w:sz w:val="20"/>
                <w:szCs w:val="20"/>
              </w:rPr>
              <w:t xml:space="preserve">60% × 900.900.900,90</w:t>
            </w:r>
          </w:p>
        </w:tc>
        <w:tc>
          <w:tcPr>
            <w:tcW w:type="pct" w:w="30%"/>
            <w:tcMar>
              <w:top w:type="dxa" w:w="60"/>
              <w:left w:type="dxa" w:w="90"/>
              <w:bottom w:type="dxa" w:w="60"/>
              <w:right w:type="dxa" w:w="90"/>
            </w:tcMar>
          </w:tcPr>
          <w:p>
            <w:r>
              <w:rPr>
                <w:color w:val="0F1B14"/>
                <w:sz w:val="20"/>
                <w:szCs w:val="20"/>
              </w:rPr>
              <w:t xml:space="preserve">Rp 540.540.540,54</w:t>
            </w:r>
          </w:p>
        </w:tc>
      </w:tr>
      <w:tr>
        <w:tc>
          <w:tcPr>
            <w:tcW w:type="pct" w:w="24%"/>
            <w:shd w:fill="F1F6F2"/>
            <w:tcMar>
              <w:top w:type="dxa" w:w="60"/>
              <w:left w:type="dxa" w:w="90"/>
              <w:bottom w:type="dxa" w:w="60"/>
              <w:right w:type="dxa" w:w="90"/>
            </w:tcMar>
          </w:tcPr>
          <w:p>
            <w:r>
              <w:rPr>
                <w:color w:val="0F1B14"/>
                <w:sz w:val="20"/>
                <w:szCs w:val="20"/>
              </w:rPr>
              <w:t xml:space="preserve">loadedResourceCost</w:t>
            </w:r>
          </w:p>
        </w:tc>
        <w:tc>
          <w:tcPr>
            <w:tcW w:type="pct" w:w="46%"/>
            <w:shd w:fill="F1F6F2"/>
            <w:tcMar>
              <w:top w:type="dxa" w:w="60"/>
              <w:left w:type="dxa" w:w="90"/>
              <w:bottom w:type="dxa" w:w="60"/>
              <w:right w:type="dxa" w:w="90"/>
            </w:tcMar>
          </w:tcPr>
          <w:p>
            <w:r>
              <w:rPr>
                <w:color w:val="0F1B14"/>
                <w:sz w:val="20"/>
                <w:szCs w:val="20"/>
              </w:rPr>
              <w:t xml:space="preserve">110.000.000 × 1,30</w:t>
            </w:r>
          </w:p>
        </w:tc>
        <w:tc>
          <w:tcPr>
            <w:tcW w:type="pct" w:w="30%"/>
            <w:shd w:fill="F1F6F2"/>
            <w:tcMar>
              <w:top w:type="dxa" w:w="60"/>
              <w:left w:type="dxa" w:w="90"/>
              <w:bottom w:type="dxa" w:w="60"/>
              <w:right w:type="dxa" w:w="90"/>
            </w:tcMar>
          </w:tcPr>
          <w:p>
            <w:r>
              <w:rPr>
                <w:color w:val="0F1B14"/>
                <w:sz w:val="20"/>
                <w:szCs w:val="20"/>
              </w:rPr>
              <w:t xml:space="preserve">Rp 143.000.000</w:t>
            </w:r>
          </w:p>
        </w:tc>
      </w:tr>
      <w:tr>
        <w:tc>
          <w:tcPr>
            <w:tcW w:type="pct" w:w="24%"/>
            <w:tcMar>
              <w:top w:type="dxa" w:w="60"/>
              <w:left w:type="dxa" w:w="90"/>
              <w:bottom w:type="dxa" w:w="60"/>
              <w:right w:type="dxa" w:w="90"/>
            </w:tcMar>
          </w:tcPr>
          <w:p>
            <w:r>
              <w:rPr>
                <w:color w:val="0F1B14"/>
                <w:sz w:val="20"/>
                <w:szCs w:val="20"/>
              </w:rPr>
              <w:t xml:space="preserve">netActualCost</w:t>
            </w:r>
          </w:p>
        </w:tc>
        <w:tc>
          <w:tcPr>
            <w:tcW w:type="pct" w:w="46%"/>
            <w:tcMar>
              <w:top w:type="dxa" w:w="60"/>
              <w:left w:type="dxa" w:w="90"/>
              <w:bottom w:type="dxa" w:w="60"/>
              <w:right w:type="dxa" w:w="90"/>
            </w:tcMar>
          </w:tcPr>
          <w:p>
            <w:r>
              <w:rPr>
                <w:color w:val="0F1B14"/>
                <w:sz w:val="20"/>
                <w:szCs w:val="20"/>
              </w:rPr>
              <w:t xml:space="preserve">143.000.000 + 20.000.000</w:t>
            </w:r>
          </w:p>
        </w:tc>
        <w:tc>
          <w:tcPr>
            <w:tcW w:type="pct" w:w="30%"/>
            <w:tcMar>
              <w:top w:type="dxa" w:w="60"/>
              <w:left w:type="dxa" w:w="90"/>
              <w:bottom w:type="dxa" w:w="60"/>
              <w:right w:type="dxa" w:w="90"/>
            </w:tcMar>
          </w:tcPr>
          <w:p>
            <w:r>
              <w:rPr>
                <w:color w:val="0F1B14"/>
                <w:sz w:val="20"/>
                <w:szCs w:val="20"/>
              </w:rPr>
              <w:t xml:space="preserve">Rp 163.000.000</w:t>
            </w:r>
          </w:p>
        </w:tc>
      </w:tr>
      <w:tr>
        <w:tc>
          <w:tcPr>
            <w:tcW w:type="pct" w:w="24%"/>
            <w:shd w:fill="F1F6F2"/>
            <w:tcMar>
              <w:top w:type="dxa" w:w="60"/>
              <w:left w:type="dxa" w:w="90"/>
              <w:bottom w:type="dxa" w:w="60"/>
              <w:right w:type="dxa" w:w="90"/>
            </w:tcMar>
          </w:tcPr>
          <w:p>
            <w:r>
              <w:rPr>
                <w:color w:val="0F1B14"/>
                <w:sz w:val="20"/>
                <w:szCs w:val="20"/>
              </w:rPr>
              <w:t xml:space="preserve">netActualProfit</w:t>
            </w:r>
          </w:p>
        </w:tc>
        <w:tc>
          <w:tcPr>
            <w:tcW w:type="pct" w:w="46%"/>
            <w:shd w:fill="F1F6F2"/>
            <w:tcMar>
              <w:top w:type="dxa" w:w="60"/>
              <w:left w:type="dxa" w:w="90"/>
              <w:bottom w:type="dxa" w:w="60"/>
              <w:right w:type="dxa" w:w="90"/>
            </w:tcMar>
          </w:tcPr>
          <w:p>
            <w:r>
              <w:rPr>
                <w:color w:val="0F1B14"/>
                <w:sz w:val="20"/>
                <w:szCs w:val="20"/>
              </w:rPr>
              <w:t xml:space="preserve">900.900.900,90 − 163.000.000</w:t>
            </w:r>
          </w:p>
        </w:tc>
        <w:tc>
          <w:tcPr>
            <w:tcW w:type="pct" w:w="30%"/>
            <w:shd w:fill="F1F6F2"/>
            <w:tcMar>
              <w:top w:type="dxa" w:w="60"/>
              <w:left w:type="dxa" w:w="90"/>
              <w:bottom w:type="dxa" w:w="60"/>
              <w:right w:type="dxa" w:w="90"/>
            </w:tcMar>
          </w:tcPr>
          <w:p>
            <w:r>
              <w:rPr>
                <w:color w:val="0F1B14"/>
                <w:sz w:val="20"/>
                <w:szCs w:val="20"/>
              </w:rPr>
              <w:t xml:space="preserve">Rp 737.900.900,90</w:t>
            </w:r>
          </w:p>
        </w:tc>
      </w:tr>
      <w:tr>
        <w:tc>
          <w:tcPr>
            <w:tcW w:type="pct" w:w="24%"/>
            <w:tcMar>
              <w:top w:type="dxa" w:w="60"/>
              <w:left w:type="dxa" w:w="90"/>
              <w:bottom w:type="dxa" w:w="60"/>
              <w:right w:type="dxa" w:w="90"/>
            </w:tcMar>
          </w:tcPr>
          <w:p>
            <w:r>
              <w:rPr>
                <w:color w:val="0F1B14"/>
                <w:sz w:val="20"/>
                <w:szCs w:val="20"/>
              </w:rPr>
              <w:t xml:space="preserve">netMarginPct</w:t>
            </w:r>
          </w:p>
        </w:tc>
        <w:tc>
          <w:tcPr>
            <w:tcW w:type="pct" w:w="46%"/>
            <w:tcMar>
              <w:top w:type="dxa" w:w="60"/>
              <w:left w:type="dxa" w:w="90"/>
              <w:bottom w:type="dxa" w:w="60"/>
              <w:right w:type="dxa" w:w="90"/>
            </w:tcMar>
          </w:tcPr>
          <w:p>
            <w:r>
              <w:rPr>
                <w:color w:val="0F1B14"/>
                <w:sz w:val="20"/>
                <w:szCs w:val="20"/>
              </w:rPr>
              <w:t xml:space="preserve">737.900.900,90 ÷ 900.900.900,90 × 100</w:t>
            </w:r>
          </w:p>
        </w:tc>
        <w:tc>
          <w:tcPr>
            <w:tcW w:type="pct" w:w="30%"/>
            <w:tcMar>
              <w:top w:type="dxa" w:w="60"/>
              <w:left w:type="dxa" w:w="90"/>
              <w:bottom w:type="dxa" w:w="60"/>
              <w:right w:type="dxa" w:w="90"/>
            </w:tcMar>
          </w:tcPr>
          <w:p>
            <w:r>
              <w:rPr>
                <w:color w:val="0F1B14"/>
                <w:sz w:val="20"/>
                <w:szCs w:val="20"/>
              </w:rPr>
              <w:t xml:space="preserve">81,9%</w:t>
            </w:r>
          </w:p>
        </w:tc>
      </w:tr>
    </w:tbl>
    <w:p>
      <w:pPr>
        <w:pStyle w:val="Heading3"/>
        <w:spacing w:after="70" w:before="160"/>
      </w:pPr>
      <w:r>
        <w:rPr>
          <w:b/>
          <w:bCs/>
          <w:color w:val="0F1B14"/>
          <w:sz w:val="23"/>
          <w:szCs w:val="23"/>
        </w:rPr>
        <w:t>Penjelasan tiap angka</w:t>
      </w:r>
    </w:p>
    <w:p>
      <w:pPr>
        <w:pStyle w:val="ListParagraph"/>
        <w:numPr>
          <w:ilvl w:val="0"/>
          <w:numId w:val="1"/>
        </w:numPr>
        <w:spacing w:after="60" w:line="268"/>
      </w:pPr>
      <w:r>
        <w:rPr>
          <w:b/>
          <w:bCs/>
          <w:sz w:val="22"/>
          <w:szCs w:val="22"/>
        </w:rPr>
        <w:t xml:space="preserve">resourceCost — </w:t>
      </w:r>
      <w:r>
        <w:rPr>
          <w:b w:val="false"/>
          <w:bCs w:val="false"/>
          <w:sz w:val="22"/>
          <w:szCs w:val="22"/>
        </w:rPr>
        <w:t>total biaya tenaga kerja dari timesheet APPROVED: jam kerja dikonversi ke manday (jam ÷ 8) lalu dikalikan tarif harian tiap sumber daya.</w:t>
      </w:r>
    </w:p>
    <w:p>
      <w:pPr>
        <w:pStyle w:val="ListParagraph"/>
        <w:numPr>
          <w:ilvl w:val="0"/>
          <w:numId w:val="1"/>
        </w:numPr>
        <w:spacing w:after="60" w:line="268"/>
      </w:pPr>
      <w:r>
        <w:rPr>
          <w:b/>
          <w:bCs/>
          <w:sz w:val="22"/>
          <w:szCs w:val="22"/>
        </w:rPr>
        <w:t xml:space="preserve">additionalCost — </w:t>
      </w:r>
      <w:r>
        <w:rPr>
          <w:b w:val="false"/>
          <w:bCs w:val="false"/>
          <w:sz w:val="22"/>
          <w:szCs w:val="22"/>
        </w:rPr>
        <w:t>total biaya non-tenaga kerja yang APPROVED (software, hardware, lisensi, perjalanan, lainnya); biaya pending dan ditolak tidak dihitung.</w:t>
      </w:r>
    </w:p>
    <w:p>
      <w:pPr>
        <w:pStyle w:val="ListParagraph"/>
        <w:numPr>
          <w:ilvl w:val="0"/>
          <w:numId w:val="1"/>
        </w:numPr>
        <w:spacing w:after="60" w:line="268"/>
      </w:pPr>
      <w:r>
        <w:rPr>
          <w:b/>
          <w:bCs/>
          <w:sz w:val="22"/>
          <w:szCs w:val="22"/>
        </w:rPr>
        <w:t xml:space="preserve">actualCost — </w:t>
      </w:r>
      <w:r>
        <w:rPr>
          <w:b w:val="false"/>
          <w:bCs w:val="false"/>
          <w:sz w:val="22"/>
          <w:szCs w:val="22"/>
        </w:rPr>
        <w:t>biaya nyata project sejauh ini, yaitu resourceCost + additionalCost.</w:t>
      </w:r>
    </w:p>
    <w:p>
      <w:pPr>
        <w:pStyle w:val="ListParagraph"/>
        <w:numPr>
          <w:ilvl w:val="0"/>
          <w:numId w:val="1"/>
        </w:numPr>
        <w:spacing w:after="60" w:line="268"/>
      </w:pPr>
      <w:r>
        <w:rPr>
          <w:b/>
          <w:bCs/>
          <w:sz w:val="22"/>
          <w:szCs w:val="22"/>
        </w:rPr>
        <w:t xml:space="preserve">actualProfit — </w:t>
      </w:r>
      <w:r>
        <w:rPr>
          <w:b w:val="false"/>
          <w:bCs w:val="false"/>
          <w:sz w:val="22"/>
          <w:szCs w:val="22"/>
        </w:rPr>
        <w:t>nilai kontrak dikurangi actualCost; profit yang sudah dibukukan sejauh ini, dalam Rupiah.</w:t>
      </w:r>
    </w:p>
    <w:p>
      <w:pPr>
        <w:pStyle w:val="ListParagraph"/>
        <w:numPr>
          <w:ilvl w:val="0"/>
          <w:numId w:val="1"/>
        </w:numPr>
        <w:spacing w:after="60" w:line="268"/>
      </w:pPr>
      <w:r>
        <w:rPr>
          <w:b/>
          <w:bCs/>
          <w:sz w:val="22"/>
          <w:szCs w:val="22"/>
        </w:rPr>
        <w:t xml:space="preserve">marginPct — </w:t>
      </w:r>
      <w:r>
        <w:rPr>
          <w:b w:val="false"/>
          <w:bCs w:val="false"/>
          <w:sz w:val="22"/>
          <w:szCs w:val="22"/>
        </w:rPr>
        <w:t>actualProfit sebagai persentase dari nilai kontrak; margin keuntungan sejauh ini.</w:t>
      </w:r>
    </w:p>
    <w:p>
      <w:pPr>
        <w:pStyle w:val="ListParagraph"/>
        <w:numPr>
          <w:ilvl w:val="0"/>
          <w:numId w:val="1"/>
        </w:numPr>
        <w:spacing w:after="60" w:line="268"/>
      </w:pPr>
      <w:r>
        <w:rPr>
          <w:b/>
          <w:bCs/>
          <w:sz w:val="22"/>
          <w:szCs w:val="22"/>
        </w:rPr>
        <w:t xml:space="preserve">DPP (revenueNet) — </w:t>
      </w:r>
      <w:r>
        <w:rPr>
          <w:b w:val="false"/>
          <w:bCs w:val="false"/>
          <w:sz w:val="22"/>
          <w:szCs w:val="22"/>
        </w:rPr>
        <w:t>Dasar Pengenaan Pajak, yaitu pendapatan bersih setelah PPN dikeluarkan dari nilai kontrak.</w:t>
      </w:r>
    </w:p>
    <w:p>
      <w:pPr>
        <w:pStyle w:val="ListParagraph"/>
        <w:numPr>
          <w:ilvl w:val="0"/>
          <w:numId w:val="1"/>
        </w:numPr>
        <w:spacing w:after="60" w:line="268"/>
      </w:pPr>
      <w:r>
        <w:rPr>
          <w:b/>
          <w:bCs/>
          <w:sz w:val="22"/>
          <w:szCs w:val="22"/>
        </w:rPr>
        <w:t xml:space="preserve">PPN (VAT) — </w:t>
      </w:r>
      <w:r>
        <w:rPr>
          <w:b w:val="false"/>
          <w:bCs w:val="false"/>
          <w:sz w:val="22"/>
          <w:szCs w:val="22"/>
        </w:rPr>
        <w:t>porsi Pajak Pertambahan Nilai (default 11%) yang dipisahkan dari nilai kontrak.</w:t>
      </w:r>
    </w:p>
    <w:p>
      <w:pPr>
        <w:pStyle w:val="ListParagraph"/>
        <w:numPr>
          <w:ilvl w:val="0"/>
          <w:numId w:val="1"/>
        </w:numPr>
        <w:spacing w:after="60" w:line="268"/>
      </w:pPr>
      <w:r>
        <w:rPr>
          <w:b/>
          <w:bCs/>
          <w:sz w:val="22"/>
          <w:szCs w:val="22"/>
        </w:rPr>
        <w:t xml:space="preserve">burnRatePct — </w:t>
      </w:r>
      <w:r>
        <w:rPr>
          <w:b w:val="false"/>
          <w:bCs w:val="false"/>
          <w:sz w:val="22"/>
          <w:szCs w:val="22"/>
        </w:rPr>
        <w:t>seberapa banyak pekerjaan yang direncanakan telah selesai: manday aktual ÷ manday direncanakan, dibatasi maksimal 100%.</w:t>
      </w:r>
    </w:p>
    <w:p>
      <w:pPr>
        <w:pStyle w:val="ListParagraph"/>
        <w:numPr>
          <w:ilvl w:val="0"/>
          <w:numId w:val="1"/>
        </w:numPr>
        <w:spacing w:after="60" w:line="268"/>
      </w:pPr>
      <w:r>
        <w:rPr>
          <w:b/>
          <w:bCs/>
          <w:sz w:val="22"/>
          <w:szCs w:val="22"/>
        </w:rPr>
        <w:t xml:space="preserve">recognizedRevenue — </w:t>
      </w:r>
      <w:r>
        <w:rPr>
          <w:b w:val="false"/>
          <w:bCs w:val="false"/>
          <w:sz w:val="22"/>
          <w:szCs w:val="22"/>
        </w:rPr>
        <w:t>pendapatan yang diakui sampai saat ini dengan prinsip persentase penyelesaian: burnRatePct × pendapatan bersih (DPP).</w:t>
      </w:r>
    </w:p>
    <w:p>
      <w:pPr>
        <w:pStyle w:val="ListParagraph"/>
        <w:numPr>
          <w:ilvl w:val="0"/>
          <w:numId w:val="1"/>
        </w:numPr>
        <w:spacing w:after="60" w:line="268"/>
      </w:pPr>
      <w:r>
        <w:rPr>
          <w:b/>
          <w:bCs/>
          <w:sz w:val="22"/>
          <w:szCs w:val="22"/>
        </w:rPr>
        <w:t xml:space="preserve">loadedResourceCost — </w:t>
      </w:r>
      <w:r>
        <w:rPr>
          <w:b w:val="false"/>
          <w:bCs w:val="false"/>
          <w:sz w:val="22"/>
          <w:szCs w:val="22"/>
        </w:rPr>
        <w:t>resourceCost dikalikan faktor overhead, agar biaya tidak langsung (overhead) perusahaan ikut diperhitungkan.</w:t>
      </w:r>
    </w:p>
    <w:p>
      <w:pPr>
        <w:pStyle w:val="ListParagraph"/>
        <w:numPr>
          <w:ilvl w:val="0"/>
          <w:numId w:val="1"/>
        </w:numPr>
        <w:spacing w:after="60" w:line="268"/>
      </w:pPr>
      <w:r>
        <w:rPr>
          <w:b/>
          <w:bCs/>
          <w:sz w:val="22"/>
          <w:szCs w:val="22"/>
        </w:rPr>
        <w:t xml:space="preserve">netActualCost — </w:t>
      </w:r>
      <w:r>
        <w:rPr>
          <w:b w:val="false"/>
          <w:bCs w:val="false"/>
          <w:sz w:val="22"/>
          <w:szCs w:val="22"/>
        </w:rPr>
        <w:t>biaya penuh (fully-loaded): loadedResourceCost + additionalCost.</w:t>
      </w:r>
    </w:p>
    <w:p>
      <w:pPr>
        <w:pStyle w:val="ListParagraph"/>
        <w:numPr>
          <w:ilvl w:val="0"/>
          <w:numId w:val="1"/>
        </w:numPr>
        <w:spacing w:after="60" w:line="268"/>
      </w:pPr>
      <w:r>
        <w:rPr>
          <w:b/>
          <w:bCs/>
          <w:sz w:val="22"/>
          <w:szCs w:val="22"/>
        </w:rPr>
        <w:t xml:space="preserve">netActualProfit — </w:t>
      </w:r>
      <w:r>
        <w:rPr>
          <w:b w:val="false"/>
          <w:bCs w:val="false"/>
          <w:sz w:val="22"/>
          <w:szCs w:val="22"/>
        </w:rPr>
        <w:t>pendapatan bersih (DPP) dikurangi netActualCost; profit setelah overhead diperhitungkan.</w:t>
      </w:r>
    </w:p>
    <w:p>
      <w:pPr>
        <w:pStyle w:val="ListParagraph"/>
        <w:numPr>
          <w:ilvl w:val="0"/>
          <w:numId w:val="1"/>
        </w:numPr>
        <w:spacing w:after="60" w:line="268"/>
      </w:pPr>
      <w:r>
        <w:rPr>
          <w:b/>
          <w:bCs/>
          <w:sz w:val="22"/>
          <w:szCs w:val="22"/>
        </w:rPr>
        <w:t xml:space="preserve">netMarginPct — </w:t>
      </w:r>
      <w:r>
        <w:rPr>
          <w:b w:val="false"/>
          <w:bCs w:val="false"/>
          <w:sz w:val="22"/>
          <w:szCs w:val="22"/>
        </w:rPr>
        <w:t>netActualProfit sebagai persentase dari pendapatan bersih (DPP); margin konservatif yang sudah disesuaikan overhead.</w:t>
      </w:r>
    </w:p>
    <w:p>
      <w:pPr>
        <w:pStyle w:val="Heading3"/>
        <w:spacing w:after="70" w:before="160"/>
      </w:pPr>
      <w:r>
        <w:rPr>
          <w:b/>
          <w:bCs/>
          <w:color w:val="0F1B14"/>
          <w:sz w:val="23"/>
          <w:szCs w:val="23"/>
        </w:rPr>
        <w:t xml:space="preserve">Contoh termin penagihan</w:t>
      </w:r>
    </w:p>
    <w:p>
      <w:pPr>
        <w:spacing w:after="120" w:line="276"/>
      </w:pPr>
      <w:r>
        <w:rPr>
          <w:sz w:val="22"/>
          <w:szCs w:val="22"/>
        </w:rPr>
        <w:t xml:space="preserve">Termin 1 = 30% dari nilai kontrak (termasuk PPN):</w:t>
      </w:r>
    </w:p>
    <w:tbl>
      <w:tblPr>
        <w:tblW w:type="pct" w:w="100%"/>
        <w:tblBorders>
          <w:top w:val="single" w:color="CCCCCC" w:sz="4"/>
          <w:left w:val="single" w:color="CCCCCC" w:sz="4"/>
          <w:bottom w:val="single" w:color="CCCCCC" w:sz="4"/>
          <w:right w:val="single" w:color="CCCCCC" w:sz="4"/>
          <w:insideH w:val="single" w:color="DDDDDD" w:sz="2"/>
          <w:insideV w:val="single" w:color="DDDDDD" w:sz="2"/>
        </w:tblBorders>
      </w:tblPr>
      <w:tblGrid>
        <w:gridCol w:w="100"/>
        <w:gridCol w:w="100"/>
        <w:gridCol w:w="100"/>
      </w:tblGrid>
      <w:tr>
        <w:trPr>
          <w:tblHeader/>
        </w:trPr>
        <w:tc>
          <w:tcPr>
            <w:tcW w:type="pct" w:w="30%"/>
            <w:shd w:fill="1F7A4D"/>
            <w:tcMar>
              <w:top w:type="dxa" w:w="60"/>
              <w:left w:type="dxa" w:w="90"/>
              <w:bottom w:type="dxa" w:w="60"/>
              <w:right w:type="dxa" w:w="90"/>
            </w:tcMar>
          </w:tcPr>
          <w:p>
            <w:r>
              <w:rPr>
                <w:b/>
                <w:bCs/>
                <w:color w:val="FFFFFF"/>
                <w:sz w:val="20"/>
                <w:szCs w:val="20"/>
              </w:rPr>
              <w:t xml:space="preserve">Komponen</w:t>
            </w:r>
          </w:p>
        </w:tc>
        <w:tc>
          <w:tcPr>
            <w:tcW w:type="pct" w:w="40%"/>
            <w:shd w:fill="1F7A4D"/>
            <w:tcMar>
              <w:top w:type="dxa" w:w="60"/>
              <w:left w:type="dxa" w:w="90"/>
              <w:bottom w:type="dxa" w:w="60"/>
              <w:right w:type="dxa" w:w="90"/>
            </w:tcMar>
          </w:tcPr>
          <w:p>
            <w:r>
              <w:rPr>
                <w:b/>
                <w:bCs/>
                <w:color w:val="FFFFFF"/>
                <w:sz w:val="20"/>
                <w:szCs w:val="20"/>
              </w:rPr>
              <w:t xml:space="preserve">Perhitungan</w:t>
            </w:r>
          </w:p>
        </w:tc>
        <w:tc>
          <w:tcPr>
            <w:tcW w:type="pct" w:w="30%"/>
            <w:shd w:fill="1F7A4D"/>
            <w:tcMar>
              <w:top w:type="dxa" w:w="60"/>
              <w:left w:type="dxa" w:w="90"/>
              <w:bottom w:type="dxa" w:w="60"/>
              <w:right w:type="dxa" w:w="90"/>
            </w:tcMar>
          </w:tcPr>
          <w:p>
            <w:r>
              <w:rPr>
                <w:b/>
                <w:bCs/>
                <w:color w:val="FFFFFF"/>
                <w:sz w:val="20"/>
                <w:szCs w:val="20"/>
              </w:rPr>
              <w:t xml:space="preserve">Hasil</w:t>
            </w:r>
          </w:p>
        </w:tc>
      </w:tr>
      <w:tr>
        <w:tc>
          <w:tcPr>
            <w:tcW w:type="pct" w:w="30%"/>
            <w:tcMar>
              <w:top w:type="dxa" w:w="60"/>
              <w:left w:type="dxa" w:w="90"/>
              <w:bottom w:type="dxa" w:w="60"/>
              <w:right w:type="dxa" w:w="90"/>
            </w:tcMar>
          </w:tcPr>
          <w:p>
            <w:r>
              <w:rPr>
                <w:color w:val="0F1B14"/>
                <w:sz w:val="20"/>
                <w:szCs w:val="20"/>
              </w:rPr>
              <w:t xml:space="preserve">Nilai termin (Total)</w:t>
            </w:r>
          </w:p>
        </w:tc>
        <w:tc>
          <w:tcPr>
            <w:tcW w:type="pct" w:w="40%"/>
            <w:tcMar>
              <w:top w:type="dxa" w:w="60"/>
              <w:left w:type="dxa" w:w="90"/>
              <w:bottom w:type="dxa" w:w="60"/>
              <w:right w:type="dxa" w:w="90"/>
            </w:tcMar>
          </w:tcPr>
          <w:p>
            <w:r>
              <w:rPr>
                <w:color w:val="0F1B14"/>
                <w:sz w:val="20"/>
                <w:szCs w:val="20"/>
              </w:rPr>
              <w:t xml:space="preserve">30% × 1.000.000.000</w:t>
            </w:r>
          </w:p>
        </w:tc>
        <w:tc>
          <w:tcPr>
            <w:tcW w:type="pct" w:w="30%"/>
            <w:tcMar>
              <w:top w:type="dxa" w:w="60"/>
              <w:left w:type="dxa" w:w="90"/>
              <w:bottom w:type="dxa" w:w="60"/>
              <w:right w:type="dxa" w:w="90"/>
            </w:tcMar>
          </w:tcPr>
          <w:p>
            <w:r>
              <w:rPr>
                <w:color w:val="0F1B14"/>
                <w:sz w:val="20"/>
                <w:szCs w:val="20"/>
              </w:rPr>
              <w:t xml:space="preserve">Rp 300.000.000</w:t>
            </w:r>
          </w:p>
        </w:tc>
      </w:tr>
      <w:tr>
        <w:tc>
          <w:tcPr>
            <w:tcW w:type="pct" w:w="30%"/>
            <w:shd w:fill="F1F6F2"/>
            <w:tcMar>
              <w:top w:type="dxa" w:w="60"/>
              <w:left w:type="dxa" w:w="90"/>
              <w:bottom w:type="dxa" w:w="60"/>
              <w:right w:type="dxa" w:w="90"/>
            </w:tcMar>
          </w:tcPr>
          <w:p>
            <w:r>
              <w:rPr>
                <w:color w:val="0F1B14"/>
                <w:sz w:val="20"/>
                <w:szCs w:val="20"/>
              </w:rPr>
              <w:t xml:space="preserve">DPP</w:t>
            </w:r>
          </w:p>
        </w:tc>
        <w:tc>
          <w:tcPr>
            <w:tcW w:type="pct" w:w="40%"/>
            <w:shd w:fill="F1F6F2"/>
            <w:tcMar>
              <w:top w:type="dxa" w:w="60"/>
              <w:left w:type="dxa" w:w="90"/>
              <w:bottom w:type="dxa" w:w="60"/>
              <w:right w:type="dxa" w:w="90"/>
            </w:tcMar>
          </w:tcPr>
          <w:p>
            <w:r>
              <w:rPr>
                <w:color w:val="0F1B14"/>
                <w:sz w:val="20"/>
                <w:szCs w:val="20"/>
              </w:rPr>
              <w:t xml:space="preserve">300.000.000 ÷ 1,11</w:t>
            </w:r>
          </w:p>
        </w:tc>
        <w:tc>
          <w:tcPr>
            <w:tcW w:type="pct" w:w="30%"/>
            <w:shd w:fill="F1F6F2"/>
            <w:tcMar>
              <w:top w:type="dxa" w:w="60"/>
              <w:left w:type="dxa" w:w="90"/>
              <w:bottom w:type="dxa" w:w="60"/>
              <w:right w:type="dxa" w:w="90"/>
            </w:tcMar>
          </w:tcPr>
          <w:p>
            <w:r>
              <w:rPr>
                <w:color w:val="0F1B14"/>
                <w:sz w:val="20"/>
                <w:szCs w:val="20"/>
              </w:rPr>
              <w:t xml:space="preserve">Rp 270.270.270,27</w:t>
            </w:r>
          </w:p>
        </w:tc>
      </w:tr>
      <w:tr>
        <w:tc>
          <w:tcPr>
            <w:tcW w:type="pct" w:w="30%"/>
            <w:tcMar>
              <w:top w:type="dxa" w:w="60"/>
              <w:left w:type="dxa" w:w="90"/>
              <w:bottom w:type="dxa" w:w="60"/>
              <w:right w:type="dxa" w:w="90"/>
            </w:tcMar>
          </w:tcPr>
          <w:p>
            <w:r>
              <w:rPr>
                <w:color w:val="0F1B14"/>
                <w:sz w:val="20"/>
                <w:szCs w:val="20"/>
              </w:rPr>
              <w:t xml:space="preserve">PPN</w:t>
            </w:r>
          </w:p>
        </w:tc>
        <w:tc>
          <w:tcPr>
            <w:tcW w:type="pct" w:w="40%"/>
            <w:tcMar>
              <w:top w:type="dxa" w:w="60"/>
              <w:left w:type="dxa" w:w="90"/>
              <w:bottom w:type="dxa" w:w="60"/>
              <w:right w:type="dxa" w:w="90"/>
            </w:tcMar>
          </w:tcPr>
          <w:p>
            <w:r>
              <w:rPr>
                <w:color w:val="0F1B14"/>
                <w:sz w:val="20"/>
                <w:szCs w:val="20"/>
              </w:rPr>
              <w:t xml:space="preserve">300.000.000 − 270.270.270,27</w:t>
            </w:r>
          </w:p>
        </w:tc>
        <w:tc>
          <w:tcPr>
            <w:tcW w:type="pct" w:w="30%"/>
            <w:tcMar>
              <w:top w:type="dxa" w:w="60"/>
              <w:left w:type="dxa" w:w="90"/>
              <w:bottom w:type="dxa" w:w="60"/>
              <w:right w:type="dxa" w:w="90"/>
            </w:tcMar>
          </w:tcPr>
          <w:p>
            <w:r>
              <w:rPr>
                <w:color w:val="0F1B14"/>
                <w:sz w:val="20"/>
                <w:szCs w:val="20"/>
              </w:rPr>
              <w:t xml:space="preserve">Rp 29.729.729,73</w:t>
            </w:r>
          </w:p>
        </w:tc>
      </w:tr>
    </w:tbl>
    <w:p>
      <w:pPr>
        <w:pStyle w:val="Heading3"/>
        <w:spacing w:after="70" w:before="160"/>
      </w:pPr>
      <w:r>
        <w:rPr>
          <w:b/>
          <w:bCs/>
          <w:color w:val="0F1B14"/>
          <w:sz w:val="23"/>
          <w:szCs w:val="23"/>
        </w:rPr>
        <w:t>Profit Outlook (ilustrasi)</w:t>
      </w:r>
    </w:p>
    <w:p>
      <w:pPr>
        <w:spacing w:after="120" w:line="276"/>
      </w:pPr>
      <w:r>
        <w:rPr>
          <w:sz w:val="22"/>
          <w:szCs w:val="22"/>
        </w:rPr>
        <w:t>Memakai project yang sama (60 manday tercatat dari 100 yang direncanakan, jadi 60% pekerjaan selesai — di atas ambang 20%, sehingga putusan ditampilkan): avgDailyRate = 110.000.000 ÷ 60 = Rp 1.833.333; forecastCost = (100 × 1.833.333) + 20.000.000 = Rp 203.333.333; forecastProfit = 1.000.000.000 − 203.333.333 = Rp 796.666.667 (sekitar 79,7% margin proyeksi). Status: On Track for Profit. Perhatikan margin proyeksi ini (79,7%) berbeda dari MARGIN saat ini (87,0%), karena MARGIN hanya mencerminkan biaya yang sudah tercatat sementara Outlook memproyeksikan biaya ke seluruh 100 manday yang direncanakan.</w:t>
      </w:r>
    </w:p>
    <w:p>
      <w:pPr>
        <w:pStyle w:val="Heading1"/>
        <w:spacing w:after="140" w:before="360"/>
      </w:pPr>
      <w:r>
        <w:rPr>
          <w:b/>
          <w:bCs/>
          <w:color w:val="1F7A4D"/>
          <w:sz w:val="30"/>
          <w:szCs w:val="30"/>
        </w:rPr>
        <w:t xml:space="preserve">8. Integrasi Akuntansi (Xero)</w:t>
      </w:r>
    </w:p>
    <w:p>
      <w:pPr>
        <w:spacing w:after="120" w:line="276"/>
      </w:pPr>
      <w:r>
        <w:rPr>
          <w:sz w:val="22"/>
          <w:szCs w:val="22"/>
        </w:rPr>
        <w:t xml:space="preserve">Aplikasi terhubung satu arah ke Xero (perangkat lunak akuntansi) untuk mengotomatiskan penagihan:</w:t>
      </w:r>
    </w:p>
    <w:p>
      <w:pPr>
        <w:pStyle w:val="ListParagraph"/>
        <w:numPr>
          <w:ilvl w:val="0"/>
          <w:numId w:val="1"/>
        </w:numPr>
        <w:spacing w:after="60" w:line="268"/>
      </w:pPr>
      <w:r>
        <w:rPr>
          <w:b/>
          <w:bCs/>
          <w:sz w:val="22"/>
          <w:szCs w:val="22"/>
        </w:rPr>
        <w:t xml:space="preserve">Penerbitan invoice — </w:t>
      </w:r>
      <w:r>
        <w:rPr>
          <w:b w:val="false"/>
          <w:bCs w:val="false"/>
          <w:sz w:val="22"/>
          <w:szCs w:val="22"/>
        </w:rPr>
        <w:t xml:space="preserve">termin penagihan didorong menjadi invoice penjualan (ACCREC) di Xero, lengkap dengan nomor, jatuh tempo, dan nilai.</w:t>
      </w:r>
    </w:p>
    <w:p>
      <w:pPr>
        <w:pStyle w:val="ListParagraph"/>
        <w:numPr>
          <w:ilvl w:val="0"/>
          <w:numId w:val="1"/>
        </w:numPr>
        <w:spacing w:after="60" w:line="268"/>
      </w:pPr>
      <w:r>
        <w:rPr>
          <w:b/>
          <w:bCs/>
          <w:sz w:val="22"/>
          <w:szCs w:val="22"/>
        </w:rPr>
        <w:t xml:space="preserve">Sinkronisasi kontak — </w:t>
      </w:r>
      <w:r>
        <w:rPr>
          <w:b w:val="false"/>
          <w:bCs w:val="false"/>
          <w:sz w:val="22"/>
          <w:szCs w:val="22"/>
        </w:rPr>
        <w:t xml:space="preserve">data klien otomatis dibuat sebagai Contact di Xero bila belum ada.</w:t>
      </w:r>
    </w:p>
    <w:p>
      <w:pPr>
        <w:pStyle w:val="ListParagraph"/>
        <w:numPr>
          <w:ilvl w:val="0"/>
          <w:numId w:val="1"/>
        </w:numPr>
        <w:spacing w:after="60" w:line="268"/>
      </w:pPr>
      <w:r>
        <w:rPr>
          <w:b/>
          <w:bCs/>
          <w:sz w:val="22"/>
          <w:szCs w:val="22"/>
        </w:rPr>
        <w:t xml:space="preserve">Sinkronisasi pembayaran — </w:t>
      </w:r>
      <w:r>
        <w:rPr>
          <w:b w:val="false"/>
          <w:bCs w:val="false"/>
          <w:sz w:val="22"/>
          <w:szCs w:val="22"/>
        </w:rPr>
        <w:t xml:space="preserve">status pembayaran ditarik dari Xero; termin ditandai PAID hanya bila Xero menyatakan status 'PAID'.</w:t>
      </w:r>
    </w:p>
    <w:p>
      <w:pPr>
        <w:spacing w:after="120" w:line="276"/>
      </w:pPr>
      <w:r>
        <w:rPr>
          <w:b/>
          <w:bCs/>
          <w:sz w:val="22"/>
          <w:szCs w:val="22"/>
        </w:rPr>
        <w:t xml:space="preserve">Akurasi nilai: </w:t>
      </w:r>
      <w:r>
        <w:rPr>
          <w:b w:val="false"/>
          <w:bCs w:val="false"/>
          <w:sz w:val="22"/>
          <w:szCs w:val="22"/>
        </w:rPr>
        <w:t xml:space="preserve">invoice didorong secara tax-inclusive sehingga total invoice sama persis dengan nilai termin hingga satuan sen (menghindari selisih pembulatan 1 sen yang sebelumnya muncul).</w:t>
      </w:r>
    </w:p>
    <w:p>
      <w:pPr>
        <w:pStyle w:val="Heading1"/>
        <w:spacing w:after="140" w:before="360"/>
      </w:pPr>
      <w:r>
        <w:rPr>
          <w:b/>
          <w:bCs/>
          <w:color w:val="1F7A4D"/>
          <w:sz w:val="30"/>
          <w:szCs w:val="30"/>
        </w:rPr>
        <w:t xml:space="preserve">9. Keamanan &amp; Kontrol Akses</w:t>
      </w:r>
    </w:p>
    <w:p>
      <w:pPr>
        <w:pStyle w:val="ListParagraph"/>
        <w:numPr>
          <w:ilvl w:val="0"/>
          <w:numId w:val="1"/>
        </w:numPr>
        <w:spacing w:after="60" w:line="268"/>
      </w:pPr>
      <w:r>
        <w:rPr>
          <w:sz w:val="22"/>
          <w:szCs w:val="22"/>
        </w:rPr>
        <w:t xml:space="preserve">Autentikasi berbasis token (JWT) dengan kata sandi ter-hash (bcrypt).</w:t>
      </w:r>
    </w:p>
    <w:p>
      <w:pPr>
        <w:pStyle w:val="ListParagraph"/>
        <w:numPr>
          <w:ilvl w:val="0"/>
          <w:numId w:val="1"/>
        </w:numPr>
        <w:spacing w:after="60" w:line="268"/>
      </w:pPr>
      <w:r>
        <w:rPr>
          <w:sz w:val="22"/>
          <w:szCs w:val="22"/>
        </w:rPr>
        <w:t xml:space="preserve">Kontrol akses berbasis peran (RBAC) di sisi server — tidak hanya disembunyikan di antarmuka.</w:t>
      </w:r>
    </w:p>
    <w:p>
      <w:pPr>
        <w:pStyle w:val="ListParagraph"/>
        <w:numPr>
          <w:ilvl w:val="0"/>
          <w:numId w:val="1"/>
        </w:numPr>
        <w:spacing w:after="60" w:line="268"/>
      </w:pPr>
      <w:r>
        <w:rPr>
          <w:sz w:val="22"/>
          <w:szCs w:val="22"/>
        </w:rPr>
        <w:t xml:space="preserve">Data difilter sesuai peran (mis. PM hanya melihat project miliknya; peran delivery tidak melihat angka finansial).</w:t>
      </w:r>
    </w:p>
    <w:p>
      <w:pPr>
        <w:pStyle w:val="ListParagraph"/>
        <w:numPr>
          <w:ilvl w:val="0"/>
          <w:numId w:val="1"/>
        </w:numPr>
        <w:spacing w:after="60" w:line="268"/>
      </w:pPr>
      <w:r>
        <w:rPr>
          <w:sz w:val="22"/>
          <w:szCs w:val="22"/>
        </w:rPr>
        <w:t xml:space="preserve">Jejak audit (Activity) mencatat perubahan penting pada project dan penagihan.</w:t>
      </w:r>
    </w:p>
    <w:p>
      <w:pPr>
        <w:pStyle w:val="ListParagraph"/>
        <w:numPr>
          <w:ilvl w:val="0"/>
          <w:numId w:val="1"/>
        </w:numPr>
        <w:spacing w:after="60" w:line="268"/>
      </w:pPr>
      <w:r>
        <w:rPr>
          <w:sz w:val="22"/>
          <w:szCs w:val="22"/>
        </w:rPr>
        <w:t xml:space="preserve">Integrasi Xero memakai OAuth2 dengan state ber-tanda tangan; penomoran invoice aman dari duplikasi.</w:t>
      </w:r>
    </w:p>
    <w:p>
      <w:r>
        <w:br w:type="page"/>
      </w:r>
    </w:p>
    <w:p>
      <w:pPr>
        <w:pStyle w:val="Heading1"/>
        <w:spacing w:after="140" w:before="360"/>
      </w:pPr>
      <w:r>
        <w:rPr>
          <w:b/>
          <w:bCs/>
          <w:color w:val="1F7A4D"/>
          <w:sz w:val="30"/>
          <w:szCs w:val="30"/>
        </w:rPr>
        <w:t xml:space="preserve">10. Saran Persiapan &amp; Alur Demo Presentasi</w:t>
      </w:r>
    </w:p>
    <w:p>
      <w:pPr>
        <w:pStyle w:val="Heading3"/>
        <w:spacing w:after="70" w:before="160"/>
      </w:pPr>
      <w:r>
        <w:rPr>
          <w:b/>
          <w:bCs/>
          <w:color w:val="0F1B14"/>
          <w:sz w:val="23"/>
          <w:szCs w:val="23"/>
        </w:rPr>
        <w:t xml:space="preserve">Yang perlu disiapkan</w:t>
      </w:r>
    </w:p>
    <w:p>
      <w:pPr>
        <w:pStyle w:val="ListParagraph"/>
        <w:numPr>
          <w:ilvl w:val="0"/>
          <w:numId w:val="2"/>
        </w:numPr>
        <w:spacing w:after="60" w:line="268"/>
      </w:pPr>
      <w:r>
        <w:rPr>
          <w:sz w:val="22"/>
          <w:szCs w:val="22"/>
        </w:rPr>
        <w:t xml:space="preserve">Akun login untuk tiap peran yang akan didemokan (Management, PM, Sales, Konsultan).</w:t>
      </w:r>
    </w:p>
    <w:p>
      <w:pPr>
        <w:pStyle w:val="ListParagraph"/>
        <w:numPr>
          <w:ilvl w:val="0"/>
          <w:numId w:val="2"/>
        </w:numPr>
        <w:spacing w:after="60" w:line="268"/>
      </w:pPr>
      <w:r>
        <w:rPr>
          <w:sz w:val="22"/>
          <w:szCs w:val="22"/>
        </w:rPr>
        <w:t xml:space="preserve">Satu project contoh yang sudah ACTIVE dengan timesheet, biaya, dan termin penagihan terisi.</w:t>
      </w:r>
    </w:p>
    <w:p>
      <w:pPr>
        <w:pStyle w:val="ListParagraph"/>
        <w:numPr>
          <w:ilvl w:val="0"/>
          <w:numId w:val="2"/>
        </w:numPr>
        <w:spacing w:after="60" w:line="268"/>
      </w:pPr>
      <w:r>
        <w:rPr>
          <w:sz w:val="22"/>
          <w:szCs w:val="22"/>
        </w:rPr>
        <w:t xml:space="preserve">Skenario cerita: dari intake Sales → perencanaan PM → eksekusi konsultan → penagihan &amp; Xero.</w:t>
      </w:r>
    </w:p>
    <w:p>
      <w:pPr>
        <w:pStyle w:val="ListParagraph"/>
        <w:numPr>
          <w:ilvl w:val="0"/>
          <w:numId w:val="2"/>
        </w:numPr>
        <w:spacing w:after="60" w:line="268"/>
      </w:pPr>
      <w:r>
        <w:rPr>
          <w:sz w:val="22"/>
          <w:szCs w:val="22"/>
        </w:rPr>
        <w:t xml:space="preserve">Dokumen ini sebagai lampiran/handout, dan koneksi internet untuk demo Xero (opsional).</w:t>
      </w:r>
    </w:p>
    <w:p>
      <w:pPr>
        <w:pStyle w:val="Heading3"/>
        <w:spacing w:after="70" w:before="160"/>
      </w:pPr>
      <w:r>
        <w:rPr>
          <w:b/>
          <w:bCs/>
          <w:color w:val="0F1B14"/>
          <w:sz w:val="23"/>
          <w:szCs w:val="23"/>
        </w:rPr>
        <w:t xml:space="preserve">Alur demo yang disarankan (±15 menit)</w:t>
      </w:r>
    </w:p>
    <w:p>
      <w:pPr>
        <w:pStyle w:val="ListParagraph"/>
        <w:numPr>
          <w:ilvl w:val="0"/>
          <w:numId w:val="3"/>
        </w:numPr>
        <w:spacing w:after="60" w:line="268"/>
      </w:pPr>
      <w:r>
        <w:rPr>
          <w:sz w:val="22"/>
          <w:szCs w:val="22"/>
        </w:rPr>
        <w:t xml:space="preserve">Login sebagai Management — tunjukkan dashboard eksekutif (KPI, tren profit, project berisiko).</w:t>
      </w:r>
    </w:p>
    <w:p>
      <w:pPr>
        <w:pStyle w:val="ListParagraph"/>
        <w:numPr>
          <w:ilvl w:val="0"/>
          <w:numId w:val="3"/>
        </w:numPr>
        <w:spacing w:after="60" w:line="268"/>
      </w:pPr>
      <w:r>
        <w:rPr>
          <w:sz w:val="22"/>
          <w:szCs w:val="22"/>
        </w:rPr>
        <w:t xml:space="preserve">Buka satu project — telusuri tab Overview, Tasks (WBS/Gantt), dan Resources.</w:t>
      </w:r>
    </w:p>
    <w:p>
      <w:pPr>
        <w:pStyle w:val="ListParagraph"/>
        <w:numPr>
          <w:ilvl w:val="0"/>
          <w:numId w:val="3"/>
        </w:numPr>
        <w:spacing w:after="60" w:line="268"/>
      </w:pPr>
      <w:r>
        <w:rPr>
          <w:sz w:val="22"/>
          <w:szCs w:val="22"/>
        </w:rPr>
        <w:t xml:space="preserve">Tab Timesheets &amp; Expenses — perlihatkan alur persetujuan dan dampaknya ke biaya.</w:t>
      </w:r>
    </w:p>
    <w:p>
      <w:pPr>
        <w:pStyle w:val="ListParagraph"/>
        <w:numPr>
          <w:ilvl w:val="0"/>
          <w:numId w:val="3"/>
        </w:numPr>
        <w:spacing w:after="60" w:line="268"/>
      </w:pPr>
      <w:r>
        <w:rPr>
          <w:sz w:val="22"/>
          <w:szCs w:val="22"/>
        </w:rPr>
        <w:t xml:space="preserve">Tab Financials — tunjukkan biaya, margin, burn rate, dan forecast bergerak otomatis.</w:t>
      </w:r>
    </w:p>
    <w:p>
      <w:pPr>
        <w:pStyle w:val="ListParagraph"/>
        <w:numPr>
          <w:ilvl w:val="0"/>
          <w:numId w:val="3"/>
        </w:numPr>
        <w:spacing w:after="60" w:line="268"/>
      </w:pPr>
      <w:r>
        <w:rPr>
          <w:sz w:val="22"/>
          <w:szCs w:val="22"/>
        </w:rPr>
        <w:t xml:space="preserve">Tab Billing — buat/lihat termin, lalu 'Send to Xero' untuk menerbitkan invoice.</w:t>
      </w:r>
    </w:p>
    <w:p>
      <w:pPr>
        <w:pStyle w:val="ListParagraph"/>
        <w:numPr>
          <w:ilvl w:val="0"/>
          <w:numId w:val="3"/>
        </w:numPr>
        <w:spacing w:after="60" w:line="268"/>
      </w:pPr>
      <w:r>
        <w:rPr>
          <w:sz w:val="22"/>
          <w:szCs w:val="22"/>
        </w:rPr>
        <w:t xml:space="preserve">Tutup dengan modul lintas-project: Resource Planning, Reports, dan VAT Recap.</w:t>
      </w:r>
    </w:p>
    <w:p>
      <w:pPr>
        <w:pStyle w:val="Heading3"/>
        <w:spacing w:after="70" w:before="160"/>
      </w:pPr>
      <w:r>
        <w:rPr>
          <w:b/>
          <w:bCs/>
          <w:color w:val="0F1B14"/>
          <w:sz w:val="23"/>
          <w:szCs w:val="23"/>
        </w:rPr>
        <w:t xml:space="preserve">Poin pembicaraan utama (talking points)</w:t>
      </w:r>
    </w:p>
    <w:p>
      <w:pPr>
        <w:pStyle w:val="ListParagraph"/>
        <w:numPr>
          <w:ilvl w:val="0"/>
          <w:numId w:val="1"/>
        </w:numPr>
        <w:spacing w:after="60" w:line="268"/>
      </w:pPr>
      <w:r>
        <w:rPr>
          <w:sz w:val="22"/>
          <w:szCs w:val="22"/>
        </w:rPr>
        <w:t xml:space="preserve">'Margin terlihat sejak hari pertama, bukan setelah project selesai.'</w:t>
      </w:r>
    </w:p>
    <w:p>
      <w:pPr>
        <w:pStyle w:val="ListParagraph"/>
        <w:numPr>
          <w:ilvl w:val="0"/>
          <w:numId w:val="1"/>
        </w:numPr>
        <w:spacing w:after="60" w:line="268"/>
      </w:pPr>
      <w:r>
        <w:rPr>
          <w:sz w:val="22"/>
          <w:szCs w:val="22"/>
        </w:rPr>
        <w:t xml:space="preserve">'Setiap angka biaya berasal dari timesheet &amp; biaya yang disetujui — bukan estimasi manual.'</w:t>
      </w:r>
    </w:p>
    <w:p>
      <w:pPr>
        <w:pStyle w:val="ListParagraph"/>
        <w:numPr>
          <w:ilvl w:val="0"/>
          <w:numId w:val="1"/>
        </w:numPr>
        <w:spacing w:after="60" w:line="268"/>
      </w:pPr>
      <w:r>
        <w:rPr>
          <w:sz w:val="22"/>
          <w:szCs w:val="22"/>
        </w:rPr>
        <w:t xml:space="preserve">'Penagihan dan PPN otomatis, terhubung langsung ke akuntansi (Xero).'</w:t>
      </w:r>
    </w:p>
    <w:p>
      <w:pPr>
        <w:pStyle w:val="ListParagraph"/>
        <w:numPr>
          <w:ilvl w:val="0"/>
          <w:numId w:val="1"/>
        </w:numPr>
        <w:spacing w:after="60" w:line="268"/>
      </w:pPr>
      <w:r>
        <w:rPr>
          <w:sz w:val="22"/>
          <w:szCs w:val="22"/>
        </w:rPr>
        <w:t xml:space="preserve">'Setiap peran hanya melihat yang relevan — finansial terlindungi dari tim delivery.'</w:t>
      </w:r>
    </w:p>
    <w:p>
      <w:pPr>
        <w:spacing w:after="120" w:line="276"/>
      </w:pPr>
      <w:r>
        <w:rPr>
          <w:b/>
          <w:bCs/>
          <w:sz w:val="22"/>
          <w:szCs w:val="22"/>
        </w:rPr>
        <w:t xml:space="preserve">Catatan: </w:t>
      </w:r>
      <w:r>
        <w:rPr>
          <w:b w:val="false"/>
          <w:bCs w:val="false"/>
          <w:sz w:val="22"/>
          <w:szCs w:val="22"/>
        </w:rPr>
        <w:t xml:space="preserve">antarmuka aplikasi berbahasa Inggris; dokumen ini berbahasa Indonesia khusus untuk bahan presentasi.</w:t>
      </w:r>
    </w:p>
    <w:sectPr>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SecureProfit Hub — Dokumen Fitur &amp; Perhitungan</dc:title>
  <dc:creator>SecureProfit Hub</dc:creator>
  <cp:lastModifiedBy>Un-named</cp:lastModifiedBy>
  <cp:revision>1</cp:revision>
  <dcterms:created xsi:type="dcterms:W3CDTF">2026-06-04T11:37:12.675Z</dcterms:created>
  <dcterms:modified xsi:type="dcterms:W3CDTF">2026-06-04T11:37:12.677Z</dcterms:modified>
</cp:coreProperties>
</file>

<file path=docProps/custom.xml><?xml version="1.0" encoding="utf-8"?>
<Properties xmlns="http://schemas.openxmlformats.org/officeDocument/2006/custom-properties" xmlns:vt="http://schemas.openxmlformats.org/officeDocument/2006/docPropsVTypes"/>
</file>