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center"/>
      </w:pPr>
      <w:r>
        <w:rPr>
          <w:rFonts w:ascii="Aptos" w:cs="Aptos" w:eastAsia="Aptos" w:hAnsi="Aptos"/>
          <w:b/>
          <w:bCs/>
          <w:color w:val="17365D"/>
          <w:sz w:val="34"/>
          <w:szCs w:val="34"/>
        </w:rPr>
        <w:t xml:space="preserve">REQUIRED REVISIONS</w:t>
      </w:r>
    </w:p>
    <w:p>
      <w:pPr>
        <w:spacing w:after="260" w:line="300"/>
        <w:jc w:val="center"/>
      </w:pPr>
      <w:r>
        <w:rPr>
          <w:rFonts w:ascii="Aptos" w:cs="Aptos" w:eastAsia="Aptos" w:hAnsi="Aptos"/>
          <w:b/>
          <w:bCs/>
          <w:color w:val="1F2937"/>
          <w:sz w:val="26"/>
          <w:szCs w:val="26"/>
        </w:rPr>
        <w:t xml:space="preserve">SecureProfit Hub — 12 FSD Clarification &amp; Go/No-Go Coverage Record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color w:val="17365D"/>
          <w:sz w:val="22"/>
          <w:szCs w:val="22"/>
        </w:rPr>
        <w:t xml:space="preserve">Subject: Required Revisions — SPH 12 FSD Clarification &amp; Go/No-Go Coverage Record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Terima kasih atas dokumen “SecureProfit Hub — 12 FSD Master Recommendation Clarification &amp; Go/No-Go Verification v0.05.”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Secara umum, dokumen sudah sangat baik dalam menjawab 21 pertanyaan klarifikasi dan memberikan arah keputusan bisnis serta arsitektur untuk DEMO-01 sampai DEMO-12. Namun, setelah kami review terhadap current SecureProfit Hub codebase dan status implementasi aktual, masih terdapat beberapa bagian yang perlu diperbaiki sebelum dokumen dapat dipromosikan menjadi baseline v1.00.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Mohon lakukan revisi berikut.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1. Koreksi status dan klaim implementation readiness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Dokumen saat ini menyatakan bahwa seluruh persyaratan sudah enforced, workflow sudah tested, compatibility sudah verified, Go/No-Go compliance sudah 100%, dan dokumen fully verified serta siap masuk Realize Phase. Pernyataan tersebut belum sesuai dengan kondisi aktual.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Mayoritas capability berikut masih berupa keputusan dan reference design: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Industry Sector master dan relations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Presales Workspace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Commercial Budget Revision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Client Attribution Correction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Pipedrive Product mapping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Compatibility dual-write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Margin approval workflow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Mohon ubah status dokumen menjadi:</w:t>
      </w:r>
    </w:p>
    <w:p>
      <w:pPr>
        <w:pBdr>
          <w:left w:val="single" w:color="94A3B8" w:sz="12"/>
        </w:pBdr>
        <w:shd w:fill="F3F4F6" w:val="clear"/>
        <w:spacing w:after="150" w:before="7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Decision Baseline Candidate — Pending Stakeholder Approval and Implementation Validation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Pada matriks akhir, pisahkan status menjadi Decision Status, Implementation Status, dan Test/Evidence Status. Gunakan status DECIDED, SPECIFIED, NOT IMPLEMENTED, PARTIALLY IMPLEMENTED, IMPLEMENTED, NOT TESTED, atau TESTED. Jangan menggunakan SATISFIED, ENFORCED, atau VERIFIED tanpa bukti implementasi dan pengujian.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2. Sinkronkan DEMO-12 dengan implementasi aktual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Yang sudah selesai saat ini baru DEMO-12 Fase 1 — Project Client Attribution Hard Lock. Implementasi aktual: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Project.clientId tidak dapat diubah melalui normal Project update endpoint.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Berlaku untuk semua role.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Existing identical clientId tetap diterima untuk backward compatibility.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Percobaan perubahan Client dicatat dalam audit.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Client pada UI Project tampil read-only.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Tidak memerlukan database migration.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Error contract aktual:</w:t>
      </w:r>
    </w:p>
    <w:p>
      <w:pPr>
        <w:pBdr>
          <w:left w:val="single" w:color="94A3B8" w:sz="12"/>
        </w:pBdr>
        <w:shd w:fill="F3F4F6" w:val="clear"/>
        <w:spacing w:after="150" w:before="7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{
  "error": "CLIENT_ATTRIBUTION_LOCKED",
  "message": "Client attribution cannot be changed after project creation."
}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Mohon ganti contoh CLIENT_ATTRIBUTION_IMMUTABLE menjadi CLIENT_ATTRIBUTION_LOCKED. Client Attribution Correction workflow dengan persetujuan PMO dan Finance adalah DEMO-12 Fase 2 dan belum diimplementasikan. Jangan menyatakan workflow tersebut sudah tersedia atau sudah diuji.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3. Perbaiki model Client Attribution Correction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Keputusan bisnis mensyaratkan dua persetujuan independen: PMO/Management dan Finance. Namun model saat ini hanya memiliki satu approvedById sehingga tidak dapat membuktikan dual approval.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Gunakan child table ClientAttributionCorrectionApproval atau field PMO dan Finance terpisah. Model juga harus mencakup: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approval role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status per approver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approved/rejected timestamp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rejection reason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immutable previous and requested Client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invoice-impact snapshot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evidence/document relation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executedAt dan executedBy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idempotency atau atomic execution protection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4. Klarifikasi aturan correction dan legal novation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Definisikan aturan berdasarkan kondisi financial history: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Belum ada invoice: correction dapat diproses melalui dual approval.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Masih berupa draft invoice lokal: draft dibatalkan sebelum correction.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Sudah dikirim ke Xero: wajib melalui void/credit/reissue.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Invoice sudah paid: historical attribution tidak boleh diubah langsung; gunakan novation dengan effective date atau buat Project penerus.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Sudah ada BAST atau billing milestone: impact assessment dan accounting approval wajib dilakukan.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5. Gunakan role yang sesuai dengan sistem aktual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Hindari role konseptual yang tidak memiliki mapping resmi, khususnya PMO_LEAD dan PRINCIPAL. Role aktual mencakup MANAGEMENT, FINANCE, SITE_ADMIN, SUPER_ADMIN, PRINCIPAL_KONSULTAN, PRINCIPAL_TECHNICAL_WRITER, dan PRINCIPAL_ADMIN_PROJECT. Jika istilah PMO atau Principal tetap digunakan, tambahkan role-mapping eksplisit.</w:t>
      </w:r>
    </w:p>
    <w:p>
      <w:pPr>
        <w:pBdr>
          <w:left w:val="single" w:color="94A3B8" w:sz="12"/>
        </w:pBdr>
        <w:shd w:fill="F3F4F6" w:val="clear"/>
        <w:spacing w:after="150" w:before="7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PMO approval authority is represented by MANAGEMENT in the current authorization model.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6. Perkuat DEMO-01 primary sector invariant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Unique constraint leadId + sectorId hanya mencegah sector yang sama dipilih dua kali. Constraint tersebut belum menjamin tepat satu primary sector. Tambahkan aturan bahwa jika Lead memiliki sector, tepat satu assignment harus primary; perubahan primary dilakukan dalam transaction; API memvalidasi primary secara eksplisit; dan “first selected” hanya menjadi UI default.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7. Klarifikasi sector deactivation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Deactivated sector tetap valid untuk historical reporting.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Deactivated sector tidak dapat dipilih untuk assignment baru.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Existing Lead tidak kehilangan historical classification.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Sistem meminta reclassification hanya pada kondisi bisnis yang ditentukan.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Filter historical tetap menampilkan sector dengan label (Deactivated).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8. Simpan detail OTHER pada assignment yang tepat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Pertimbangkan menempatkan detail OTHER pada join records agar dapat digunakan oleh Lead dan Client tanpa ambiguity:</w:t>
      </w:r>
    </w:p>
    <w:p>
      <w:pPr>
        <w:pBdr>
          <w:left w:val="single" w:color="94A3B8" w:sz="12"/>
        </w:pBdr>
        <w:shd w:fill="F3F4F6" w:val="clear"/>
        <w:spacing w:after="150" w:before="7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LeadSector.otherDetail
ClientSector.otherDetail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API harus mewajibkan detail ketika sector OTHER dipilih serta menghapus atau menolak stale detail ketika OTHER tidak lagi dipilih.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9. Normalisasi secondary Business Unit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Jangan menggunakan secondaryBusinessUnitIds String[]. Array tersebut tidak memiliki referential integrity, assignment role, effective dates, atau auditability. Gunakan normalized junction table. Primary BU tetap menjadi commercial owner, sedangkan BU tambahan dicatat sebagai supporting participants.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10. Koreksi janji mengenai sequential Lead numbering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Hindari pernyataan “numbers are never skipped”. Sistem harus menjamin atomic allocation, uniqueness, no duplicate number, transaction-safe allocation, serta reconciliation untuk ambiguous commit atau network failure.</w:t>
      </w:r>
    </w:p>
    <w:p>
      <w:pPr>
        <w:pBdr>
          <w:left w:val="single" w:color="94A3B8" w:sz="12"/>
        </w:pBdr>
        <w:shd w:fill="F3F4F6" w:val="clear"/>
        <w:spacing w:after="150" w:before="7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Lead numbers are allocated atomically. Uniqueness and non-duplication are guaranteed, while exceptional gaps are reconciled and auditable.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11. Perbaiki compatibility direct-write handling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ORM middleware tidak dapat mencegat external script yang menulis langsung ke database. Pilih kebijakan eksplisit: integration wajib menggunakan API, gunakan database trigger, atau gunakan scheduled reconciliation. Nilai free-text yang tidak dapat dimapping tidak boleh otomatis membuat master sector dan harus masuk review queue.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12. Perjelas Pipedrive Product mapping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Jangan langsung memetakan Pipedrive Product ke OfferingCatalog. Gunakan integration mapping:</w:t>
      </w:r>
    </w:p>
    <w:p>
      <w:pPr>
        <w:pBdr>
          <w:left w:val="single" w:color="94A3B8" w:sz="12"/>
        </w:pBdr>
        <w:shd w:fill="F3F4F6" w:val="clear"/>
        <w:spacing w:after="150" w:before="7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Pipedrive Product ID
→ Integration Mapping
→ OfferingCatalog ID</w:t>
      </w:r>
    </w:p>
    <w:p>
      <w:pPr>
        <w:spacing w:after="1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Unknown atau inactive Product harus masuk review queue dan tidak boleh membuat Offering master secara otomatis. Jangan menyatakan webhook atau Product mapping sudah tersedia jika belum diimplementasikan.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13. Jadikan VAT configurable dan versioned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Berasal dari application settings atau tax policy.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Dikonfirmasi Finance.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Disimpan sebagai snapshot pada commercial revision.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Menggunakan exact Decimal.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Tidak mengubah historical calculation ketika default rate berubah.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14. Pertahankan keputusan yang sudah disetujui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Normalized Industry Sector catalog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Sector optional pada NEW dan mandatory pada stage lanjutan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Client sector sebagai point-in-time Lead snapshot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Primary-sector reporting untuk mencegah double counting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Unknown sector masuk review queue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Satu Primary BU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Lineage ke Project, bukan Lead-to-Lead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Opt-in Presales Workspace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Pemisahan presales CAC dari delivery EVM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Enam canonical Lead stages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Audited probability override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Point-in-time Offering snapshot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Immutable Commercial Budget Revision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Pipedrive tidak mengubah converted Project</w:t>
      </w:r>
    </w:p>
    <w:p>
      <w:pPr>
        <w:pStyle w:val="ListParagraph"/>
        <w:pStyle w:val="Normal"/>
        <w:numPr>
          <w:ilvl w:val="0"/>
          <w:numId w:val="1"/>
        </w:numPr>
        <w:spacing w:after="70" w:line="280"/>
      </w:pPr>
      <w:r>
        <w:t xml:space="preserve">Project.clientId dikunci sementara Client.name tetap editable</w:t>
      </w:r>
    </w:p>
    <w:p>
      <w:pPr>
        <w:pStyle w:val="Heading1"/>
        <w:spacing w:after="120" w:before="26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Expected Revised Deliverable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Berstatus Decision Baseline Candidate.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Tidak menyatakan capability sebagai implemented/tested tanpa bukti.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Membedakan current state, approved decision, target design, implementation status, dan test evidence.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Menyinkronkan DEMO-12 dengan Fase 1 yang sudah berjalan.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Menempatkan Client Attribution Correction sebagai Fase 2.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Memperbaiki model dual approval, role mapping, secondary BU, sector invariants, compatibility, dan Pipedrive mapping.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Menyediakan matriks traceability per DEMO/FSD.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Menyediakan daftar keputusan yang masih memerlukan stakeholder sign-off.</w:t>
      </w:r>
    </w:p>
    <w:p>
      <w:pPr>
        <w:spacing w:after="0" w:line="300"/>
      </w:pPr>
      <w:r>
        <w:rPr>
          <w:rFonts w:ascii="Aptos" w:cs="Aptos" w:eastAsia="Aptos" w:hAnsi="Aptos"/>
          <w:b/>
          <w:bCs/>
          <w:color w:val="17365D"/>
          <w:sz w:val="22"/>
          <w:szCs w:val="22"/>
        </w:rPr>
        <w:t xml:space="preserve">Setelah revisi tersebut selesai, dokumen dapat direview kembali untuk promosi ke baseline v1.00.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Required Revisions — SPH 12 FSD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SECUREPROFIT HUB —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ptos" w:cs="Aptos" w:eastAsia="Aptos" w:hAnsi="Aptos"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Required Revisions — SPH 12 FSD Clarification &amp; Go/No-Go Coverage Record</dc:title>
  <dc:subject>Formal response requesting corrections before baseline v1.00</dc:subject>
  <dc:creator>SecureProfit Hub Review</dc:creator>
  <cp:lastModifiedBy>Un-named</cp:lastModifiedBy>
  <cp:revision>1</cp:revision>
  <dcterms:created xsi:type="dcterms:W3CDTF">2026-09-01T02:07:56.243Z</dcterms:created>
  <dcterms:modified xsi:type="dcterms:W3CDTF">2026-09-01T02:07:56.276Z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