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jc w:val="center"/>
      </w:pPr>
      <w:r>
        <w:rPr>
          <w:rFonts w:ascii="Calibri" w:cs="Calibri" w:eastAsia="Calibri" w:hAnsi="Calibri"/>
          <w:b/>
          <w:bCs/>
          <w:color w:val="0E7C66"/>
          <w:sz w:val="56"/>
          <w:szCs w:val="56"/>
        </w:rPr>
        <w:t xml:space="preserve">FIT-GAP ANALYSIS</w:t>
      </w:r>
    </w:p>
    <w:p>
      <w:pPr>
        <w:spacing w:before="200"/>
        <w:jc w:val="center"/>
      </w:pPr>
      <w:r>
        <w:rPr>
          <w:rFonts w:ascii="Calibri" w:cs="Calibri" w:eastAsia="Calibri" w:hAnsi="Calibri"/>
          <w:b/>
          <w:bCs/>
          <w:color w:val="0A5A4A"/>
          <w:sz w:val="36"/>
          <w:szCs w:val="36"/>
        </w:rPr>
        <w:t xml:space="preserve">SecureProfit Hub  vs  PSOHub</w:t>
      </w:r>
    </w:p>
    <w:p>
      <w:pPr>
        <w:spacing w:before="400"/>
        <w:jc w:val="center"/>
      </w:pPr>
      <w:r>
        <w:rPr>
          <w:rFonts w:ascii="Calibri" w:cs="Calibri" w:eastAsia="Calibri" w:hAnsi="Calibri"/>
          <w:i/>
          <w:iCs/>
          <w:color w:val="4B5563"/>
          <w:sz w:val="24"/>
          <w:szCs w:val="24"/>
        </w:rPr>
        <w:t xml:space="preserve">Professional Services Automation — Feature Parity, Differentiators, and Roadmap Implications</w:t>
      </w:r>
    </w:p>
    <w:p>
      <w:pPr>
        <w:spacing w:before="2000"/>
        <w:jc w:val="center"/>
      </w:pPr>
      <w:r>
        <w:rPr>
          <w:rFonts w:ascii="Calibri" w:cs="Calibri" w:eastAsia="Calibri" w:hAnsi="Calibri"/>
          <w:color w:val="111827"/>
          <w:sz w:val="22"/>
          <w:szCs w:val="22"/>
        </w:rPr>
        <w:t xml:space="preserve">Prepared by: SecureProfit Hub Product Team</w:t>
      </w:r>
    </w:p>
    <w:p>
      <w:pPr>
        <w:jc w:val="center"/>
      </w:pPr>
      <w:r>
        <w:rPr>
          <w:rFonts w:ascii="Calibri" w:cs="Calibri" w:eastAsia="Calibri" w:hAnsi="Calibri"/>
          <w:color w:val="111827"/>
          <w:sz w:val="22"/>
          <w:szCs w:val="22"/>
        </w:rPr>
        <w:t xml:space="preserve">Date: 24 May 2026</w:t>
      </w:r>
    </w:p>
    <w:p>
      <w:pPr>
        <w:spacing w:before="100"/>
        <w:jc w:val="center"/>
      </w:pPr>
      <w:r>
        <w:rPr>
          <w:rFonts w:ascii="Calibri" w:cs="Calibri" w:eastAsia="Calibri" w:hAnsi="Calibri"/>
          <w:i/>
          <w:iCs/>
          <w:color w:val="4B5563"/>
          <w:sz w:val="20"/>
          <w:szCs w:val="20"/>
        </w:rPr>
        <w:t xml:space="preserve">Source: www.psohubapp.com (psohub.com) — public website &amp; documentation</w:t>
      </w:r>
    </w:p>
    <w:p>
      <w:r>
        <w:br w:type="page"/>
      </w:r>
    </w:p>
    <w:p>
      <w:pPr>
        <w:pStyle w:val="Heading1"/>
        <w:spacing w:after="200" w:before="360"/>
      </w:pPr>
      <w:r>
        <w:rPr>
          <w:rFonts w:ascii="Calibri" w:cs="Calibri" w:eastAsia="Calibri" w:hAnsi="Calibri"/>
          <w:b/>
          <w:bCs/>
          <w:color w:val="0E7C66"/>
          <w:sz w:val="36"/>
          <w:szCs w:val="36"/>
        </w:rPr>
        <w:t xml:space="preserve">1. Executive Summary</w:t>
      </w:r>
    </w:p>
    <w:p>
      <w:pPr>
        <w:spacing w:after="120" w:before="0" w:line="300"/>
        <w:jc w:val="left"/>
      </w:pPr>
      <w:r>
        <w:rPr>
          <w:rFonts w:ascii="Calibri" w:cs="Calibri" w:eastAsia="Calibri" w:hAnsi="Calibri"/>
          <w:b w:val="false"/>
          <w:bCs w:val="false"/>
          <w:i w:val="false"/>
          <w:iCs w:val="false"/>
          <w:color w:val="111827"/>
          <w:sz w:val="22"/>
          <w:szCs w:val="22"/>
        </w:rPr>
        <w:t xml:space="preserve">PSOHub is a mature, cloud-hosted Professional Services Automation (PSA) platform best known for its deep CRM-first workflow (HubSpot, Salesforce, Microsoft Dynamics 365), automated contract-to-invoice automation, and an AI Copilot for resource scheduling and budget alerts. It is sold per-user from USD 12.50/user/month.</w:t>
      </w:r>
    </w:p>
    <w:p>
      <w:pPr>
        <w:spacing w:after="120" w:before="0" w:line="300"/>
        <w:jc w:val="left"/>
      </w:pPr>
      <w:r>
        <w:rPr>
          <w:rFonts w:ascii="Calibri" w:cs="Calibri" w:eastAsia="Calibri" w:hAnsi="Calibri"/>
          <w:b w:val="false"/>
          <w:bCs w:val="false"/>
          <w:i w:val="false"/>
          <w:iCs w:val="false"/>
          <w:color w:val="111827"/>
          <w:sz w:val="22"/>
          <w:szCs w:val="22"/>
        </w:rPr>
        <w:t xml:space="preserve">SecureProfit Hub is a single-tenant, self-hosted PSA built specifically for Indonesian IT-security consultancies. It covers the full intake-to-collection lifecycle with strong localisation (PPN 11% VAT recap, BAST/INVOICE document model, Indonesian role taxonomy) and several capabilities PSOHub does not offer out of the box: an explicit Principal-supervisor hierarchy, HR/leave module, skill matrix with gap analysis, granular per-role access control, audit log, and a Top-Performer ranking engine.</w:t>
      </w:r>
    </w:p>
    <w:p>
      <w:pPr>
        <w:spacing w:after="120" w:before="80" w:line="300"/>
        <w:jc w:val="left"/>
      </w:pPr>
      <w:r>
        <w:rPr>
          <w:rFonts w:ascii="Calibri" w:cs="Calibri" w:eastAsia="Calibri" w:hAnsi="Calibri"/>
          <w:b/>
          <w:bCs/>
          <w:i w:val="false"/>
          <w:iCs w:val="false"/>
          <w:color w:val="111827"/>
          <w:sz w:val="22"/>
          <w:szCs w:val="22"/>
        </w:rPr>
        <w:t xml:space="preserve">The analysis below scores 26 capabilities. Headline result:</w:t>
      </w:r>
    </w:p>
    <w:tbl>
      <w:tblPr>
        <w:tblW w:type="pct" w:w="100%"/>
        <w:tblBorders>
          <w:top w:val="single" w:color="D1D5DB" w:sz="4"/>
          <w:left w:val="single" w:color="D1D5DB" w:sz="4"/>
          <w:bottom w:val="single" w:color="D1D5DB" w:sz="4"/>
          <w:right w:val="single" w:color="D1D5DB" w:sz="4"/>
          <w:insideH w:val="single" w:color="D1D5DB" w:sz="4"/>
          <w:insideV w:val="single" w:color="D1D5DB" w:sz="4"/>
        </w:tblBorders>
      </w:tblPr>
      <w:tblGrid>
        <w:gridCol w:w="100"/>
        <w:gridCol w:w="100"/>
        <w:gridCol w:w="100"/>
      </w:tblGrid>
      <w:tr>
        <w:trPr>
          <w:tblHeader/>
        </w:trPr>
        <w:tc>
          <w:tcPr>
            <w:tcW w:type="pct" w:w="20%"/>
            <w:shd w:fill="0E7C66" w:color="auto" w:val="clear"/>
            <w:tcMar>
              <w:top w:type="dxa" w:w="100"/>
              <w:left w:type="dxa" w:w="120"/>
              <w:bottom w:type="dxa" w:w="100"/>
              <w:right w:type="dxa" w:w="120"/>
            </w:tcMar>
            <w:vAlign w:val="center"/>
          </w:tcPr>
          <w:p>
            <w:pPr>
              <w:spacing w:after="0" w:line="260"/>
              <w:jc w:val="center"/>
            </w:pPr>
            <w:r>
              <w:rPr>
                <w:rFonts w:ascii="Calibri" w:cs="Calibri" w:eastAsia="Calibri" w:hAnsi="Calibri"/>
                <w:b/>
                <w:bCs/>
                <w:color w:val="FFFFFF"/>
                <w:sz w:val="20"/>
                <w:szCs w:val="20"/>
              </w:rPr>
              <w:t xml:space="preserve">Status</w:t>
            </w:r>
          </w:p>
        </w:tc>
        <w:tc>
          <w:tcPr>
            <w:tcW w:type="pct" w:w="15%"/>
            <w:shd w:fill="0E7C66" w:color="auto" w:val="clear"/>
            <w:tcMar>
              <w:top w:type="dxa" w:w="100"/>
              <w:left w:type="dxa" w:w="120"/>
              <w:bottom w:type="dxa" w:w="100"/>
              <w:right w:type="dxa" w:w="120"/>
            </w:tcMar>
            <w:vAlign w:val="center"/>
          </w:tcPr>
          <w:p>
            <w:pPr>
              <w:spacing w:after="0" w:line="260"/>
              <w:jc w:val="center"/>
            </w:pPr>
            <w:r>
              <w:rPr>
                <w:rFonts w:ascii="Calibri" w:cs="Calibri" w:eastAsia="Calibri" w:hAnsi="Calibri"/>
                <w:b/>
                <w:bCs/>
                <w:color w:val="FFFFFF"/>
                <w:sz w:val="20"/>
                <w:szCs w:val="20"/>
              </w:rPr>
              <w:t xml:space="preserve">Count</w:t>
            </w:r>
          </w:p>
        </w:tc>
        <w:tc>
          <w:tcPr>
            <w:tcW w:type="pct" w:w="65%"/>
            <w:shd w:fill="0E7C66" w:color="auto" w:val="clear"/>
            <w:tcMar>
              <w:top w:type="dxa" w:w="100"/>
              <w:left w:type="dxa" w:w="120"/>
              <w:bottom w:type="dxa" w:w="100"/>
              <w:right w:type="dxa" w:w="120"/>
            </w:tcMar>
            <w:vAlign w:val="center"/>
          </w:tcPr>
          <w:p>
            <w:pPr>
              <w:spacing w:after="0" w:line="260"/>
              <w:jc w:val="left"/>
            </w:pPr>
            <w:r>
              <w:rPr>
                <w:rFonts w:ascii="Calibri" w:cs="Calibri" w:eastAsia="Calibri" w:hAnsi="Calibri"/>
                <w:b/>
                <w:bCs/>
                <w:color w:val="FFFFFF"/>
                <w:sz w:val="20"/>
                <w:szCs w:val="20"/>
              </w:rPr>
              <w:t xml:space="preserve">Meaning</w:t>
            </w:r>
          </w:p>
        </w:tc>
      </w:tr>
      <w:tr>
        <w:tc>
          <w:tcPr>
            <w:tcW w:type="pct" w:w="20%"/>
            <w:shd w:fill="DCFCE7" w:color="auto" w:val="clear"/>
            <w:tcMar>
              <w:top w:type="dxa" w:w="100"/>
              <w:left w:type="dxa" w:w="120"/>
              <w:bottom w:type="dxa" w:w="100"/>
              <w:right w:type="dxa" w:w="120"/>
            </w:tcMar>
            <w:vAlign w:val="center"/>
          </w:tcPr>
          <w:p>
            <w:pPr>
              <w:spacing w:after="0" w:line="260"/>
              <w:jc w:val="center"/>
            </w:pPr>
            <w:r>
              <w:rPr>
                <w:rFonts w:ascii="Calibri" w:cs="Calibri" w:eastAsia="Calibri" w:hAnsi="Calibri"/>
                <w:b/>
                <w:bCs/>
                <w:color w:val="1B8E5A"/>
                <w:sz w:val="20"/>
                <w:szCs w:val="20"/>
              </w:rPr>
              <w:t xml:space="preserve">FIT</w:t>
            </w:r>
          </w:p>
        </w:tc>
        <w:tc>
          <w:tcPr>
            <w:tcW w:type="pct" w:w="15%"/>
            <w:tcMar>
              <w:top w:type="dxa" w:w="100"/>
              <w:left w:type="dxa" w:w="120"/>
              <w:bottom w:type="dxa" w:w="100"/>
              <w:right w:type="dxa" w:w="120"/>
            </w:tcMar>
            <w:vAlign w:val="center"/>
          </w:tcPr>
          <w:p>
            <w:pPr>
              <w:spacing w:after="0" w:line="260"/>
              <w:jc w:val="center"/>
            </w:pPr>
            <w:r>
              <w:rPr>
                <w:rFonts w:ascii="Calibri" w:cs="Calibri" w:eastAsia="Calibri" w:hAnsi="Calibri"/>
                <w:b/>
                <w:bCs/>
                <w:color w:val="111827"/>
                <w:sz w:val="20"/>
                <w:szCs w:val="20"/>
              </w:rPr>
              <w:t xml:space="preserve">4</w:t>
            </w:r>
          </w:p>
        </w:tc>
        <w:tc>
          <w:tcPr>
            <w:tcW w:type="pct" w:w="65%"/>
            <w:tcMar>
              <w:top w:type="dxa" w:w="100"/>
              <w:left w:type="dxa" w:w="120"/>
              <w:bottom w:type="dxa" w:w="100"/>
              <w:right w:type="dxa" w:w="120"/>
            </w:tcMar>
            <w:vAlign w:val="center"/>
          </w:tcPr>
          <w:p>
            <w:pPr>
              <w:spacing w:after="0" w:line="260"/>
              <w:jc w:val="left"/>
            </w:pPr>
            <w:r>
              <w:rPr>
                <w:rFonts w:ascii="Calibri" w:cs="Calibri" w:eastAsia="Calibri" w:hAnsi="Calibri"/>
                <w:b w:val="false"/>
                <w:bCs w:val="false"/>
                <w:color w:val="111827"/>
                <w:sz w:val="20"/>
                <w:szCs w:val="20"/>
              </w:rPr>
              <w:t xml:space="preserve">Capability is fully delivered in SecureProfit Hub and parity (or better) with PSOHub.</w:t>
            </w:r>
          </w:p>
        </w:tc>
      </w:tr>
      <w:tr>
        <w:tc>
          <w:tcPr>
            <w:tcW w:type="pct" w:w="20%"/>
            <w:shd w:fill="FEF3C7" w:color="auto" w:val="clear"/>
            <w:tcMar>
              <w:top w:type="dxa" w:w="100"/>
              <w:left w:type="dxa" w:w="120"/>
              <w:bottom w:type="dxa" w:w="100"/>
              <w:right w:type="dxa" w:w="120"/>
            </w:tcMar>
            <w:vAlign w:val="center"/>
          </w:tcPr>
          <w:p>
            <w:pPr>
              <w:spacing w:after="0" w:line="260"/>
              <w:jc w:val="center"/>
            </w:pPr>
            <w:r>
              <w:rPr>
                <w:rFonts w:ascii="Calibri" w:cs="Calibri" w:eastAsia="Calibri" w:hAnsi="Calibri"/>
                <w:b/>
                <w:bCs/>
                <w:color w:val="B8860B"/>
                <w:sz w:val="20"/>
                <w:szCs w:val="20"/>
              </w:rPr>
              <w:t xml:space="preserve">PARTIAL</w:t>
            </w:r>
          </w:p>
        </w:tc>
        <w:tc>
          <w:tcPr>
            <w:tcW w:type="pct" w:w="15%"/>
            <w:shd w:fill="F1F5F4" w:color="auto" w:val="clear"/>
            <w:tcMar>
              <w:top w:type="dxa" w:w="100"/>
              <w:left w:type="dxa" w:w="120"/>
              <w:bottom w:type="dxa" w:w="100"/>
              <w:right w:type="dxa" w:w="120"/>
            </w:tcMar>
            <w:vAlign w:val="center"/>
          </w:tcPr>
          <w:p>
            <w:pPr>
              <w:spacing w:after="0" w:line="260"/>
              <w:jc w:val="center"/>
            </w:pPr>
            <w:r>
              <w:rPr>
                <w:rFonts w:ascii="Calibri" w:cs="Calibri" w:eastAsia="Calibri" w:hAnsi="Calibri"/>
                <w:b/>
                <w:bCs/>
                <w:color w:val="111827"/>
                <w:sz w:val="20"/>
                <w:szCs w:val="20"/>
              </w:rPr>
              <w:t xml:space="preserve">8</w:t>
            </w:r>
          </w:p>
        </w:tc>
        <w:tc>
          <w:tcPr>
            <w:tcW w:type="pct" w:w="65%"/>
            <w:shd w:fill="F1F5F4" w:color="auto" w:val="clear"/>
            <w:tcMar>
              <w:top w:type="dxa" w:w="100"/>
              <w:left w:type="dxa" w:w="120"/>
              <w:bottom w:type="dxa" w:w="100"/>
              <w:right w:type="dxa" w:w="120"/>
            </w:tcMar>
            <w:vAlign w:val="center"/>
          </w:tcPr>
          <w:p>
            <w:pPr>
              <w:spacing w:after="0" w:line="260"/>
              <w:jc w:val="left"/>
            </w:pPr>
            <w:r>
              <w:rPr>
                <w:rFonts w:ascii="Calibri" w:cs="Calibri" w:eastAsia="Calibri" w:hAnsi="Calibri"/>
                <w:b w:val="false"/>
                <w:bCs w:val="false"/>
                <w:color w:val="111827"/>
                <w:sz w:val="20"/>
                <w:szCs w:val="20"/>
              </w:rPr>
              <w:t xml:space="preserve">Capability exists but is shallower, missing automation, or limited in scope vs PSOHub.</w:t>
            </w:r>
          </w:p>
        </w:tc>
      </w:tr>
      <w:tr>
        <w:tc>
          <w:tcPr>
            <w:tcW w:type="pct" w:w="20%"/>
            <w:shd w:fill="FEE2E2" w:color="auto" w:val="clear"/>
            <w:tcMar>
              <w:top w:type="dxa" w:w="100"/>
              <w:left w:type="dxa" w:w="120"/>
              <w:bottom w:type="dxa" w:w="100"/>
              <w:right w:type="dxa" w:w="120"/>
            </w:tcMar>
            <w:vAlign w:val="center"/>
          </w:tcPr>
          <w:p>
            <w:pPr>
              <w:spacing w:after="0" w:line="260"/>
              <w:jc w:val="center"/>
            </w:pPr>
            <w:r>
              <w:rPr>
                <w:rFonts w:ascii="Calibri" w:cs="Calibri" w:eastAsia="Calibri" w:hAnsi="Calibri"/>
                <w:b/>
                <w:bCs/>
                <w:color w:val="C03A2B"/>
                <w:sz w:val="20"/>
                <w:szCs w:val="20"/>
              </w:rPr>
              <w:t xml:space="preserve">GAP</w:t>
            </w:r>
          </w:p>
        </w:tc>
        <w:tc>
          <w:tcPr>
            <w:tcW w:type="pct" w:w="15%"/>
            <w:tcMar>
              <w:top w:type="dxa" w:w="100"/>
              <w:left w:type="dxa" w:w="120"/>
              <w:bottom w:type="dxa" w:w="100"/>
              <w:right w:type="dxa" w:w="120"/>
            </w:tcMar>
            <w:vAlign w:val="center"/>
          </w:tcPr>
          <w:p>
            <w:pPr>
              <w:spacing w:after="0" w:line="260"/>
              <w:jc w:val="center"/>
            </w:pPr>
            <w:r>
              <w:rPr>
                <w:rFonts w:ascii="Calibri" w:cs="Calibri" w:eastAsia="Calibri" w:hAnsi="Calibri"/>
                <w:b/>
                <w:bCs/>
                <w:color w:val="111827"/>
                <w:sz w:val="20"/>
                <w:szCs w:val="20"/>
              </w:rPr>
              <w:t xml:space="preserve">6</w:t>
            </w:r>
          </w:p>
        </w:tc>
        <w:tc>
          <w:tcPr>
            <w:tcW w:type="pct" w:w="65%"/>
            <w:tcMar>
              <w:top w:type="dxa" w:w="100"/>
              <w:left w:type="dxa" w:w="120"/>
              <w:bottom w:type="dxa" w:w="100"/>
              <w:right w:type="dxa" w:w="120"/>
            </w:tcMar>
            <w:vAlign w:val="center"/>
          </w:tcPr>
          <w:p>
            <w:pPr>
              <w:spacing w:after="0" w:line="260"/>
              <w:jc w:val="left"/>
            </w:pPr>
            <w:r>
              <w:rPr>
                <w:rFonts w:ascii="Calibri" w:cs="Calibri" w:eastAsia="Calibri" w:hAnsi="Calibri"/>
                <w:b w:val="false"/>
                <w:bCs w:val="false"/>
                <w:color w:val="111827"/>
                <w:sz w:val="20"/>
                <w:szCs w:val="20"/>
              </w:rPr>
              <w:t xml:space="preserve">Capability missing in SecureProfit Hub — net-new work required if needed.</w:t>
            </w:r>
          </w:p>
        </w:tc>
      </w:tr>
      <w:tr>
        <w:tc>
          <w:tcPr>
            <w:tcW w:type="pct" w:w="20%"/>
            <w:shd w:fill="DBEAFE" w:color="auto" w:val="clear"/>
            <w:tcMar>
              <w:top w:type="dxa" w:w="100"/>
              <w:left w:type="dxa" w:w="120"/>
              <w:bottom w:type="dxa" w:w="100"/>
              <w:right w:type="dxa" w:w="120"/>
            </w:tcMar>
            <w:vAlign w:val="center"/>
          </w:tcPr>
          <w:p>
            <w:pPr>
              <w:spacing w:after="0" w:line="260"/>
              <w:jc w:val="center"/>
            </w:pPr>
            <w:r>
              <w:rPr>
                <w:rFonts w:ascii="Calibri" w:cs="Calibri" w:eastAsia="Calibri" w:hAnsi="Calibri"/>
                <w:b/>
                <w:bCs/>
                <w:color w:val="0E7C66"/>
                <w:sz w:val="20"/>
                <w:szCs w:val="20"/>
              </w:rPr>
              <w:t xml:space="preserve">PLUS</w:t>
            </w:r>
          </w:p>
        </w:tc>
        <w:tc>
          <w:tcPr>
            <w:tcW w:type="pct" w:w="15%"/>
            <w:shd w:fill="F1F5F4" w:color="auto" w:val="clear"/>
            <w:tcMar>
              <w:top w:type="dxa" w:w="100"/>
              <w:left w:type="dxa" w:w="120"/>
              <w:bottom w:type="dxa" w:w="100"/>
              <w:right w:type="dxa" w:w="120"/>
            </w:tcMar>
            <w:vAlign w:val="center"/>
          </w:tcPr>
          <w:p>
            <w:pPr>
              <w:spacing w:after="0" w:line="260"/>
              <w:jc w:val="center"/>
            </w:pPr>
            <w:r>
              <w:rPr>
                <w:rFonts w:ascii="Calibri" w:cs="Calibri" w:eastAsia="Calibri" w:hAnsi="Calibri"/>
                <w:b/>
                <w:bCs/>
                <w:color w:val="111827"/>
                <w:sz w:val="20"/>
                <w:szCs w:val="20"/>
              </w:rPr>
              <w:t xml:space="preserve">8</w:t>
            </w:r>
          </w:p>
        </w:tc>
        <w:tc>
          <w:tcPr>
            <w:tcW w:type="pct" w:w="65%"/>
            <w:shd w:fill="F1F5F4" w:color="auto" w:val="clear"/>
            <w:tcMar>
              <w:top w:type="dxa" w:w="100"/>
              <w:left w:type="dxa" w:w="120"/>
              <w:bottom w:type="dxa" w:w="100"/>
              <w:right w:type="dxa" w:w="120"/>
            </w:tcMar>
            <w:vAlign w:val="center"/>
          </w:tcPr>
          <w:p>
            <w:pPr>
              <w:spacing w:after="0" w:line="260"/>
              <w:jc w:val="left"/>
            </w:pPr>
            <w:r>
              <w:rPr>
                <w:rFonts w:ascii="Calibri" w:cs="Calibri" w:eastAsia="Calibri" w:hAnsi="Calibri"/>
                <w:b w:val="false"/>
                <w:bCs w:val="false"/>
                <w:color w:val="111827"/>
                <w:sz w:val="20"/>
                <w:szCs w:val="20"/>
              </w:rPr>
              <w:t xml:space="preserve">SecureProfit Hub feature with no equivalent in PSOHub (our differentiator).</w:t>
            </w:r>
          </w:p>
        </w:tc>
      </w:tr>
    </w:tbl>
    <w:p>
      <w:pPr>
        <w:spacing w:after="120" w:before="100" w:line="300"/>
        <w:jc w:val="left"/>
      </w:pPr>
      <w:r>
        <w:rPr>
          <w:rFonts w:ascii="Calibri" w:cs="Calibri" w:eastAsia="Calibri" w:hAnsi="Calibri"/>
          <w:b w:val="false"/>
          <w:bCs w:val="false"/>
          <w:i/>
          <w:iCs/>
          <w:color w:val="4B5563"/>
          <w:sz w:val="22"/>
          <w:szCs w:val="22"/>
        </w:rPr>
        <w:t xml:space="preserve">In short: SecureProfit Hub already matches PSOHub on the core PSA loop (projects, Gantt, timesheets, approvals, milestone billing, expenses, reporting). The main gaps are CRM/accounting connectors, native quote/e-sign, mobile app, and an AI Copilot. Our differentiators are localisation, HR depth, hierarchy, audit, and self-hosted deployment — all valuable to compliance-sensitive Indonesian customers.</w:t>
      </w:r>
    </w:p>
    <w:p>
      <w:r>
        <w:br w:type="page"/>
      </w:r>
    </w:p>
    <w:p>
      <w:pPr>
        <w:pStyle w:val="Heading1"/>
        <w:spacing w:after="200" w:before="360"/>
      </w:pPr>
      <w:r>
        <w:rPr>
          <w:rFonts w:ascii="Calibri" w:cs="Calibri" w:eastAsia="Calibri" w:hAnsi="Calibri"/>
          <w:b/>
          <w:bCs/>
          <w:color w:val="0E7C66"/>
          <w:sz w:val="36"/>
          <w:szCs w:val="36"/>
        </w:rPr>
        <w:t xml:space="preserve">2. Methodology</w:t>
      </w:r>
    </w:p>
    <w:p>
      <w:pPr>
        <w:spacing w:after="120" w:before="0" w:line="300"/>
        <w:jc w:val="left"/>
      </w:pPr>
      <w:r>
        <w:rPr>
          <w:rFonts w:ascii="Calibri" w:cs="Calibri" w:eastAsia="Calibri" w:hAnsi="Calibri"/>
          <w:b w:val="false"/>
          <w:bCs w:val="false"/>
          <w:i w:val="false"/>
          <w:iCs w:val="false"/>
          <w:color w:val="111827"/>
          <w:sz w:val="22"/>
          <w:szCs w:val="22"/>
        </w:rPr>
        <w:t xml:space="preserve">PSOHub capabilities were collected from the public marketing website (psohubapp.com and psohub.com), the official documentation portal (help.psohub.com), and third-party catalogue listings (GetApp). We mapped each PSOHub capability to the equivalent feature in SecureProfit Hub by reading the codebase (Prisma schema, Express routes, React pages) and reviewing the deployed UI.</w:t>
      </w:r>
    </w:p>
    <w:p>
      <w:pPr>
        <w:pStyle w:val="Heading3"/>
        <w:spacing w:after="100" w:before="220"/>
      </w:pPr>
      <w:r>
        <w:rPr>
          <w:rFonts w:ascii="Calibri" w:cs="Calibri" w:eastAsia="Calibri" w:hAnsi="Calibri"/>
          <w:b/>
          <w:bCs/>
          <w:color w:val="111827"/>
          <w:sz w:val="24"/>
          <w:szCs w:val="24"/>
        </w:rPr>
        <w:t xml:space="preserve">Status Legend</w:t>
      </w:r>
    </w:p>
    <w:p>
      <w:pPr>
        <w:pStyle w:val="ListParagraph"/>
        <w:numPr>
          <w:ilvl w:val="0"/>
          <w:numId w:val="1"/>
        </w:numPr>
        <w:spacing w:after="80" w:line="280"/>
      </w:pPr>
      <w:r>
        <w:rPr>
          <w:rFonts w:ascii="Calibri" w:cs="Calibri" w:eastAsia="Calibri" w:hAnsi="Calibri"/>
          <w:color w:val="111827"/>
          <w:sz w:val="22"/>
          <w:szCs w:val="22"/>
        </w:rPr>
        <w:t xml:space="preserve">FIT — SecureProfit Hub delivers the capability at parity or better.</w:t>
      </w:r>
    </w:p>
    <w:p>
      <w:pPr>
        <w:pStyle w:val="ListParagraph"/>
        <w:numPr>
          <w:ilvl w:val="0"/>
          <w:numId w:val="1"/>
        </w:numPr>
        <w:spacing w:after="80" w:line="280"/>
      </w:pPr>
      <w:r>
        <w:rPr>
          <w:rFonts w:ascii="Calibri" w:cs="Calibri" w:eastAsia="Calibri" w:hAnsi="Calibri"/>
          <w:color w:val="111827"/>
          <w:sz w:val="22"/>
          <w:szCs w:val="22"/>
        </w:rPr>
        <w:t xml:space="preserve">PARTIAL — Capability exists but is shallower than PSOHub or missing automation.</w:t>
      </w:r>
    </w:p>
    <w:p>
      <w:pPr>
        <w:pStyle w:val="ListParagraph"/>
        <w:numPr>
          <w:ilvl w:val="0"/>
          <w:numId w:val="1"/>
        </w:numPr>
        <w:spacing w:after="80" w:line="280"/>
      </w:pPr>
      <w:r>
        <w:rPr>
          <w:rFonts w:ascii="Calibri" w:cs="Calibri" w:eastAsia="Calibri" w:hAnsi="Calibri"/>
          <w:color w:val="111827"/>
          <w:sz w:val="22"/>
          <w:szCs w:val="22"/>
        </w:rPr>
        <w:t xml:space="preserve">GAP — Capability missing from SecureProfit Hub today.</w:t>
      </w:r>
    </w:p>
    <w:p>
      <w:pPr>
        <w:pStyle w:val="ListParagraph"/>
        <w:numPr>
          <w:ilvl w:val="0"/>
          <w:numId w:val="1"/>
        </w:numPr>
        <w:spacing w:after="80" w:line="280"/>
      </w:pPr>
      <w:r>
        <w:rPr>
          <w:rFonts w:ascii="Calibri" w:cs="Calibri" w:eastAsia="Calibri" w:hAnsi="Calibri"/>
          <w:color w:val="111827"/>
          <w:sz w:val="22"/>
          <w:szCs w:val="22"/>
        </w:rPr>
        <w:t xml:space="preserve">PLUS — SecureProfit Hub feature with no direct PSOHub equivalent (differentiator).</w:t>
      </w:r>
    </w:p>
    <w:p>
      <w:pPr>
        <w:pStyle w:val="Heading1"/>
        <w:spacing w:after="200" w:before="360"/>
      </w:pPr>
      <w:r>
        <w:rPr>
          <w:rFonts w:ascii="Calibri" w:cs="Calibri" w:eastAsia="Calibri" w:hAnsi="Calibri"/>
          <w:b/>
          <w:bCs/>
          <w:color w:val="0E7C66"/>
          <w:sz w:val="36"/>
          <w:szCs w:val="36"/>
        </w:rPr>
        <w:t xml:space="preserve">3. Product Snapshots</w:t>
      </w:r>
    </w:p>
    <w:p>
      <w:pPr>
        <w:pStyle w:val="Heading2"/>
        <w:spacing w:after="140" w:before="280"/>
      </w:pPr>
      <w:r>
        <w:rPr>
          <w:rFonts w:ascii="Calibri" w:cs="Calibri" w:eastAsia="Calibri" w:hAnsi="Calibri"/>
          <w:b/>
          <w:bCs/>
          <w:color w:val="0A5A4A"/>
          <w:sz w:val="28"/>
          <w:szCs w:val="28"/>
        </w:rPr>
        <w:t xml:space="preserve">3.1 PSOHub at a glance</w:t>
      </w:r>
    </w:p>
    <w:p>
      <w:pPr>
        <w:pStyle w:val="ListParagraph"/>
        <w:numPr>
          <w:ilvl w:val="0"/>
          <w:numId w:val="1"/>
        </w:numPr>
        <w:spacing w:after="80" w:line="280"/>
      </w:pPr>
      <w:r>
        <w:rPr>
          <w:rFonts w:ascii="Calibri" w:cs="Calibri" w:eastAsia="Calibri" w:hAnsi="Calibri"/>
          <w:color w:val="111827"/>
          <w:sz w:val="22"/>
          <w:szCs w:val="22"/>
        </w:rPr>
        <w:t xml:space="preserve">Target market: SMB/Mid-market professional services (marketing, IT services, consulting, architecture, engineering, accounting). Global.</w:t>
      </w:r>
    </w:p>
    <w:p>
      <w:pPr>
        <w:pStyle w:val="ListParagraph"/>
        <w:numPr>
          <w:ilvl w:val="0"/>
          <w:numId w:val="1"/>
        </w:numPr>
        <w:spacing w:after="80" w:line="280"/>
      </w:pPr>
      <w:r>
        <w:rPr>
          <w:rFonts w:ascii="Calibri" w:cs="Calibri" w:eastAsia="Calibri" w:hAnsi="Calibri"/>
          <w:color w:val="111827"/>
          <w:sz w:val="22"/>
          <w:szCs w:val="22"/>
        </w:rPr>
        <w:t xml:space="preserve">Core modules: CRM Integration, Contract Management, Project Management, Time &amp; Expense, Invoicing &amp; Billing, Resource Management, Reporting &amp; AI Copilot, Quotes &amp; SOW.</w:t>
      </w:r>
    </w:p>
    <w:p>
      <w:pPr>
        <w:pStyle w:val="ListParagraph"/>
        <w:numPr>
          <w:ilvl w:val="0"/>
          <w:numId w:val="1"/>
        </w:numPr>
        <w:spacing w:after="80" w:line="280"/>
      </w:pPr>
      <w:r>
        <w:rPr>
          <w:rFonts w:ascii="Calibri" w:cs="Calibri" w:eastAsia="Calibri" w:hAnsi="Calibri"/>
          <w:color w:val="111827"/>
          <w:sz w:val="22"/>
          <w:szCs w:val="22"/>
        </w:rPr>
        <w:t xml:space="preserve">Differentiators: Native HubSpot/Salesforce/Dynamics sync, AI Copilot, recurring-contract automation, OData live reporting, browser extension + mobile app.</w:t>
      </w:r>
    </w:p>
    <w:p>
      <w:pPr>
        <w:pStyle w:val="ListParagraph"/>
        <w:numPr>
          <w:ilvl w:val="0"/>
          <w:numId w:val="1"/>
        </w:numPr>
        <w:spacing w:after="80" w:line="280"/>
      </w:pPr>
      <w:r>
        <w:rPr>
          <w:rFonts w:ascii="Calibri" w:cs="Calibri" w:eastAsia="Calibri" w:hAnsi="Calibri"/>
          <w:color w:val="111827"/>
          <w:sz w:val="22"/>
          <w:szCs w:val="22"/>
        </w:rPr>
        <w:t xml:space="preserve">Integrations: HubSpot, Salesforce, Dynamics 365, QuickBooks, Xero, Exact Online, Moneybird, bexio, Teams, Slack, Zapier, Outlook/Google Calendar.</w:t>
      </w:r>
    </w:p>
    <w:p>
      <w:pPr>
        <w:pStyle w:val="ListParagraph"/>
        <w:numPr>
          <w:ilvl w:val="0"/>
          <w:numId w:val="1"/>
        </w:numPr>
        <w:spacing w:after="80" w:line="280"/>
      </w:pPr>
      <w:r>
        <w:rPr>
          <w:rFonts w:ascii="Calibri" w:cs="Calibri" w:eastAsia="Calibri" w:hAnsi="Calibri"/>
          <w:color w:val="111827"/>
          <w:sz w:val="22"/>
          <w:szCs w:val="22"/>
        </w:rPr>
        <w:t xml:space="preserve">Pricing: 4 tiers (Essentials, Professional, Enterprise, Premium Support). From USD 12.50/user/month, 30-day free trial.</w:t>
      </w:r>
    </w:p>
    <w:p>
      <w:pPr>
        <w:pStyle w:val="ListParagraph"/>
        <w:numPr>
          <w:ilvl w:val="0"/>
          <w:numId w:val="1"/>
        </w:numPr>
        <w:spacing w:after="80" w:line="280"/>
      </w:pPr>
      <w:r>
        <w:rPr>
          <w:rFonts w:ascii="Calibri" w:cs="Calibri" w:eastAsia="Calibri" w:hAnsi="Calibri"/>
          <w:color w:val="111827"/>
          <w:sz w:val="22"/>
          <w:szCs w:val="22"/>
        </w:rPr>
        <w:t xml:space="preserve">Languages: English, Dutch, French, German.</w:t>
      </w:r>
    </w:p>
    <w:p>
      <w:pPr>
        <w:pStyle w:val="ListParagraph"/>
        <w:numPr>
          <w:ilvl w:val="0"/>
          <w:numId w:val="1"/>
        </w:numPr>
        <w:spacing w:after="80" w:line="280"/>
      </w:pPr>
      <w:r>
        <w:rPr>
          <w:rFonts w:ascii="Calibri" w:cs="Calibri" w:eastAsia="Calibri" w:hAnsi="Calibri"/>
          <w:color w:val="111827"/>
          <w:sz w:val="22"/>
          <w:szCs w:val="22"/>
        </w:rPr>
        <w:t xml:space="preserve">Deployment: Cloud SaaS, web + iOS + Android.</w:t>
      </w:r>
    </w:p>
    <w:p>
      <w:pPr>
        <w:pStyle w:val="Heading2"/>
        <w:spacing w:after="140" w:before="280"/>
      </w:pPr>
      <w:r>
        <w:rPr>
          <w:rFonts w:ascii="Calibri" w:cs="Calibri" w:eastAsia="Calibri" w:hAnsi="Calibri"/>
          <w:b/>
          <w:bCs/>
          <w:color w:val="0A5A4A"/>
          <w:sz w:val="28"/>
          <w:szCs w:val="28"/>
        </w:rPr>
        <w:t xml:space="preserve">3.2 SecureProfit Hub at a glance</w:t>
      </w:r>
    </w:p>
    <w:p>
      <w:pPr>
        <w:pStyle w:val="ListParagraph"/>
        <w:numPr>
          <w:ilvl w:val="0"/>
          <w:numId w:val="1"/>
        </w:numPr>
        <w:spacing w:after="80" w:line="280"/>
      </w:pPr>
      <w:r>
        <w:rPr>
          <w:rFonts w:ascii="Calibri" w:cs="Calibri" w:eastAsia="Calibri" w:hAnsi="Calibri"/>
          <w:color w:val="111827"/>
          <w:sz w:val="22"/>
          <w:szCs w:val="22"/>
        </w:rPr>
        <w:t xml:space="preserve">Target market: Indonesian IT-security consultancies (Pentest, GRC, Threat Hunting business units). Tailored for PMO + delivery teams + finance.</w:t>
      </w:r>
    </w:p>
    <w:p>
      <w:pPr>
        <w:pStyle w:val="ListParagraph"/>
        <w:numPr>
          <w:ilvl w:val="0"/>
          <w:numId w:val="1"/>
        </w:numPr>
        <w:spacing w:after="80" w:line="280"/>
      </w:pPr>
      <w:r>
        <w:rPr>
          <w:rFonts w:ascii="Calibri" w:cs="Calibri" w:eastAsia="Calibri" w:hAnsi="Calibri"/>
          <w:color w:val="111827"/>
          <w:sz w:val="22"/>
          <w:szCs w:val="22"/>
        </w:rPr>
        <w:t xml:space="preserve">Core modules: Project lifecycle (Draft→Observation→Active→Pause/Complete→Closed), Tasks/WBS/Gantt, Resource Planning, Timesheets (Quick Log + Weekly Entry + bulk), Expenses, Billing Milestones with PPN 11%, VAT Recap, Reports (10 shipped), HR/Leave, Skill Matrix, Top Performers.</w:t>
      </w:r>
    </w:p>
    <w:p>
      <w:pPr>
        <w:pStyle w:val="ListParagraph"/>
        <w:numPr>
          <w:ilvl w:val="0"/>
          <w:numId w:val="1"/>
        </w:numPr>
        <w:spacing w:after="80" w:line="280"/>
      </w:pPr>
      <w:r>
        <w:rPr>
          <w:rFonts w:ascii="Calibri" w:cs="Calibri" w:eastAsia="Calibri" w:hAnsi="Calibri"/>
          <w:color w:val="111827"/>
          <w:sz w:val="22"/>
          <w:szCs w:val="22"/>
        </w:rPr>
        <w:t xml:space="preserve">Differentiators: Principal-Supervisor hierarchy, granular 10+ role RBAC, audit log, Indonesian VAT recap &amp; DPP/VAT split, self-hosted/single-tenant, open codebase.</w:t>
      </w:r>
    </w:p>
    <w:p>
      <w:pPr>
        <w:pStyle w:val="ListParagraph"/>
        <w:numPr>
          <w:ilvl w:val="0"/>
          <w:numId w:val="1"/>
        </w:numPr>
        <w:spacing w:after="80" w:line="280"/>
      </w:pPr>
      <w:r>
        <w:rPr>
          <w:rFonts w:ascii="Calibri" w:cs="Calibri" w:eastAsia="Calibri" w:hAnsi="Calibri"/>
          <w:color w:val="111827"/>
          <w:sz w:val="22"/>
          <w:szCs w:val="22"/>
        </w:rPr>
        <w:t xml:space="preserve">Integrations: None today (intentional — single-tenant private deployment).</w:t>
      </w:r>
    </w:p>
    <w:p>
      <w:pPr>
        <w:pStyle w:val="ListParagraph"/>
        <w:numPr>
          <w:ilvl w:val="0"/>
          <w:numId w:val="1"/>
        </w:numPr>
        <w:spacing w:after="80" w:line="280"/>
      </w:pPr>
      <w:r>
        <w:rPr>
          <w:rFonts w:ascii="Calibri" w:cs="Calibri" w:eastAsia="Calibri" w:hAnsi="Calibri"/>
          <w:color w:val="111827"/>
          <w:sz w:val="22"/>
          <w:szCs w:val="22"/>
        </w:rPr>
        <w:t xml:space="preserve">Pricing: No per-seat licensing (internal product / self-hosted).</w:t>
      </w:r>
    </w:p>
    <w:p>
      <w:pPr>
        <w:pStyle w:val="ListParagraph"/>
        <w:numPr>
          <w:ilvl w:val="0"/>
          <w:numId w:val="1"/>
        </w:numPr>
        <w:spacing w:after="80" w:line="280"/>
      </w:pPr>
      <w:r>
        <w:rPr>
          <w:rFonts w:ascii="Calibri" w:cs="Calibri" w:eastAsia="Calibri" w:hAnsi="Calibri"/>
          <w:color w:val="111827"/>
          <w:sz w:val="22"/>
          <w:szCs w:val="22"/>
        </w:rPr>
        <w:t xml:space="preserve">Languages: English UI with Indonesian domain terminology.</w:t>
      </w:r>
    </w:p>
    <w:p>
      <w:pPr>
        <w:pStyle w:val="ListParagraph"/>
        <w:numPr>
          <w:ilvl w:val="0"/>
          <w:numId w:val="1"/>
        </w:numPr>
        <w:spacing w:after="80" w:line="280"/>
      </w:pPr>
      <w:r>
        <w:rPr>
          <w:rFonts w:ascii="Calibri" w:cs="Calibri" w:eastAsia="Calibri" w:hAnsi="Calibri"/>
          <w:color w:val="111827"/>
          <w:sz w:val="22"/>
          <w:szCs w:val="22"/>
        </w:rPr>
        <w:t xml:space="preserve">Deployment: Web (React + Vite) on Replit / self-hosted Node + Postgres.</w:t>
      </w:r>
    </w:p>
    <w:p>
      <w:r>
        <w:br w:type="page"/>
      </w:r>
    </w:p>
    <w:p>
      <w:pPr>
        <w:pStyle w:val="Heading1"/>
        <w:spacing w:after="200" w:before="360"/>
      </w:pPr>
      <w:r>
        <w:rPr>
          <w:rFonts w:ascii="Calibri" w:cs="Calibri" w:eastAsia="Calibri" w:hAnsi="Calibri"/>
          <w:b/>
          <w:bCs/>
          <w:color w:val="0E7C66"/>
          <w:sz w:val="36"/>
          <w:szCs w:val="36"/>
        </w:rPr>
        <w:t xml:space="preserve">4. Detailed Fit-Gap Matrix</w:t>
      </w:r>
    </w:p>
    <w:p>
      <w:pPr>
        <w:spacing w:after="120" w:before="0" w:line="300"/>
        <w:jc w:val="left"/>
      </w:pPr>
      <w:r>
        <w:rPr>
          <w:rFonts w:ascii="Calibri" w:cs="Calibri" w:eastAsia="Calibri" w:hAnsi="Calibri"/>
          <w:b w:val="false"/>
          <w:bCs w:val="false"/>
          <w:i w:val="false"/>
          <w:iCs w:val="false"/>
          <w:color w:val="111827"/>
          <w:sz w:val="22"/>
          <w:szCs w:val="22"/>
        </w:rPr>
        <w:t xml:space="preserve">The matrix below maps every PSOHub capability we identified to the equivalent (or missing) feature in SecureProfit Hub. Rows tagged PLUS are capabilities that exist in our product but not in PSOHub.</w:t>
      </w:r>
    </w:p>
    <w:tbl>
      <w:tblPr>
        <w:tblW w:type="pct" w:w="100%"/>
        <w:tblBorders>
          <w:top w:val="single" w:color="D1D5DB" w:sz="4"/>
          <w:left w:val="single" w:color="D1D5DB" w:sz="4"/>
          <w:bottom w:val="single" w:color="D1D5DB" w:sz="4"/>
          <w:right w:val="single" w:color="D1D5DB" w:sz="4"/>
          <w:insideH w:val="single" w:color="D1D5DB" w:sz="4"/>
          <w:insideV w:val="single" w:color="D1D5DB" w:sz="4"/>
        </w:tblBorders>
      </w:tblPr>
      <w:tblGrid>
        <w:gridCol w:w="100"/>
        <w:gridCol w:w="100"/>
        <w:gridCol w:w="100"/>
        <w:gridCol w:w="100"/>
        <w:gridCol w:w="100"/>
      </w:tblGrid>
      <w:tr>
        <w:trPr>
          <w:tblHeader/>
        </w:trPr>
        <w:tc>
          <w:tcPr>
            <w:tcW w:type="pct" w:w="22%"/>
            <w:shd w:fill="0E7C66" w:color="auto" w:val="clear"/>
            <w:tcMar>
              <w:top w:type="dxa" w:w="100"/>
              <w:left w:type="dxa" w:w="120"/>
              <w:bottom w:type="dxa" w:w="100"/>
              <w:right w:type="dxa" w:w="120"/>
            </w:tcMar>
            <w:vAlign w:val="center"/>
          </w:tcPr>
          <w:p>
            <w:pPr>
              <w:spacing w:after="0" w:line="260"/>
              <w:jc w:val="left"/>
            </w:pPr>
            <w:r>
              <w:rPr>
                <w:rFonts w:ascii="Calibri" w:cs="Calibri" w:eastAsia="Calibri" w:hAnsi="Calibri"/>
                <w:b/>
                <w:bCs/>
                <w:color w:val="FFFFFF"/>
                <w:sz w:val="20"/>
                <w:szCs w:val="20"/>
              </w:rPr>
              <w:t xml:space="preserve">Capability</w:t>
            </w:r>
          </w:p>
        </w:tc>
        <w:tc>
          <w:tcPr>
            <w:tcW w:type="pct" w:w="28%"/>
            <w:shd w:fill="0E7C66" w:color="auto" w:val="clear"/>
            <w:tcMar>
              <w:top w:type="dxa" w:w="100"/>
              <w:left w:type="dxa" w:w="120"/>
              <w:bottom w:type="dxa" w:w="100"/>
              <w:right w:type="dxa" w:w="120"/>
            </w:tcMar>
            <w:vAlign w:val="center"/>
          </w:tcPr>
          <w:p>
            <w:pPr>
              <w:spacing w:after="0" w:line="260"/>
              <w:jc w:val="left"/>
            </w:pPr>
            <w:r>
              <w:rPr>
                <w:rFonts w:ascii="Calibri" w:cs="Calibri" w:eastAsia="Calibri" w:hAnsi="Calibri"/>
                <w:b/>
                <w:bCs/>
                <w:color w:val="FFFFFF"/>
                <w:sz w:val="20"/>
                <w:szCs w:val="20"/>
              </w:rPr>
              <w:t xml:space="preserve">PSOHub</w:t>
            </w:r>
          </w:p>
        </w:tc>
        <w:tc>
          <w:tcPr>
            <w:tcW w:type="pct" w:w="28%"/>
            <w:shd w:fill="0E7C66" w:color="auto" w:val="clear"/>
            <w:tcMar>
              <w:top w:type="dxa" w:w="100"/>
              <w:left w:type="dxa" w:w="120"/>
              <w:bottom w:type="dxa" w:w="100"/>
              <w:right w:type="dxa" w:w="120"/>
            </w:tcMar>
            <w:vAlign w:val="center"/>
          </w:tcPr>
          <w:p>
            <w:pPr>
              <w:spacing w:after="0" w:line="260"/>
              <w:jc w:val="left"/>
            </w:pPr>
            <w:r>
              <w:rPr>
                <w:rFonts w:ascii="Calibri" w:cs="Calibri" w:eastAsia="Calibri" w:hAnsi="Calibri"/>
                <w:b/>
                <w:bCs/>
                <w:color w:val="FFFFFF"/>
                <w:sz w:val="20"/>
                <w:szCs w:val="20"/>
              </w:rPr>
              <w:t xml:space="preserve">SecureProfit Hub</w:t>
            </w:r>
          </w:p>
        </w:tc>
        <w:tc>
          <w:tcPr>
            <w:tcW w:type="pct" w:w="10%"/>
            <w:shd w:fill="0E7C66" w:color="auto" w:val="clear"/>
            <w:tcMar>
              <w:top w:type="dxa" w:w="100"/>
              <w:left w:type="dxa" w:w="120"/>
              <w:bottom w:type="dxa" w:w="100"/>
              <w:right w:type="dxa" w:w="120"/>
            </w:tcMar>
            <w:vAlign w:val="center"/>
          </w:tcPr>
          <w:p>
            <w:pPr>
              <w:spacing w:after="0" w:line="260"/>
              <w:jc w:val="center"/>
            </w:pPr>
            <w:r>
              <w:rPr>
                <w:rFonts w:ascii="Calibri" w:cs="Calibri" w:eastAsia="Calibri" w:hAnsi="Calibri"/>
                <w:b/>
                <w:bCs/>
                <w:color w:val="FFFFFF"/>
                <w:sz w:val="20"/>
                <w:szCs w:val="20"/>
              </w:rPr>
              <w:t xml:space="preserve">Status</w:t>
            </w:r>
          </w:p>
        </w:tc>
        <w:tc>
          <w:tcPr>
            <w:tcW w:type="pct" w:w="12%"/>
            <w:shd w:fill="0E7C66" w:color="auto" w:val="clear"/>
            <w:tcMar>
              <w:top w:type="dxa" w:w="100"/>
              <w:left w:type="dxa" w:w="120"/>
              <w:bottom w:type="dxa" w:w="100"/>
              <w:right w:type="dxa" w:w="120"/>
            </w:tcMar>
            <w:vAlign w:val="center"/>
          </w:tcPr>
          <w:p>
            <w:pPr>
              <w:spacing w:after="0" w:line="260"/>
              <w:jc w:val="left"/>
            </w:pPr>
            <w:r>
              <w:rPr>
                <w:rFonts w:ascii="Calibri" w:cs="Calibri" w:eastAsia="Calibri" w:hAnsi="Calibri"/>
                <w:b/>
                <w:bCs/>
                <w:color w:val="FFFFFF"/>
                <w:sz w:val="20"/>
                <w:szCs w:val="20"/>
              </w:rPr>
              <w:t xml:space="preserve">Gap / Action</w:t>
            </w:r>
          </w:p>
        </w:tc>
      </w:tr>
      <w:tr>
        <w:tc>
          <w:tcPr>
            <w:tcW w:type="pct" w:w="22%"/>
            <w:tcMar>
              <w:top w:type="dxa" w:w="100"/>
              <w:left w:type="dxa" w:w="120"/>
              <w:bottom w:type="dxa" w:w="100"/>
              <w:right w:type="dxa" w:w="120"/>
            </w:tcMar>
            <w:vAlign w:val="center"/>
          </w:tcPr>
          <w:p>
            <w:pPr>
              <w:spacing w:after="0" w:line="260"/>
              <w:jc w:val="left"/>
            </w:pPr>
            <w:r>
              <w:rPr>
                <w:rFonts w:ascii="Calibri" w:cs="Calibri" w:eastAsia="Calibri" w:hAnsi="Calibri"/>
                <w:b/>
                <w:bCs/>
                <w:color w:val="111827"/>
                <w:sz w:val="20"/>
                <w:szCs w:val="20"/>
              </w:rPr>
              <w:t xml:space="preserve">CRM Integration</w:t>
            </w:r>
          </w:p>
        </w:tc>
        <w:tc>
          <w:tcPr>
            <w:tcW w:type="pct" w:w="28%"/>
            <w:tcMar>
              <w:top w:type="dxa" w:w="100"/>
              <w:left w:type="dxa" w:w="120"/>
              <w:bottom w:type="dxa" w:w="100"/>
              <w:right w:type="dxa" w:w="120"/>
            </w:tcMar>
            <w:vAlign w:val="center"/>
          </w:tcPr>
          <w:p>
            <w:pPr>
              <w:spacing w:after="0" w:line="260"/>
              <w:jc w:val="left"/>
            </w:pPr>
            <w:r>
              <w:rPr>
                <w:rFonts w:ascii="Calibri" w:cs="Calibri" w:eastAsia="Calibri" w:hAnsi="Calibri"/>
                <w:b w:val="false"/>
                <w:bCs w:val="false"/>
                <w:color w:val="111827"/>
                <w:sz w:val="20"/>
                <w:szCs w:val="20"/>
              </w:rPr>
              <w:t xml:space="preserve">Native two-way sync with HubSpot, Salesforce, Microsoft Dynamics 365. Closed deals auto-create contracts and projects; activity-feed visibility back into the CRM.</w:t>
            </w:r>
          </w:p>
        </w:tc>
        <w:tc>
          <w:tcPr>
            <w:tcW w:type="pct" w:w="28%"/>
            <w:tcMar>
              <w:top w:type="dxa" w:w="100"/>
              <w:left w:type="dxa" w:w="120"/>
              <w:bottom w:type="dxa" w:w="100"/>
              <w:right w:type="dxa" w:w="120"/>
            </w:tcMar>
            <w:vAlign w:val="center"/>
          </w:tcPr>
          <w:p>
            <w:pPr>
              <w:spacing w:after="0" w:line="260"/>
              <w:jc w:val="left"/>
            </w:pPr>
            <w:r>
              <w:rPr>
                <w:rFonts w:ascii="Calibri" w:cs="Calibri" w:eastAsia="Calibri" w:hAnsi="Calibri"/>
                <w:b w:val="false"/>
                <w:bCs w:val="false"/>
                <w:color w:val="111827"/>
                <w:sz w:val="20"/>
                <w:szCs w:val="20"/>
              </w:rPr>
              <w:t xml:space="preserve">No CRM integration. Internal Clients table + Sales role for manual intake (4-field DRAFT form → MGMT assigns PM).</w:t>
            </w:r>
          </w:p>
        </w:tc>
        <w:tc>
          <w:tcPr>
            <w:tcW w:type="pct" w:w="10%"/>
            <w:shd w:fill="FEE2E2" w:color="auto" w:val="clear"/>
            <w:tcMar>
              <w:top w:type="dxa" w:w="100"/>
              <w:left w:type="dxa" w:w="120"/>
              <w:bottom w:type="dxa" w:w="100"/>
              <w:right w:type="dxa" w:w="120"/>
            </w:tcMar>
            <w:vAlign w:val="center"/>
          </w:tcPr>
          <w:p>
            <w:pPr>
              <w:spacing w:after="0" w:line="260"/>
              <w:jc w:val="center"/>
            </w:pPr>
            <w:r>
              <w:rPr>
                <w:rFonts w:ascii="Calibri" w:cs="Calibri" w:eastAsia="Calibri" w:hAnsi="Calibri"/>
                <w:b/>
                <w:bCs/>
                <w:color w:val="C03A2B"/>
                <w:sz w:val="20"/>
                <w:szCs w:val="20"/>
              </w:rPr>
              <w:t xml:space="preserve">GAP</w:t>
            </w:r>
          </w:p>
        </w:tc>
        <w:tc>
          <w:tcPr>
            <w:tcW w:type="pct" w:w="12%"/>
            <w:tcMar>
              <w:top w:type="dxa" w:w="100"/>
              <w:left w:type="dxa" w:w="120"/>
              <w:bottom w:type="dxa" w:w="100"/>
              <w:right w:type="dxa" w:w="120"/>
            </w:tcMar>
            <w:vAlign w:val="center"/>
          </w:tcPr>
          <w:p>
            <w:pPr>
              <w:spacing w:after="0" w:line="260"/>
              <w:jc w:val="left"/>
            </w:pPr>
            <w:r>
              <w:rPr>
                <w:rFonts w:ascii="Calibri" w:cs="Calibri" w:eastAsia="Calibri" w:hAnsi="Calibri"/>
                <w:b w:val="false"/>
                <w:bCs w:val="false"/>
                <w:color w:val="111827"/>
                <w:sz w:val="20"/>
                <w:szCs w:val="20"/>
              </w:rPr>
              <w:t xml:space="preserve">Build connectors (HubSpot first, then Salesforce). Add 'deal-to-project' automation.</w:t>
            </w:r>
          </w:p>
        </w:tc>
      </w:tr>
      <w:tr>
        <w:tc>
          <w:tcPr>
            <w:tcW w:type="pct" w:w="22%"/>
            <w:shd w:fill="F1F5F4" w:color="auto" w:val="clear"/>
            <w:tcMar>
              <w:top w:type="dxa" w:w="100"/>
              <w:left w:type="dxa" w:w="120"/>
              <w:bottom w:type="dxa" w:w="100"/>
              <w:right w:type="dxa" w:w="120"/>
            </w:tcMar>
            <w:vAlign w:val="center"/>
          </w:tcPr>
          <w:p>
            <w:pPr>
              <w:spacing w:after="0" w:line="260"/>
              <w:jc w:val="left"/>
            </w:pPr>
            <w:r>
              <w:rPr>
                <w:rFonts w:ascii="Calibri" w:cs="Calibri" w:eastAsia="Calibri" w:hAnsi="Calibri"/>
                <w:b/>
                <w:bCs/>
                <w:color w:val="111827"/>
                <w:sz w:val="20"/>
                <w:szCs w:val="20"/>
              </w:rPr>
              <w:t xml:space="preserve">Contract Types</w:t>
            </w:r>
          </w:p>
        </w:tc>
        <w:tc>
          <w:tcPr>
            <w:tcW w:type="pct" w:w="28%"/>
            <w:shd w:fill="F1F5F4" w:color="auto" w:val="clear"/>
            <w:tcMar>
              <w:top w:type="dxa" w:w="100"/>
              <w:left w:type="dxa" w:w="120"/>
              <w:bottom w:type="dxa" w:w="100"/>
              <w:right w:type="dxa" w:w="120"/>
            </w:tcMar>
            <w:vAlign w:val="center"/>
          </w:tcPr>
          <w:p>
            <w:pPr>
              <w:spacing w:after="0" w:line="260"/>
              <w:jc w:val="left"/>
            </w:pPr>
            <w:r>
              <w:rPr>
                <w:rFonts w:ascii="Calibri" w:cs="Calibri" w:eastAsia="Calibri" w:hAnsi="Calibri"/>
                <w:b w:val="false"/>
                <w:bCs w:val="false"/>
                <w:color w:val="111827"/>
                <w:sz w:val="20"/>
                <w:szCs w:val="20"/>
              </w:rPr>
              <w:t xml:space="preserve">Fixed fee, time &amp; material, installment, and recurring contracts. Role-based multi-rate billing on the same user.</w:t>
            </w:r>
          </w:p>
        </w:tc>
        <w:tc>
          <w:tcPr>
            <w:tcW w:type="pct" w:w="28%"/>
            <w:shd w:fill="F1F5F4" w:color="auto" w:val="clear"/>
            <w:tcMar>
              <w:top w:type="dxa" w:w="100"/>
              <w:left w:type="dxa" w:w="120"/>
              <w:bottom w:type="dxa" w:w="100"/>
              <w:right w:type="dxa" w:w="120"/>
            </w:tcMar>
            <w:vAlign w:val="center"/>
          </w:tcPr>
          <w:p>
            <w:pPr>
              <w:spacing w:after="0" w:line="260"/>
              <w:jc w:val="left"/>
            </w:pPr>
            <w:r>
              <w:rPr>
                <w:rFonts w:ascii="Calibri" w:cs="Calibri" w:eastAsia="Calibri" w:hAnsi="Calibri"/>
                <w:b w:val="false"/>
                <w:bCs w:val="false"/>
                <w:color w:val="111827"/>
                <w:sz w:val="20"/>
                <w:szCs w:val="20"/>
              </w:rPr>
              <w:t xml:space="preserve">Contract value per project (with/without VAT). Resource staffing uses ProjectResource with planned mandays × daily rate (per-resource rate, not per-role).</w:t>
            </w:r>
          </w:p>
        </w:tc>
        <w:tc>
          <w:tcPr>
            <w:tcW w:type="pct" w:w="10%"/>
            <w:shd w:fill="FEF3C7" w:color="auto" w:val="clear"/>
            <w:tcMar>
              <w:top w:type="dxa" w:w="100"/>
              <w:left w:type="dxa" w:w="120"/>
              <w:bottom w:type="dxa" w:w="100"/>
              <w:right w:type="dxa" w:w="120"/>
            </w:tcMar>
            <w:vAlign w:val="center"/>
          </w:tcPr>
          <w:p>
            <w:pPr>
              <w:spacing w:after="0" w:line="260"/>
              <w:jc w:val="center"/>
            </w:pPr>
            <w:r>
              <w:rPr>
                <w:rFonts w:ascii="Calibri" w:cs="Calibri" w:eastAsia="Calibri" w:hAnsi="Calibri"/>
                <w:b/>
                <w:bCs/>
                <w:color w:val="B8860B"/>
                <w:sz w:val="20"/>
                <w:szCs w:val="20"/>
              </w:rPr>
              <w:t xml:space="preserve">PARTIAL</w:t>
            </w:r>
          </w:p>
        </w:tc>
        <w:tc>
          <w:tcPr>
            <w:tcW w:type="pct" w:w="12%"/>
            <w:shd w:fill="F1F5F4" w:color="auto" w:val="clear"/>
            <w:tcMar>
              <w:top w:type="dxa" w:w="100"/>
              <w:left w:type="dxa" w:w="120"/>
              <w:bottom w:type="dxa" w:w="100"/>
              <w:right w:type="dxa" w:w="120"/>
            </w:tcMar>
            <w:vAlign w:val="center"/>
          </w:tcPr>
          <w:p>
            <w:pPr>
              <w:spacing w:after="0" w:line="260"/>
              <w:jc w:val="left"/>
            </w:pPr>
            <w:r>
              <w:rPr>
                <w:rFonts w:ascii="Calibri" w:cs="Calibri" w:eastAsia="Calibri" w:hAnsi="Calibri"/>
                <w:b w:val="false"/>
                <w:bCs w:val="false"/>
                <w:color w:val="111827"/>
                <w:sz w:val="20"/>
                <w:szCs w:val="20"/>
              </w:rPr>
              <w:t xml:space="preserve">Add contract-type enum (FIXED/T&amp;M/RETAINER); allow multi-rate per role.</w:t>
            </w:r>
          </w:p>
        </w:tc>
      </w:tr>
      <w:tr>
        <w:tc>
          <w:tcPr>
            <w:tcW w:type="pct" w:w="22%"/>
            <w:tcMar>
              <w:top w:type="dxa" w:w="100"/>
              <w:left w:type="dxa" w:w="120"/>
              <w:bottom w:type="dxa" w:w="100"/>
              <w:right w:type="dxa" w:w="120"/>
            </w:tcMar>
            <w:vAlign w:val="center"/>
          </w:tcPr>
          <w:p>
            <w:pPr>
              <w:spacing w:after="0" w:line="260"/>
              <w:jc w:val="left"/>
            </w:pPr>
            <w:r>
              <w:rPr>
                <w:rFonts w:ascii="Calibri" w:cs="Calibri" w:eastAsia="Calibri" w:hAnsi="Calibri"/>
                <w:b/>
                <w:bCs/>
                <w:color w:val="111827"/>
                <w:sz w:val="20"/>
                <w:szCs w:val="20"/>
              </w:rPr>
              <w:t xml:space="preserve">Quotes &amp; SOW</w:t>
            </w:r>
          </w:p>
        </w:tc>
        <w:tc>
          <w:tcPr>
            <w:tcW w:type="pct" w:w="28%"/>
            <w:tcMar>
              <w:top w:type="dxa" w:w="100"/>
              <w:left w:type="dxa" w:w="120"/>
              <w:bottom w:type="dxa" w:w="100"/>
              <w:right w:type="dxa" w:w="120"/>
            </w:tcMar>
            <w:vAlign w:val="center"/>
          </w:tcPr>
          <w:p>
            <w:pPr>
              <w:spacing w:after="0" w:line="260"/>
              <w:jc w:val="left"/>
            </w:pPr>
            <w:r>
              <w:rPr>
                <w:rFonts w:ascii="Calibri" w:cs="Calibri" w:eastAsia="Calibri" w:hAnsi="Calibri"/>
                <w:b w:val="false"/>
                <w:bCs w:val="false"/>
                <w:color w:val="111827"/>
                <w:sz w:val="20"/>
                <w:szCs w:val="20"/>
              </w:rPr>
              <w:t xml:space="preserve">Digital quote/SOW builder with e-signature; quote converts directly into a project.</w:t>
            </w:r>
          </w:p>
        </w:tc>
        <w:tc>
          <w:tcPr>
            <w:tcW w:type="pct" w:w="28%"/>
            <w:tcMar>
              <w:top w:type="dxa" w:w="100"/>
              <w:left w:type="dxa" w:w="120"/>
              <w:bottom w:type="dxa" w:w="100"/>
              <w:right w:type="dxa" w:w="120"/>
            </w:tcMar>
            <w:vAlign w:val="center"/>
          </w:tcPr>
          <w:p>
            <w:pPr>
              <w:spacing w:after="0" w:line="260"/>
              <w:jc w:val="left"/>
            </w:pPr>
            <w:r>
              <w:rPr>
                <w:rFonts w:ascii="Calibri" w:cs="Calibri" w:eastAsia="Calibri" w:hAnsi="Calibri"/>
                <w:b w:val="false"/>
                <w:bCs w:val="false"/>
                <w:color w:val="111827"/>
                <w:sz w:val="20"/>
                <w:szCs w:val="20"/>
              </w:rPr>
              <w:t xml:space="preserve">No quote/SOW module. Projects start in DRAFT after sales intake; no digital signing.</w:t>
            </w:r>
          </w:p>
        </w:tc>
        <w:tc>
          <w:tcPr>
            <w:tcW w:type="pct" w:w="10%"/>
            <w:shd w:fill="FEE2E2" w:color="auto" w:val="clear"/>
            <w:tcMar>
              <w:top w:type="dxa" w:w="100"/>
              <w:left w:type="dxa" w:w="120"/>
              <w:bottom w:type="dxa" w:w="100"/>
              <w:right w:type="dxa" w:w="120"/>
            </w:tcMar>
            <w:vAlign w:val="center"/>
          </w:tcPr>
          <w:p>
            <w:pPr>
              <w:spacing w:after="0" w:line="260"/>
              <w:jc w:val="center"/>
            </w:pPr>
            <w:r>
              <w:rPr>
                <w:rFonts w:ascii="Calibri" w:cs="Calibri" w:eastAsia="Calibri" w:hAnsi="Calibri"/>
                <w:b/>
                <w:bCs/>
                <w:color w:val="C03A2B"/>
                <w:sz w:val="20"/>
                <w:szCs w:val="20"/>
              </w:rPr>
              <w:t xml:space="preserve">GAP</w:t>
            </w:r>
          </w:p>
        </w:tc>
        <w:tc>
          <w:tcPr>
            <w:tcW w:type="pct" w:w="12%"/>
            <w:tcMar>
              <w:top w:type="dxa" w:w="100"/>
              <w:left w:type="dxa" w:w="120"/>
              <w:bottom w:type="dxa" w:w="100"/>
              <w:right w:type="dxa" w:w="120"/>
            </w:tcMar>
            <w:vAlign w:val="center"/>
          </w:tcPr>
          <w:p>
            <w:pPr>
              <w:spacing w:after="0" w:line="260"/>
              <w:jc w:val="left"/>
            </w:pPr>
            <w:r>
              <w:rPr>
                <w:rFonts w:ascii="Calibri" w:cs="Calibri" w:eastAsia="Calibri" w:hAnsi="Calibri"/>
                <w:b w:val="false"/>
                <w:bCs w:val="false"/>
                <w:color w:val="111827"/>
                <w:sz w:val="20"/>
                <w:szCs w:val="20"/>
              </w:rPr>
              <w:t xml:space="preserve">Add Quote/SOW entity, PDF generator, and e-sign (DocuSign or open-source).</w:t>
            </w:r>
          </w:p>
        </w:tc>
      </w:tr>
      <w:tr>
        <w:tc>
          <w:tcPr>
            <w:tcW w:type="pct" w:w="22%"/>
            <w:shd w:fill="F1F5F4" w:color="auto" w:val="clear"/>
            <w:tcMar>
              <w:top w:type="dxa" w:w="100"/>
              <w:left w:type="dxa" w:w="120"/>
              <w:bottom w:type="dxa" w:w="100"/>
              <w:right w:type="dxa" w:w="120"/>
            </w:tcMar>
            <w:vAlign w:val="center"/>
          </w:tcPr>
          <w:p>
            <w:pPr>
              <w:spacing w:after="0" w:line="260"/>
              <w:jc w:val="left"/>
            </w:pPr>
            <w:r>
              <w:rPr>
                <w:rFonts w:ascii="Calibri" w:cs="Calibri" w:eastAsia="Calibri" w:hAnsi="Calibri"/>
                <w:b/>
                <w:bCs/>
                <w:color w:val="111827"/>
                <w:sz w:val="20"/>
                <w:szCs w:val="20"/>
              </w:rPr>
              <w:t xml:space="preserve">Task Kanban Board</w:t>
            </w:r>
          </w:p>
        </w:tc>
        <w:tc>
          <w:tcPr>
            <w:tcW w:type="pct" w:w="28%"/>
            <w:shd w:fill="F1F5F4" w:color="auto" w:val="clear"/>
            <w:tcMar>
              <w:top w:type="dxa" w:w="100"/>
              <w:left w:type="dxa" w:w="120"/>
              <w:bottom w:type="dxa" w:w="100"/>
              <w:right w:type="dxa" w:w="120"/>
            </w:tcMar>
            <w:vAlign w:val="center"/>
          </w:tcPr>
          <w:p>
            <w:pPr>
              <w:spacing w:after="0" w:line="260"/>
              <w:jc w:val="left"/>
            </w:pPr>
            <w:r>
              <w:rPr>
                <w:rFonts w:ascii="Calibri" w:cs="Calibri" w:eastAsia="Calibri" w:hAnsi="Calibri"/>
                <w:b w:val="false"/>
                <w:bCs w:val="false"/>
                <w:color w:val="111827"/>
                <w:sz w:val="20"/>
                <w:szCs w:val="20"/>
              </w:rPr>
              <w:t xml:space="preserve">Kanban task boards with drag-drop status changes.</w:t>
            </w:r>
          </w:p>
        </w:tc>
        <w:tc>
          <w:tcPr>
            <w:tcW w:type="pct" w:w="28%"/>
            <w:shd w:fill="F1F5F4" w:color="auto" w:val="clear"/>
            <w:tcMar>
              <w:top w:type="dxa" w:w="100"/>
              <w:left w:type="dxa" w:w="120"/>
              <w:bottom w:type="dxa" w:w="100"/>
              <w:right w:type="dxa" w:w="120"/>
            </w:tcMar>
            <w:vAlign w:val="center"/>
          </w:tcPr>
          <w:p>
            <w:pPr>
              <w:spacing w:after="0" w:line="260"/>
              <w:jc w:val="left"/>
            </w:pPr>
            <w:r>
              <w:rPr>
                <w:rFonts w:ascii="Calibri" w:cs="Calibri" w:eastAsia="Calibri" w:hAnsi="Calibri"/>
                <w:b w:val="false"/>
                <w:bCs w:val="false"/>
                <w:color w:val="111827"/>
                <w:sz w:val="20"/>
                <w:szCs w:val="20"/>
              </w:rPr>
              <w:t xml:space="preserve">Tasks tab supports status updates, multi-assignee, WBS parent/child, and dependencies — but list view only, no Kanban swimlanes.</w:t>
            </w:r>
          </w:p>
        </w:tc>
        <w:tc>
          <w:tcPr>
            <w:tcW w:type="pct" w:w="10%"/>
            <w:shd w:fill="FEF3C7" w:color="auto" w:val="clear"/>
            <w:tcMar>
              <w:top w:type="dxa" w:w="100"/>
              <w:left w:type="dxa" w:w="120"/>
              <w:bottom w:type="dxa" w:w="100"/>
              <w:right w:type="dxa" w:w="120"/>
            </w:tcMar>
            <w:vAlign w:val="center"/>
          </w:tcPr>
          <w:p>
            <w:pPr>
              <w:spacing w:after="0" w:line="260"/>
              <w:jc w:val="center"/>
            </w:pPr>
            <w:r>
              <w:rPr>
                <w:rFonts w:ascii="Calibri" w:cs="Calibri" w:eastAsia="Calibri" w:hAnsi="Calibri"/>
                <w:b/>
                <w:bCs/>
                <w:color w:val="B8860B"/>
                <w:sz w:val="20"/>
                <w:szCs w:val="20"/>
              </w:rPr>
              <w:t xml:space="preserve">PARTIAL</w:t>
            </w:r>
          </w:p>
        </w:tc>
        <w:tc>
          <w:tcPr>
            <w:tcW w:type="pct" w:w="12%"/>
            <w:shd w:fill="F1F5F4" w:color="auto" w:val="clear"/>
            <w:tcMar>
              <w:top w:type="dxa" w:w="100"/>
              <w:left w:type="dxa" w:w="120"/>
              <w:bottom w:type="dxa" w:w="100"/>
              <w:right w:type="dxa" w:w="120"/>
            </w:tcMar>
            <w:vAlign w:val="center"/>
          </w:tcPr>
          <w:p>
            <w:pPr>
              <w:spacing w:after="0" w:line="260"/>
              <w:jc w:val="left"/>
            </w:pPr>
            <w:r>
              <w:rPr>
                <w:rFonts w:ascii="Calibri" w:cs="Calibri" w:eastAsia="Calibri" w:hAnsi="Calibri"/>
                <w:b w:val="false"/>
                <w:bCs w:val="false"/>
                <w:color w:val="111827"/>
                <w:sz w:val="20"/>
                <w:szCs w:val="20"/>
              </w:rPr>
              <w:t xml:space="preserve">Add Kanban view on TasksTab grouped by status.</w:t>
            </w:r>
          </w:p>
        </w:tc>
      </w:tr>
      <w:tr>
        <w:tc>
          <w:tcPr>
            <w:tcW w:type="pct" w:w="22%"/>
            <w:tcMar>
              <w:top w:type="dxa" w:w="100"/>
              <w:left w:type="dxa" w:w="120"/>
              <w:bottom w:type="dxa" w:w="100"/>
              <w:right w:type="dxa" w:w="120"/>
            </w:tcMar>
            <w:vAlign w:val="center"/>
          </w:tcPr>
          <w:p>
            <w:pPr>
              <w:spacing w:after="0" w:line="260"/>
              <w:jc w:val="left"/>
            </w:pPr>
            <w:r>
              <w:rPr>
                <w:rFonts w:ascii="Calibri" w:cs="Calibri" w:eastAsia="Calibri" w:hAnsi="Calibri"/>
                <w:b/>
                <w:bCs/>
                <w:color w:val="111827"/>
                <w:sz w:val="20"/>
                <w:szCs w:val="20"/>
              </w:rPr>
              <w:t xml:space="preserve">Gantt Chart</w:t>
            </w:r>
          </w:p>
        </w:tc>
        <w:tc>
          <w:tcPr>
            <w:tcW w:type="pct" w:w="28%"/>
            <w:tcMar>
              <w:top w:type="dxa" w:w="100"/>
              <w:left w:type="dxa" w:w="120"/>
              <w:bottom w:type="dxa" w:w="100"/>
              <w:right w:type="dxa" w:w="120"/>
            </w:tcMar>
            <w:vAlign w:val="center"/>
          </w:tcPr>
          <w:p>
            <w:pPr>
              <w:spacing w:after="0" w:line="260"/>
              <w:jc w:val="left"/>
            </w:pPr>
            <w:r>
              <w:rPr>
                <w:rFonts w:ascii="Calibri" w:cs="Calibri" w:eastAsia="Calibri" w:hAnsi="Calibri"/>
                <w:b w:val="false"/>
                <w:bCs w:val="false"/>
                <w:color w:val="111827"/>
                <w:sz w:val="20"/>
                <w:szCs w:val="20"/>
              </w:rPr>
              <w:t xml:space="preserve">Gantt charts for resource and timeline planning.</w:t>
            </w:r>
          </w:p>
        </w:tc>
        <w:tc>
          <w:tcPr>
            <w:tcW w:type="pct" w:w="28%"/>
            <w:tcMar>
              <w:top w:type="dxa" w:w="100"/>
              <w:left w:type="dxa" w:w="120"/>
              <w:bottom w:type="dxa" w:w="100"/>
              <w:right w:type="dxa" w:w="120"/>
            </w:tcMar>
            <w:vAlign w:val="center"/>
          </w:tcPr>
          <w:p>
            <w:pPr>
              <w:spacing w:after="0" w:line="260"/>
              <w:jc w:val="left"/>
            </w:pPr>
            <w:r>
              <w:rPr>
                <w:rFonts w:ascii="Calibri" w:cs="Calibri" w:eastAsia="Calibri" w:hAnsi="Calibri"/>
                <w:b w:val="false"/>
                <w:bCs w:val="false"/>
                <w:color w:val="111827"/>
                <w:sz w:val="20"/>
                <w:szCs w:val="20"/>
              </w:rPr>
              <w:t xml:space="preserve">Interactive Gantt (TaskGanttChart) with drag-to-move, edge-resize, and SVG dependency arrows.</w:t>
            </w:r>
          </w:p>
        </w:tc>
        <w:tc>
          <w:tcPr>
            <w:tcW w:type="pct" w:w="10%"/>
            <w:shd w:fill="DCFCE7" w:color="auto" w:val="clear"/>
            <w:tcMar>
              <w:top w:type="dxa" w:w="100"/>
              <w:left w:type="dxa" w:w="120"/>
              <w:bottom w:type="dxa" w:w="100"/>
              <w:right w:type="dxa" w:w="120"/>
            </w:tcMar>
            <w:vAlign w:val="center"/>
          </w:tcPr>
          <w:p>
            <w:pPr>
              <w:spacing w:after="0" w:line="260"/>
              <w:jc w:val="center"/>
            </w:pPr>
            <w:r>
              <w:rPr>
                <w:rFonts w:ascii="Calibri" w:cs="Calibri" w:eastAsia="Calibri" w:hAnsi="Calibri"/>
                <w:b/>
                <w:bCs/>
                <w:color w:val="1B8E5A"/>
                <w:sz w:val="20"/>
                <w:szCs w:val="20"/>
              </w:rPr>
              <w:t xml:space="preserve">FIT</w:t>
            </w:r>
          </w:p>
        </w:tc>
        <w:tc>
          <w:tcPr>
            <w:tcW w:type="pct" w:w="12%"/>
            <w:tcMar>
              <w:top w:type="dxa" w:w="100"/>
              <w:left w:type="dxa" w:w="120"/>
              <w:bottom w:type="dxa" w:w="100"/>
              <w:right w:type="dxa" w:w="120"/>
            </w:tcMar>
            <w:vAlign w:val="center"/>
          </w:tcPr>
          <w:p>
            <w:pPr>
              <w:spacing w:after="0" w:line="260"/>
              <w:jc w:val="left"/>
            </w:pPr>
            <w:r>
              <w:rPr>
                <w:rFonts w:ascii="Calibri" w:cs="Calibri" w:eastAsia="Calibri" w:hAnsi="Calibri"/>
                <w:b w:val="false"/>
                <w:bCs w:val="false"/>
                <w:color w:val="111827"/>
                <w:sz w:val="20"/>
                <w:szCs w:val="20"/>
              </w:rPr>
              <w:t xml:space="preserve">—</w:t>
            </w:r>
          </w:p>
        </w:tc>
      </w:tr>
      <w:tr>
        <w:tc>
          <w:tcPr>
            <w:tcW w:type="pct" w:w="22%"/>
            <w:shd w:fill="F1F5F4" w:color="auto" w:val="clear"/>
            <w:tcMar>
              <w:top w:type="dxa" w:w="100"/>
              <w:left w:type="dxa" w:w="120"/>
              <w:bottom w:type="dxa" w:w="100"/>
              <w:right w:type="dxa" w:w="120"/>
            </w:tcMar>
            <w:vAlign w:val="center"/>
          </w:tcPr>
          <w:p>
            <w:pPr>
              <w:spacing w:after="0" w:line="260"/>
              <w:jc w:val="left"/>
            </w:pPr>
            <w:r>
              <w:rPr>
                <w:rFonts w:ascii="Calibri" w:cs="Calibri" w:eastAsia="Calibri" w:hAnsi="Calibri"/>
                <w:b/>
                <w:bCs/>
                <w:color w:val="111827"/>
                <w:sz w:val="20"/>
                <w:szCs w:val="20"/>
              </w:rPr>
              <w:t xml:space="preserve">Predictive Project Management</w:t>
            </w:r>
          </w:p>
        </w:tc>
        <w:tc>
          <w:tcPr>
            <w:tcW w:type="pct" w:w="28%"/>
            <w:shd w:fill="F1F5F4" w:color="auto" w:val="clear"/>
            <w:tcMar>
              <w:top w:type="dxa" w:w="100"/>
              <w:left w:type="dxa" w:w="120"/>
              <w:bottom w:type="dxa" w:w="100"/>
              <w:right w:type="dxa" w:w="120"/>
            </w:tcMar>
            <w:vAlign w:val="center"/>
          </w:tcPr>
          <w:p>
            <w:pPr>
              <w:spacing w:after="0" w:line="260"/>
              <w:jc w:val="left"/>
            </w:pPr>
            <w:r>
              <w:rPr>
                <w:rFonts w:ascii="Calibri" w:cs="Calibri" w:eastAsia="Calibri" w:hAnsi="Calibri"/>
                <w:b w:val="false"/>
                <w:bCs w:val="false"/>
                <w:color w:val="111827"/>
                <w:sz w:val="20"/>
                <w:szCs w:val="20"/>
              </w:rPr>
              <w:t xml:space="preserve">AI Copilot forecasts timelines, resource needs, budget overruns; smart insights with auto-generated charts.</w:t>
            </w:r>
          </w:p>
        </w:tc>
        <w:tc>
          <w:tcPr>
            <w:tcW w:type="pct" w:w="28%"/>
            <w:shd w:fill="F1F5F4" w:color="auto" w:val="clear"/>
            <w:tcMar>
              <w:top w:type="dxa" w:w="100"/>
              <w:left w:type="dxa" w:w="120"/>
              <w:bottom w:type="dxa" w:w="100"/>
              <w:right w:type="dxa" w:w="120"/>
            </w:tcMar>
            <w:vAlign w:val="center"/>
          </w:tcPr>
          <w:p>
            <w:pPr>
              <w:spacing w:after="0" w:line="260"/>
              <w:jc w:val="left"/>
            </w:pPr>
            <w:r>
              <w:rPr>
                <w:rFonts w:ascii="Calibri" w:cs="Calibri" w:eastAsia="Calibri" w:hAnsi="Calibri"/>
                <w:b w:val="false"/>
                <w:bCs w:val="false"/>
                <w:color w:val="111827"/>
                <w:sz w:val="20"/>
                <w:szCs w:val="20"/>
              </w:rPr>
              <w:t xml:space="preserve">Linear burn-rate forecast on Financials endpoint; no AI/ML.</w:t>
            </w:r>
          </w:p>
        </w:tc>
        <w:tc>
          <w:tcPr>
            <w:tcW w:type="pct" w:w="10%"/>
            <w:shd w:fill="FEE2E2" w:color="auto" w:val="clear"/>
            <w:tcMar>
              <w:top w:type="dxa" w:w="100"/>
              <w:left w:type="dxa" w:w="120"/>
              <w:bottom w:type="dxa" w:w="100"/>
              <w:right w:type="dxa" w:w="120"/>
            </w:tcMar>
            <w:vAlign w:val="center"/>
          </w:tcPr>
          <w:p>
            <w:pPr>
              <w:spacing w:after="0" w:line="260"/>
              <w:jc w:val="center"/>
            </w:pPr>
            <w:r>
              <w:rPr>
                <w:rFonts w:ascii="Calibri" w:cs="Calibri" w:eastAsia="Calibri" w:hAnsi="Calibri"/>
                <w:b/>
                <w:bCs/>
                <w:color w:val="C03A2B"/>
                <w:sz w:val="20"/>
                <w:szCs w:val="20"/>
              </w:rPr>
              <w:t xml:space="preserve">GAP</w:t>
            </w:r>
          </w:p>
        </w:tc>
        <w:tc>
          <w:tcPr>
            <w:tcW w:type="pct" w:w="12%"/>
            <w:shd w:fill="F1F5F4" w:color="auto" w:val="clear"/>
            <w:tcMar>
              <w:top w:type="dxa" w:w="100"/>
              <w:left w:type="dxa" w:w="120"/>
              <w:bottom w:type="dxa" w:w="100"/>
              <w:right w:type="dxa" w:w="120"/>
            </w:tcMar>
            <w:vAlign w:val="center"/>
          </w:tcPr>
          <w:p>
            <w:pPr>
              <w:spacing w:after="0" w:line="260"/>
              <w:jc w:val="left"/>
            </w:pPr>
            <w:r>
              <w:rPr>
                <w:rFonts w:ascii="Calibri" w:cs="Calibri" w:eastAsia="Calibri" w:hAnsi="Calibri"/>
                <w:b w:val="false"/>
                <w:bCs w:val="false"/>
                <w:color w:val="111827"/>
                <w:sz w:val="20"/>
                <w:szCs w:val="20"/>
              </w:rPr>
              <w:t xml:space="preserve">Phase-2 AI Copilot (LLM + project history) for budget/at-risk prediction.</w:t>
            </w:r>
          </w:p>
        </w:tc>
      </w:tr>
      <w:tr>
        <w:tc>
          <w:tcPr>
            <w:tcW w:type="pct" w:w="22%"/>
            <w:tcMar>
              <w:top w:type="dxa" w:w="100"/>
              <w:left w:type="dxa" w:w="120"/>
              <w:bottom w:type="dxa" w:w="100"/>
              <w:right w:type="dxa" w:w="120"/>
            </w:tcMar>
            <w:vAlign w:val="center"/>
          </w:tcPr>
          <w:p>
            <w:pPr>
              <w:spacing w:after="0" w:line="260"/>
              <w:jc w:val="left"/>
            </w:pPr>
            <w:r>
              <w:rPr>
                <w:rFonts w:ascii="Calibri" w:cs="Calibri" w:eastAsia="Calibri" w:hAnsi="Calibri"/>
                <w:b/>
                <w:bCs/>
                <w:color w:val="111827"/>
                <w:sz w:val="20"/>
                <w:szCs w:val="20"/>
              </w:rPr>
              <w:t xml:space="preserve">Self-driving Time Tracking</w:t>
            </w:r>
          </w:p>
        </w:tc>
        <w:tc>
          <w:tcPr>
            <w:tcW w:type="pct" w:w="28%"/>
            <w:tcMar>
              <w:top w:type="dxa" w:w="100"/>
              <w:left w:type="dxa" w:w="120"/>
              <w:bottom w:type="dxa" w:w="100"/>
              <w:right w:type="dxa" w:w="120"/>
            </w:tcMar>
            <w:vAlign w:val="center"/>
          </w:tcPr>
          <w:p>
            <w:pPr>
              <w:spacing w:after="0" w:line="260"/>
              <w:jc w:val="left"/>
            </w:pPr>
            <w:r>
              <w:rPr>
                <w:rFonts w:ascii="Calibri" w:cs="Calibri" w:eastAsia="Calibri" w:hAnsi="Calibri"/>
                <w:b w:val="false"/>
                <w:bCs w:val="false"/>
                <w:color w:val="111827"/>
                <w:sz w:val="20"/>
                <w:szCs w:val="20"/>
              </w:rPr>
              <w:t xml:space="preserve">Browser extension, calendar (Outlook/Google) integration, mobile app, automatic time capture.</w:t>
            </w:r>
          </w:p>
        </w:tc>
        <w:tc>
          <w:tcPr>
            <w:tcW w:type="pct" w:w="28%"/>
            <w:tcMar>
              <w:top w:type="dxa" w:w="100"/>
              <w:left w:type="dxa" w:w="120"/>
              <w:bottom w:type="dxa" w:w="100"/>
              <w:right w:type="dxa" w:w="120"/>
            </w:tcMar>
            <w:vAlign w:val="center"/>
          </w:tcPr>
          <w:p>
            <w:pPr>
              <w:spacing w:after="0" w:line="260"/>
              <w:jc w:val="left"/>
            </w:pPr>
            <w:r>
              <w:rPr>
                <w:rFonts w:ascii="Calibri" w:cs="Calibri" w:eastAsia="Calibri" w:hAnsi="Calibri"/>
                <w:b w:val="false"/>
                <w:bCs w:val="false"/>
                <w:color w:val="111827"/>
                <w:sz w:val="20"/>
                <w:szCs w:val="20"/>
              </w:rPr>
              <w:t xml:space="preserve">Manual Quick Log + Weekly Entry grid (5 days) + per-task time logs. No calendar sync, no mobile app, no browser ext.</w:t>
            </w:r>
          </w:p>
        </w:tc>
        <w:tc>
          <w:tcPr>
            <w:tcW w:type="pct" w:w="10%"/>
            <w:shd w:fill="FEF3C7" w:color="auto" w:val="clear"/>
            <w:tcMar>
              <w:top w:type="dxa" w:w="100"/>
              <w:left w:type="dxa" w:w="120"/>
              <w:bottom w:type="dxa" w:w="100"/>
              <w:right w:type="dxa" w:w="120"/>
            </w:tcMar>
            <w:vAlign w:val="center"/>
          </w:tcPr>
          <w:p>
            <w:pPr>
              <w:spacing w:after="0" w:line="260"/>
              <w:jc w:val="center"/>
            </w:pPr>
            <w:r>
              <w:rPr>
                <w:rFonts w:ascii="Calibri" w:cs="Calibri" w:eastAsia="Calibri" w:hAnsi="Calibri"/>
                <w:b/>
                <w:bCs/>
                <w:color w:val="B8860B"/>
                <w:sz w:val="20"/>
                <w:szCs w:val="20"/>
              </w:rPr>
              <w:t xml:space="preserve">PARTIAL</w:t>
            </w:r>
          </w:p>
        </w:tc>
        <w:tc>
          <w:tcPr>
            <w:tcW w:type="pct" w:w="12%"/>
            <w:tcMar>
              <w:top w:type="dxa" w:w="100"/>
              <w:left w:type="dxa" w:w="120"/>
              <w:bottom w:type="dxa" w:w="100"/>
              <w:right w:type="dxa" w:w="120"/>
            </w:tcMar>
            <w:vAlign w:val="center"/>
          </w:tcPr>
          <w:p>
            <w:pPr>
              <w:spacing w:after="0" w:line="260"/>
              <w:jc w:val="left"/>
            </w:pPr>
            <w:r>
              <w:rPr>
                <w:rFonts w:ascii="Calibri" w:cs="Calibri" w:eastAsia="Calibri" w:hAnsi="Calibri"/>
                <w:b w:val="false"/>
                <w:bCs w:val="false"/>
                <w:color w:val="111827"/>
                <w:sz w:val="20"/>
                <w:szCs w:val="20"/>
              </w:rPr>
              <w:t xml:space="preserve">Build calendar add-in; mobile (Expo) timesheet app; auto-suggest from calendar events.</w:t>
            </w:r>
          </w:p>
        </w:tc>
      </w:tr>
      <w:tr>
        <w:tc>
          <w:tcPr>
            <w:tcW w:type="pct" w:w="22%"/>
            <w:shd w:fill="F1F5F4" w:color="auto" w:val="clear"/>
            <w:tcMar>
              <w:top w:type="dxa" w:w="100"/>
              <w:left w:type="dxa" w:w="120"/>
              <w:bottom w:type="dxa" w:w="100"/>
              <w:right w:type="dxa" w:w="120"/>
            </w:tcMar>
            <w:vAlign w:val="center"/>
          </w:tcPr>
          <w:p>
            <w:pPr>
              <w:spacing w:after="0" w:line="260"/>
              <w:jc w:val="left"/>
            </w:pPr>
            <w:r>
              <w:rPr>
                <w:rFonts w:ascii="Calibri" w:cs="Calibri" w:eastAsia="Calibri" w:hAnsi="Calibri"/>
                <w:b/>
                <w:bCs/>
                <w:color w:val="111827"/>
                <w:sz w:val="20"/>
                <w:szCs w:val="20"/>
              </w:rPr>
              <w:t xml:space="preserve">Timesheet Approval</w:t>
            </w:r>
          </w:p>
        </w:tc>
        <w:tc>
          <w:tcPr>
            <w:tcW w:type="pct" w:w="28%"/>
            <w:shd w:fill="F1F5F4" w:color="auto" w:val="clear"/>
            <w:tcMar>
              <w:top w:type="dxa" w:w="100"/>
              <w:left w:type="dxa" w:w="120"/>
              <w:bottom w:type="dxa" w:w="100"/>
              <w:right w:type="dxa" w:w="120"/>
            </w:tcMar>
            <w:vAlign w:val="center"/>
          </w:tcPr>
          <w:p>
            <w:pPr>
              <w:spacing w:after="0" w:line="260"/>
              <w:jc w:val="left"/>
            </w:pPr>
            <w:r>
              <w:rPr>
                <w:rFonts w:ascii="Calibri" w:cs="Calibri" w:eastAsia="Calibri" w:hAnsi="Calibri"/>
                <w:b w:val="false"/>
                <w:bCs w:val="false"/>
                <w:color w:val="111827"/>
                <w:sz w:val="20"/>
                <w:szCs w:val="20"/>
              </w:rPr>
              <w:t xml:space="preserve">PMs approve, modify, or reject time entries.</w:t>
            </w:r>
          </w:p>
        </w:tc>
        <w:tc>
          <w:tcPr>
            <w:tcW w:type="pct" w:w="28%"/>
            <w:shd w:fill="F1F5F4" w:color="auto" w:val="clear"/>
            <w:tcMar>
              <w:top w:type="dxa" w:w="100"/>
              <w:left w:type="dxa" w:w="120"/>
              <w:bottom w:type="dxa" w:w="100"/>
              <w:right w:type="dxa" w:w="120"/>
            </w:tcMar>
            <w:vAlign w:val="center"/>
          </w:tcPr>
          <w:p>
            <w:pPr>
              <w:spacing w:after="0" w:line="260"/>
              <w:jc w:val="left"/>
            </w:pPr>
            <w:r>
              <w:rPr>
                <w:rFonts w:ascii="Calibri" w:cs="Calibri" w:eastAsia="Calibri" w:hAnsi="Calibri"/>
                <w:b w:val="false"/>
                <w:bCs w:val="false"/>
                <w:color w:val="111827"/>
                <w:sz w:val="20"/>
                <w:szCs w:val="20"/>
              </w:rPr>
              <w:t xml:space="preserve">Full approval workflow: DRAFT → SUBMITTED → APPROVED/REJECTED, PM/MGMT-only approve; auto-approve for bulk PM/MGMT entries.</w:t>
            </w:r>
          </w:p>
        </w:tc>
        <w:tc>
          <w:tcPr>
            <w:tcW w:type="pct" w:w="10%"/>
            <w:shd w:fill="DCFCE7" w:color="auto" w:val="clear"/>
            <w:tcMar>
              <w:top w:type="dxa" w:w="100"/>
              <w:left w:type="dxa" w:w="120"/>
              <w:bottom w:type="dxa" w:w="100"/>
              <w:right w:type="dxa" w:w="120"/>
            </w:tcMar>
            <w:vAlign w:val="center"/>
          </w:tcPr>
          <w:p>
            <w:pPr>
              <w:spacing w:after="0" w:line="260"/>
              <w:jc w:val="center"/>
            </w:pPr>
            <w:r>
              <w:rPr>
                <w:rFonts w:ascii="Calibri" w:cs="Calibri" w:eastAsia="Calibri" w:hAnsi="Calibri"/>
                <w:b/>
                <w:bCs/>
                <w:color w:val="1B8E5A"/>
                <w:sz w:val="20"/>
                <w:szCs w:val="20"/>
              </w:rPr>
              <w:t xml:space="preserve">FIT</w:t>
            </w:r>
          </w:p>
        </w:tc>
        <w:tc>
          <w:tcPr>
            <w:tcW w:type="pct" w:w="12%"/>
            <w:shd w:fill="F1F5F4" w:color="auto" w:val="clear"/>
            <w:tcMar>
              <w:top w:type="dxa" w:w="100"/>
              <w:left w:type="dxa" w:w="120"/>
              <w:bottom w:type="dxa" w:w="100"/>
              <w:right w:type="dxa" w:w="120"/>
            </w:tcMar>
            <w:vAlign w:val="center"/>
          </w:tcPr>
          <w:p>
            <w:pPr>
              <w:spacing w:after="0" w:line="260"/>
              <w:jc w:val="left"/>
            </w:pPr>
            <w:r>
              <w:rPr>
                <w:rFonts w:ascii="Calibri" w:cs="Calibri" w:eastAsia="Calibri" w:hAnsi="Calibri"/>
                <w:b w:val="false"/>
                <w:bCs w:val="false"/>
                <w:color w:val="111827"/>
                <w:sz w:val="20"/>
                <w:szCs w:val="20"/>
              </w:rPr>
              <w:t xml:space="preserve">—</w:t>
            </w:r>
          </w:p>
        </w:tc>
      </w:tr>
      <w:tr>
        <w:tc>
          <w:tcPr>
            <w:tcW w:type="pct" w:w="22%"/>
            <w:tcMar>
              <w:top w:type="dxa" w:w="100"/>
              <w:left w:type="dxa" w:w="120"/>
              <w:bottom w:type="dxa" w:w="100"/>
              <w:right w:type="dxa" w:w="120"/>
            </w:tcMar>
            <w:vAlign w:val="center"/>
          </w:tcPr>
          <w:p>
            <w:pPr>
              <w:spacing w:after="0" w:line="260"/>
              <w:jc w:val="left"/>
            </w:pPr>
            <w:r>
              <w:rPr>
                <w:rFonts w:ascii="Calibri" w:cs="Calibri" w:eastAsia="Calibri" w:hAnsi="Calibri"/>
                <w:b/>
                <w:bCs/>
                <w:color w:val="111827"/>
                <w:sz w:val="20"/>
                <w:szCs w:val="20"/>
              </w:rPr>
              <w:t xml:space="preserve">Expense Tracking</w:t>
            </w:r>
          </w:p>
        </w:tc>
        <w:tc>
          <w:tcPr>
            <w:tcW w:type="pct" w:w="28%"/>
            <w:tcMar>
              <w:top w:type="dxa" w:w="100"/>
              <w:left w:type="dxa" w:w="120"/>
              <w:bottom w:type="dxa" w:w="100"/>
              <w:right w:type="dxa" w:w="120"/>
            </w:tcMar>
            <w:vAlign w:val="center"/>
          </w:tcPr>
          <w:p>
            <w:pPr>
              <w:spacing w:after="0" w:line="260"/>
              <w:jc w:val="left"/>
            </w:pPr>
            <w:r>
              <w:rPr>
                <w:rFonts w:ascii="Calibri" w:cs="Calibri" w:eastAsia="Calibri" w:hAnsi="Calibri"/>
                <w:b w:val="false"/>
                <w:bCs w:val="false"/>
                <w:color w:val="111827"/>
                <w:sz w:val="20"/>
                <w:szCs w:val="20"/>
              </w:rPr>
              <w:t xml:space="preserve">Expense logging with calendar integrations and real-time insight.</w:t>
            </w:r>
          </w:p>
        </w:tc>
        <w:tc>
          <w:tcPr>
            <w:tcW w:type="pct" w:w="28%"/>
            <w:tcMar>
              <w:top w:type="dxa" w:w="100"/>
              <w:left w:type="dxa" w:w="120"/>
              <w:bottom w:type="dxa" w:w="100"/>
              <w:right w:type="dxa" w:w="120"/>
            </w:tcMar>
            <w:vAlign w:val="center"/>
          </w:tcPr>
          <w:p>
            <w:pPr>
              <w:spacing w:after="0" w:line="260"/>
              <w:jc w:val="left"/>
            </w:pPr>
            <w:r>
              <w:rPr>
                <w:rFonts w:ascii="Calibri" w:cs="Calibri" w:eastAsia="Calibri" w:hAnsi="Calibri"/>
                <w:b w:val="false"/>
                <w:bCs w:val="false"/>
                <w:color w:val="111827"/>
                <w:sz w:val="20"/>
                <w:szCs w:val="20"/>
              </w:rPr>
              <w:t xml:space="preserve">ProjectExpense (SOFTWARE/HARDWARE/LICENSE/TRAVEL/OTHER) with PENDING/APPROVED/REJECTED workflow. Only APPROVED rolls into actualCost/margin.</w:t>
            </w:r>
          </w:p>
        </w:tc>
        <w:tc>
          <w:tcPr>
            <w:tcW w:type="pct" w:w="10%"/>
            <w:shd w:fill="DCFCE7" w:color="auto" w:val="clear"/>
            <w:tcMar>
              <w:top w:type="dxa" w:w="100"/>
              <w:left w:type="dxa" w:w="120"/>
              <w:bottom w:type="dxa" w:w="100"/>
              <w:right w:type="dxa" w:w="120"/>
            </w:tcMar>
            <w:vAlign w:val="center"/>
          </w:tcPr>
          <w:p>
            <w:pPr>
              <w:spacing w:after="0" w:line="260"/>
              <w:jc w:val="center"/>
            </w:pPr>
            <w:r>
              <w:rPr>
                <w:rFonts w:ascii="Calibri" w:cs="Calibri" w:eastAsia="Calibri" w:hAnsi="Calibri"/>
                <w:b/>
                <w:bCs/>
                <w:color w:val="1B8E5A"/>
                <w:sz w:val="20"/>
                <w:szCs w:val="20"/>
              </w:rPr>
              <w:t xml:space="preserve">FIT</w:t>
            </w:r>
          </w:p>
        </w:tc>
        <w:tc>
          <w:tcPr>
            <w:tcW w:type="pct" w:w="12%"/>
            <w:tcMar>
              <w:top w:type="dxa" w:w="100"/>
              <w:left w:type="dxa" w:w="120"/>
              <w:bottom w:type="dxa" w:w="100"/>
              <w:right w:type="dxa" w:w="120"/>
            </w:tcMar>
            <w:vAlign w:val="center"/>
          </w:tcPr>
          <w:p>
            <w:pPr>
              <w:spacing w:after="0" w:line="260"/>
              <w:jc w:val="left"/>
            </w:pPr>
            <w:r>
              <w:rPr>
                <w:rFonts w:ascii="Calibri" w:cs="Calibri" w:eastAsia="Calibri" w:hAnsi="Calibri"/>
                <w:b w:val="false"/>
                <w:bCs w:val="false"/>
                <w:color w:val="111827"/>
                <w:sz w:val="20"/>
                <w:szCs w:val="20"/>
              </w:rPr>
              <w:t xml:space="preserve">—</w:t>
            </w:r>
          </w:p>
        </w:tc>
      </w:tr>
      <w:tr>
        <w:tc>
          <w:tcPr>
            <w:tcW w:type="pct" w:w="22%"/>
            <w:shd w:fill="F1F5F4" w:color="auto" w:val="clear"/>
            <w:tcMar>
              <w:top w:type="dxa" w:w="100"/>
              <w:left w:type="dxa" w:w="120"/>
              <w:bottom w:type="dxa" w:w="100"/>
              <w:right w:type="dxa" w:w="120"/>
            </w:tcMar>
            <w:vAlign w:val="center"/>
          </w:tcPr>
          <w:p>
            <w:pPr>
              <w:spacing w:after="0" w:line="260"/>
              <w:jc w:val="left"/>
            </w:pPr>
            <w:r>
              <w:rPr>
                <w:rFonts w:ascii="Calibri" w:cs="Calibri" w:eastAsia="Calibri" w:hAnsi="Calibri"/>
                <w:b/>
                <w:bCs/>
                <w:color w:val="111827"/>
                <w:sz w:val="20"/>
                <w:szCs w:val="20"/>
              </w:rPr>
              <w:t xml:space="preserve">Milestone Invoicing</w:t>
            </w:r>
          </w:p>
        </w:tc>
        <w:tc>
          <w:tcPr>
            <w:tcW w:type="pct" w:w="28%"/>
            <w:shd w:fill="F1F5F4" w:color="auto" w:val="clear"/>
            <w:tcMar>
              <w:top w:type="dxa" w:w="100"/>
              <w:left w:type="dxa" w:w="120"/>
              <w:bottom w:type="dxa" w:w="100"/>
              <w:right w:type="dxa" w:w="120"/>
            </w:tcMar>
            <w:vAlign w:val="center"/>
          </w:tcPr>
          <w:p>
            <w:pPr>
              <w:spacing w:after="0" w:line="260"/>
              <w:jc w:val="left"/>
            </w:pPr>
            <w:r>
              <w:rPr>
                <w:rFonts w:ascii="Calibri" w:cs="Calibri" w:eastAsia="Calibri" w:hAnsi="Calibri"/>
                <w:b w:val="false"/>
                <w:bCs w:val="false"/>
                <w:color w:val="111827"/>
                <w:sz w:val="20"/>
                <w:szCs w:val="20"/>
              </w:rPr>
              <w:t xml:space="preserve">Smart invoicing: recurring, installment, milestone, time &amp; material. Auto-triggers when service hours exceed allotment.</w:t>
            </w:r>
          </w:p>
        </w:tc>
        <w:tc>
          <w:tcPr>
            <w:tcW w:type="pct" w:w="28%"/>
            <w:shd w:fill="F1F5F4" w:color="auto" w:val="clear"/>
            <w:tcMar>
              <w:top w:type="dxa" w:w="100"/>
              <w:left w:type="dxa" w:w="120"/>
              <w:bottom w:type="dxa" w:w="100"/>
              <w:right w:type="dxa" w:w="120"/>
            </w:tcMar>
            <w:vAlign w:val="center"/>
          </w:tcPr>
          <w:p>
            <w:pPr>
              <w:spacing w:after="0" w:line="260"/>
              <w:jc w:val="left"/>
            </w:pPr>
            <w:r>
              <w:rPr>
                <w:rFonts w:ascii="Calibri" w:cs="Calibri" w:eastAsia="Calibri" w:hAnsi="Calibri"/>
                <w:b w:val="false"/>
                <w:bCs w:val="false"/>
                <w:color w:val="111827"/>
                <w:sz w:val="20"/>
                <w:szCs w:val="20"/>
              </w:rPr>
              <w:t xml:space="preserve">BillingMilestone table with %, DPP, VAT, due date, status PLANNED→INVOICED→PAID. Indonesian VAT split (vatPercent honoring contractValueIncludesVat).</w:t>
            </w:r>
          </w:p>
        </w:tc>
        <w:tc>
          <w:tcPr>
            <w:tcW w:type="pct" w:w="10%"/>
            <w:shd w:fill="FEF3C7" w:color="auto" w:val="clear"/>
            <w:tcMar>
              <w:top w:type="dxa" w:w="100"/>
              <w:left w:type="dxa" w:w="120"/>
              <w:bottom w:type="dxa" w:w="100"/>
              <w:right w:type="dxa" w:w="120"/>
            </w:tcMar>
            <w:vAlign w:val="center"/>
          </w:tcPr>
          <w:p>
            <w:pPr>
              <w:spacing w:after="0" w:line="260"/>
              <w:jc w:val="center"/>
            </w:pPr>
            <w:r>
              <w:rPr>
                <w:rFonts w:ascii="Calibri" w:cs="Calibri" w:eastAsia="Calibri" w:hAnsi="Calibri"/>
                <w:b/>
                <w:bCs/>
                <w:color w:val="B8860B"/>
                <w:sz w:val="20"/>
                <w:szCs w:val="20"/>
              </w:rPr>
              <w:t xml:space="preserve">PARTIAL</w:t>
            </w:r>
          </w:p>
        </w:tc>
        <w:tc>
          <w:tcPr>
            <w:tcW w:type="pct" w:w="12%"/>
            <w:shd w:fill="F1F5F4" w:color="auto" w:val="clear"/>
            <w:tcMar>
              <w:top w:type="dxa" w:w="100"/>
              <w:left w:type="dxa" w:w="120"/>
              <w:bottom w:type="dxa" w:w="100"/>
              <w:right w:type="dxa" w:w="120"/>
            </w:tcMar>
            <w:vAlign w:val="center"/>
          </w:tcPr>
          <w:p>
            <w:pPr>
              <w:spacing w:after="0" w:line="260"/>
              <w:jc w:val="left"/>
            </w:pPr>
            <w:r>
              <w:rPr>
                <w:rFonts w:ascii="Calibri" w:cs="Calibri" w:eastAsia="Calibri" w:hAnsi="Calibri"/>
                <w:b w:val="false"/>
                <w:bCs w:val="false"/>
                <w:color w:val="111827"/>
                <w:sz w:val="20"/>
                <w:szCs w:val="20"/>
              </w:rPr>
              <w:t xml:space="preserve">Add recurring/retainer schedule; auto-trigger when actual hours &gt; planned.</w:t>
            </w:r>
          </w:p>
        </w:tc>
      </w:tr>
      <w:tr>
        <w:tc>
          <w:tcPr>
            <w:tcW w:type="pct" w:w="22%"/>
            <w:tcMar>
              <w:top w:type="dxa" w:w="100"/>
              <w:left w:type="dxa" w:w="120"/>
              <w:bottom w:type="dxa" w:w="100"/>
              <w:right w:type="dxa" w:w="120"/>
            </w:tcMar>
            <w:vAlign w:val="center"/>
          </w:tcPr>
          <w:p>
            <w:pPr>
              <w:spacing w:after="0" w:line="260"/>
              <w:jc w:val="left"/>
            </w:pPr>
            <w:r>
              <w:rPr>
                <w:rFonts w:ascii="Calibri" w:cs="Calibri" w:eastAsia="Calibri" w:hAnsi="Calibri"/>
                <w:b/>
                <w:bCs/>
                <w:color w:val="111827"/>
                <w:sz w:val="20"/>
                <w:szCs w:val="20"/>
              </w:rPr>
              <w:t xml:space="preserve">Invoice PDF / Multi-language</w:t>
            </w:r>
          </w:p>
        </w:tc>
        <w:tc>
          <w:tcPr>
            <w:tcW w:type="pct" w:w="28%"/>
            <w:tcMar>
              <w:top w:type="dxa" w:w="100"/>
              <w:left w:type="dxa" w:w="120"/>
              <w:bottom w:type="dxa" w:w="100"/>
              <w:right w:type="dxa" w:w="120"/>
            </w:tcMar>
            <w:vAlign w:val="center"/>
          </w:tcPr>
          <w:p>
            <w:pPr>
              <w:spacing w:after="0" w:line="260"/>
              <w:jc w:val="left"/>
            </w:pPr>
            <w:r>
              <w:rPr>
                <w:rFonts w:ascii="Calibri" w:cs="Calibri" w:eastAsia="Calibri" w:hAnsi="Calibri"/>
                <w:b w:val="false"/>
                <w:bCs w:val="false"/>
                <w:color w:val="111827"/>
                <w:sz w:val="20"/>
                <w:szCs w:val="20"/>
              </w:rPr>
              <w:t xml:space="preserve">Detailed editable invoice templates, multi-language labels.</w:t>
            </w:r>
          </w:p>
        </w:tc>
        <w:tc>
          <w:tcPr>
            <w:tcW w:type="pct" w:w="28%"/>
            <w:tcMar>
              <w:top w:type="dxa" w:w="100"/>
              <w:left w:type="dxa" w:w="120"/>
              <w:bottom w:type="dxa" w:w="100"/>
              <w:right w:type="dxa" w:w="120"/>
            </w:tcMar>
            <w:vAlign w:val="center"/>
          </w:tcPr>
          <w:p>
            <w:pPr>
              <w:spacing w:after="0" w:line="260"/>
              <w:jc w:val="left"/>
            </w:pPr>
            <w:r>
              <w:rPr>
                <w:rFonts w:ascii="Calibri" w:cs="Calibri" w:eastAsia="Calibri" w:hAnsi="Calibri"/>
                <w:b w:val="false"/>
                <w:bCs w:val="false"/>
                <w:color w:val="111827"/>
                <w:sz w:val="20"/>
                <w:szCs w:val="20"/>
              </w:rPr>
              <w:t xml:space="preserve">Invoice number stamped on milestone; PDF generation not built in (relies on uploaded Document of type INVOICE).</w:t>
            </w:r>
          </w:p>
        </w:tc>
        <w:tc>
          <w:tcPr>
            <w:tcW w:type="pct" w:w="10%"/>
            <w:shd w:fill="FEE2E2" w:color="auto" w:val="clear"/>
            <w:tcMar>
              <w:top w:type="dxa" w:w="100"/>
              <w:left w:type="dxa" w:w="120"/>
              <w:bottom w:type="dxa" w:w="100"/>
              <w:right w:type="dxa" w:w="120"/>
            </w:tcMar>
            <w:vAlign w:val="center"/>
          </w:tcPr>
          <w:p>
            <w:pPr>
              <w:spacing w:after="0" w:line="260"/>
              <w:jc w:val="center"/>
            </w:pPr>
            <w:r>
              <w:rPr>
                <w:rFonts w:ascii="Calibri" w:cs="Calibri" w:eastAsia="Calibri" w:hAnsi="Calibri"/>
                <w:b/>
                <w:bCs/>
                <w:color w:val="C03A2B"/>
                <w:sz w:val="20"/>
                <w:szCs w:val="20"/>
              </w:rPr>
              <w:t xml:space="preserve">GAP</w:t>
            </w:r>
          </w:p>
        </w:tc>
        <w:tc>
          <w:tcPr>
            <w:tcW w:type="pct" w:w="12%"/>
            <w:tcMar>
              <w:top w:type="dxa" w:w="100"/>
              <w:left w:type="dxa" w:w="120"/>
              <w:bottom w:type="dxa" w:w="100"/>
              <w:right w:type="dxa" w:w="120"/>
            </w:tcMar>
            <w:vAlign w:val="center"/>
          </w:tcPr>
          <w:p>
            <w:pPr>
              <w:spacing w:after="0" w:line="260"/>
              <w:jc w:val="left"/>
            </w:pPr>
            <w:r>
              <w:rPr>
                <w:rFonts w:ascii="Calibri" w:cs="Calibri" w:eastAsia="Calibri" w:hAnsi="Calibri"/>
                <w:b w:val="false"/>
                <w:bCs w:val="false"/>
                <w:color w:val="111827"/>
                <w:sz w:val="20"/>
                <w:szCs w:val="20"/>
              </w:rPr>
              <w:t xml:space="preserve">Built-in IDR invoice template generator (PPN 11%) with Bahasa/English toggle.</w:t>
            </w:r>
          </w:p>
        </w:tc>
      </w:tr>
      <w:tr>
        <w:tc>
          <w:tcPr>
            <w:tcW w:type="pct" w:w="22%"/>
            <w:shd w:fill="F1F5F4" w:color="auto" w:val="clear"/>
            <w:tcMar>
              <w:top w:type="dxa" w:w="100"/>
              <w:left w:type="dxa" w:w="120"/>
              <w:bottom w:type="dxa" w:w="100"/>
              <w:right w:type="dxa" w:w="120"/>
            </w:tcMar>
            <w:vAlign w:val="center"/>
          </w:tcPr>
          <w:p>
            <w:pPr>
              <w:spacing w:after="0" w:line="260"/>
              <w:jc w:val="left"/>
            </w:pPr>
            <w:r>
              <w:rPr>
                <w:rFonts w:ascii="Calibri" w:cs="Calibri" w:eastAsia="Calibri" w:hAnsi="Calibri"/>
                <w:b/>
                <w:bCs/>
                <w:color w:val="111827"/>
                <w:sz w:val="20"/>
                <w:szCs w:val="20"/>
              </w:rPr>
              <w:t xml:space="preserve">Accounting Integration</w:t>
            </w:r>
          </w:p>
        </w:tc>
        <w:tc>
          <w:tcPr>
            <w:tcW w:type="pct" w:w="28%"/>
            <w:shd w:fill="F1F5F4" w:color="auto" w:val="clear"/>
            <w:tcMar>
              <w:top w:type="dxa" w:w="100"/>
              <w:left w:type="dxa" w:w="120"/>
              <w:bottom w:type="dxa" w:w="100"/>
              <w:right w:type="dxa" w:w="120"/>
            </w:tcMar>
            <w:vAlign w:val="center"/>
          </w:tcPr>
          <w:p>
            <w:pPr>
              <w:spacing w:after="0" w:line="260"/>
              <w:jc w:val="left"/>
            </w:pPr>
            <w:r>
              <w:rPr>
                <w:rFonts w:ascii="Calibri" w:cs="Calibri" w:eastAsia="Calibri" w:hAnsi="Calibri"/>
                <w:b w:val="false"/>
                <w:bCs w:val="false"/>
                <w:color w:val="111827"/>
                <w:sz w:val="20"/>
                <w:szCs w:val="20"/>
              </w:rPr>
              <w:t xml:space="preserve">Two-way sync with QuickBooks, Xero, Exact Online, Moneybird.</w:t>
            </w:r>
          </w:p>
        </w:tc>
        <w:tc>
          <w:tcPr>
            <w:tcW w:type="pct" w:w="28%"/>
            <w:shd w:fill="F1F5F4" w:color="auto" w:val="clear"/>
            <w:tcMar>
              <w:top w:type="dxa" w:w="100"/>
              <w:left w:type="dxa" w:w="120"/>
              <w:bottom w:type="dxa" w:w="100"/>
              <w:right w:type="dxa" w:w="120"/>
            </w:tcMar>
            <w:vAlign w:val="center"/>
          </w:tcPr>
          <w:p>
            <w:pPr>
              <w:spacing w:after="0" w:line="260"/>
              <w:jc w:val="left"/>
            </w:pPr>
            <w:r>
              <w:rPr>
                <w:rFonts w:ascii="Calibri" w:cs="Calibri" w:eastAsia="Calibri" w:hAnsi="Calibri"/>
                <w:b w:val="false"/>
                <w:bCs w:val="false"/>
                <w:color w:val="111827"/>
                <w:sz w:val="20"/>
                <w:szCs w:val="20"/>
              </w:rPr>
              <w:t xml:space="preserve">No accounting integration; VAT Recap exports CSV for manual entry.</w:t>
            </w:r>
          </w:p>
        </w:tc>
        <w:tc>
          <w:tcPr>
            <w:tcW w:type="pct" w:w="10%"/>
            <w:shd w:fill="FEE2E2" w:color="auto" w:val="clear"/>
            <w:tcMar>
              <w:top w:type="dxa" w:w="100"/>
              <w:left w:type="dxa" w:w="120"/>
              <w:bottom w:type="dxa" w:w="100"/>
              <w:right w:type="dxa" w:w="120"/>
            </w:tcMar>
            <w:vAlign w:val="center"/>
          </w:tcPr>
          <w:p>
            <w:pPr>
              <w:spacing w:after="0" w:line="260"/>
              <w:jc w:val="center"/>
            </w:pPr>
            <w:r>
              <w:rPr>
                <w:rFonts w:ascii="Calibri" w:cs="Calibri" w:eastAsia="Calibri" w:hAnsi="Calibri"/>
                <w:b/>
                <w:bCs/>
                <w:color w:val="C03A2B"/>
                <w:sz w:val="20"/>
                <w:szCs w:val="20"/>
              </w:rPr>
              <w:t xml:space="preserve">GAP</w:t>
            </w:r>
          </w:p>
        </w:tc>
        <w:tc>
          <w:tcPr>
            <w:tcW w:type="pct" w:w="12%"/>
            <w:shd w:fill="F1F5F4" w:color="auto" w:val="clear"/>
            <w:tcMar>
              <w:top w:type="dxa" w:w="100"/>
              <w:left w:type="dxa" w:w="120"/>
              <w:bottom w:type="dxa" w:w="100"/>
              <w:right w:type="dxa" w:w="120"/>
            </w:tcMar>
            <w:vAlign w:val="center"/>
          </w:tcPr>
          <w:p>
            <w:pPr>
              <w:spacing w:after="0" w:line="260"/>
              <w:jc w:val="left"/>
            </w:pPr>
            <w:r>
              <w:rPr>
                <w:rFonts w:ascii="Calibri" w:cs="Calibri" w:eastAsia="Calibri" w:hAnsi="Calibri"/>
                <w:b w:val="false"/>
                <w:bCs w:val="false"/>
                <w:color w:val="111827"/>
                <w:sz w:val="20"/>
                <w:szCs w:val="20"/>
              </w:rPr>
              <w:t xml:space="preserve">Build connector to Accurate / Jurnal / Mekari (popular Indonesian accounting) and Xero.</w:t>
            </w:r>
          </w:p>
        </w:tc>
      </w:tr>
      <w:tr>
        <w:tc>
          <w:tcPr>
            <w:tcW w:type="pct" w:w="22%"/>
            <w:tcMar>
              <w:top w:type="dxa" w:w="100"/>
              <w:left w:type="dxa" w:w="120"/>
              <w:bottom w:type="dxa" w:w="100"/>
              <w:right w:type="dxa" w:w="120"/>
            </w:tcMar>
            <w:vAlign w:val="center"/>
          </w:tcPr>
          <w:p>
            <w:pPr>
              <w:spacing w:after="0" w:line="260"/>
              <w:jc w:val="left"/>
            </w:pPr>
            <w:r>
              <w:rPr>
                <w:rFonts w:ascii="Calibri" w:cs="Calibri" w:eastAsia="Calibri" w:hAnsi="Calibri"/>
                <w:b/>
                <w:bCs/>
                <w:color w:val="111827"/>
                <w:sz w:val="20"/>
                <w:szCs w:val="20"/>
              </w:rPr>
              <w:t xml:space="preserve">Resource Capacity Planning</w:t>
            </w:r>
          </w:p>
        </w:tc>
        <w:tc>
          <w:tcPr>
            <w:tcW w:type="pct" w:w="28%"/>
            <w:tcMar>
              <w:top w:type="dxa" w:w="100"/>
              <w:left w:type="dxa" w:w="120"/>
              <w:bottom w:type="dxa" w:w="100"/>
              <w:right w:type="dxa" w:w="120"/>
            </w:tcMar>
            <w:vAlign w:val="center"/>
          </w:tcPr>
          <w:p>
            <w:pPr>
              <w:spacing w:after="0" w:line="260"/>
              <w:jc w:val="left"/>
            </w:pPr>
            <w:r>
              <w:rPr>
                <w:rFonts w:ascii="Calibri" w:cs="Calibri" w:eastAsia="Calibri" w:hAnsi="Calibri"/>
                <w:b w:val="false"/>
                <w:bCs w:val="false"/>
                <w:color w:val="111827"/>
                <w:sz w:val="20"/>
                <w:szCs w:val="20"/>
              </w:rPr>
              <w:t xml:space="preserve">AI Copilot smart-schedules by role + skill + availability; planned vs used hours.</w:t>
            </w:r>
          </w:p>
        </w:tc>
        <w:tc>
          <w:tcPr>
            <w:tcW w:type="pct" w:w="28%"/>
            <w:tcMar>
              <w:top w:type="dxa" w:w="100"/>
              <w:left w:type="dxa" w:w="120"/>
              <w:bottom w:type="dxa" w:w="100"/>
              <w:right w:type="dxa" w:w="120"/>
            </w:tcMar>
            <w:vAlign w:val="center"/>
          </w:tcPr>
          <w:p>
            <w:pPr>
              <w:spacing w:after="0" w:line="260"/>
              <w:jc w:val="left"/>
            </w:pPr>
            <w:r>
              <w:rPr>
                <w:rFonts w:ascii="Calibri" w:cs="Calibri" w:eastAsia="Calibri" w:hAnsi="Calibri"/>
                <w:b w:val="false"/>
                <w:bCs w:val="false"/>
                <w:color w:val="111827"/>
                <w:sz w:val="20"/>
                <w:szCs w:val="20"/>
              </w:rPr>
              <w:t xml:space="preserve">/resource-planning grid (BU-grouped, weekly mandays, color-coded). Leave overlay. Skill Matrix + Bench report + Capacity report — but allocation is manual.</w:t>
            </w:r>
          </w:p>
        </w:tc>
        <w:tc>
          <w:tcPr>
            <w:tcW w:type="pct" w:w="10%"/>
            <w:shd w:fill="FEF3C7" w:color="auto" w:val="clear"/>
            <w:tcMar>
              <w:top w:type="dxa" w:w="100"/>
              <w:left w:type="dxa" w:w="120"/>
              <w:bottom w:type="dxa" w:w="100"/>
              <w:right w:type="dxa" w:w="120"/>
            </w:tcMar>
            <w:vAlign w:val="center"/>
          </w:tcPr>
          <w:p>
            <w:pPr>
              <w:spacing w:after="0" w:line="260"/>
              <w:jc w:val="center"/>
            </w:pPr>
            <w:r>
              <w:rPr>
                <w:rFonts w:ascii="Calibri" w:cs="Calibri" w:eastAsia="Calibri" w:hAnsi="Calibri"/>
                <w:b/>
                <w:bCs/>
                <w:color w:val="B8860B"/>
                <w:sz w:val="20"/>
                <w:szCs w:val="20"/>
              </w:rPr>
              <w:t xml:space="preserve">PARTIAL</w:t>
            </w:r>
          </w:p>
        </w:tc>
        <w:tc>
          <w:tcPr>
            <w:tcW w:type="pct" w:w="12%"/>
            <w:tcMar>
              <w:top w:type="dxa" w:w="100"/>
              <w:left w:type="dxa" w:w="120"/>
              <w:bottom w:type="dxa" w:w="100"/>
              <w:right w:type="dxa" w:w="120"/>
            </w:tcMar>
            <w:vAlign w:val="center"/>
          </w:tcPr>
          <w:p>
            <w:pPr>
              <w:spacing w:after="0" w:line="260"/>
              <w:jc w:val="left"/>
            </w:pPr>
            <w:r>
              <w:rPr>
                <w:rFonts w:ascii="Calibri" w:cs="Calibri" w:eastAsia="Calibri" w:hAnsi="Calibri"/>
                <w:b w:val="false"/>
                <w:bCs w:val="false"/>
                <w:color w:val="111827"/>
                <w:sz w:val="20"/>
                <w:szCs w:val="20"/>
              </w:rPr>
              <w:t xml:space="preserve">Add auto-suggest staffing using skill match + availability score.</w:t>
            </w:r>
          </w:p>
        </w:tc>
      </w:tr>
      <w:tr>
        <w:tc>
          <w:tcPr>
            <w:tcW w:type="pct" w:w="22%"/>
            <w:shd w:fill="F1F5F4" w:color="auto" w:val="clear"/>
            <w:tcMar>
              <w:top w:type="dxa" w:w="100"/>
              <w:left w:type="dxa" w:w="120"/>
              <w:bottom w:type="dxa" w:w="100"/>
              <w:right w:type="dxa" w:w="120"/>
            </w:tcMar>
            <w:vAlign w:val="center"/>
          </w:tcPr>
          <w:p>
            <w:pPr>
              <w:spacing w:after="0" w:line="260"/>
              <w:jc w:val="left"/>
            </w:pPr>
            <w:r>
              <w:rPr>
                <w:rFonts w:ascii="Calibri" w:cs="Calibri" w:eastAsia="Calibri" w:hAnsi="Calibri"/>
                <w:b/>
                <w:bCs/>
                <w:color w:val="111827"/>
                <w:sz w:val="20"/>
                <w:szCs w:val="20"/>
              </w:rPr>
              <w:t xml:space="preserve">Reporting</w:t>
            </w:r>
          </w:p>
        </w:tc>
        <w:tc>
          <w:tcPr>
            <w:tcW w:type="pct" w:w="28%"/>
            <w:shd w:fill="F1F5F4" w:color="auto" w:val="clear"/>
            <w:tcMar>
              <w:top w:type="dxa" w:w="100"/>
              <w:left w:type="dxa" w:w="120"/>
              <w:bottom w:type="dxa" w:w="100"/>
              <w:right w:type="dxa" w:w="120"/>
            </w:tcMar>
            <w:vAlign w:val="center"/>
          </w:tcPr>
          <w:p>
            <w:pPr>
              <w:spacing w:after="0" w:line="260"/>
              <w:jc w:val="left"/>
            </w:pPr>
            <w:r>
              <w:rPr>
                <w:rFonts w:ascii="Calibri" w:cs="Calibri" w:eastAsia="Calibri" w:hAnsi="Calibri"/>
                <w:b w:val="false"/>
                <w:bCs w:val="false"/>
                <w:color w:val="111827"/>
                <w:sz w:val="20"/>
                <w:szCs w:val="20"/>
              </w:rPr>
              <w:t xml:space="preserve">Built-in reports + OData live feed for PowerBI/Tableau/Excel.</w:t>
            </w:r>
          </w:p>
        </w:tc>
        <w:tc>
          <w:tcPr>
            <w:tcW w:type="pct" w:w="28%"/>
            <w:shd w:fill="F1F5F4" w:color="auto" w:val="clear"/>
            <w:tcMar>
              <w:top w:type="dxa" w:w="100"/>
              <w:left w:type="dxa" w:w="120"/>
              <w:bottom w:type="dxa" w:w="100"/>
              <w:right w:type="dxa" w:w="120"/>
            </w:tcMar>
            <w:vAlign w:val="center"/>
          </w:tcPr>
          <w:p>
            <w:pPr>
              <w:spacing w:after="0" w:line="260"/>
              <w:jc w:val="left"/>
            </w:pPr>
            <w:r>
              <w:rPr>
                <w:rFonts w:ascii="Calibri" w:cs="Calibri" w:eastAsia="Calibri" w:hAnsi="Calibri"/>
                <w:b w:val="false"/>
                <w:bCs w:val="false"/>
                <w:color w:val="111827"/>
                <w:sz w:val="20"/>
                <w:szCs w:val="20"/>
              </w:rPr>
              <w:t xml:space="preserve">10 shipped reports (profitability, margin trend, billing aging, cash forecast, VAT, etc.) with CSV/XLSX/PDF export. No OData endpoint.</w:t>
            </w:r>
          </w:p>
        </w:tc>
        <w:tc>
          <w:tcPr>
            <w:tcW w:type="pct" w:w="10%"/>
            <w:shd w:fill="FEF3C7" w:color="auto" w:val="clear"/>
            <w:tcMar>
              <w:top w:type="dxa" w:w="100"/>
              <w:left w:type="dxa" w:w="120"/>
              <w:bottom w:type="dxa" w:w="100"/>
              <w:right w:type="dxa" w:w="120"/>
            </w:tcMar>
            <w:vAlign w:val="center"/>
          </w:tcPr>
          <w:p>
            <w:pPr>
              <w:spacing w:after="0" w:line="260"/>
              <w:jc w:val="center"/>
            </w:pPr>
            <w:r>
              <w:rPr>
                <w:rFonts w:ascii="Calibri" w:cs="Calibri" w:eastAsia="Calibri" w:hAnsi="Calibri"/>
                <w:b/>
                <w:bCs/>
                <w:color w:val="B8860B"/>
                <w:sz w:val="20"/>
                <w:szCs w:val="20"/>
              </w:rPr>
              <w:t xml:space="preserve">PARTIAL</w:t>
            </w:r>
          </w:p>
        </w:tc>
        <w:tc>
          <w:tcPr>
            <w:tcW w:type="pct" w:w="12%"/>
            <w:shd w:fill="F1F5F4" w:color="auto" w:val="clear"/>
            <w:tcMar>
              <w:top w:type="dxa" w:w="100"/>
              <w:left w:type="dxa" w:w="120"/>
              <w:bottom w:type="dxa" w:w="100"/>
              <w:right w:type="dxa" w:w="120"/>
            </w:tcMar>
            <w:vAlign w:val="center"/>
          </w:tcPr>
          <w:p>
            <w:pPr>
              <w:spacing w:after="0" w:line="260"/>
              <w:jc w:val="left"/>
            </w:pPr>
            <w:r>
              <w:rPr>
                <w:rFonts w:ascii="Calibri" w:cs="Calibri" w:eastAsia="Calibri" w:hAnsi="Calibri"/>
                <w:b w:val="false"/>
                <w:bCs w:val="false"/>
                <w:color w:val="111827"/>
                <w:sz w:val="20"/>
                <w:szCs w:val="20"/>
              </w:rPr>
              <w:t xml:space="preserve">Expose read-only OData/JSON-API for PowerBI; embed dashboard option.</w:t>
            </w:r>
          </w:p>
        </w:tc>
      </w:tr>
      <w:tr>
        <w:tc>
          <w:tcPr>
            <w:tcW w:type="pct" w:w="22%"/>
            <w:tcMar>
              <w:top w:type="dxa" w:w="100"/>
              <w:left w:type="dxa" w:w="120"/>
              <w:bottom w:type="dxa" w:w="100"/>
              <w:right w:type="dxa" w:w="120"/>
            </w:tcMar>
            <w:vAlign w:val="center"/>
          </w:tcPr>
          <w:p>
            <w:pPr>
              <w:spacing w:after="0" w:line="260"/>
              <w:jc w:val="left"/>
            </w:pPr>
            <w:r>
              <w:rPr>
                <w:rFonts w:ascii="Calibri" w:cs="Calibri" w:eastAsia="Calibri" w:hAnsi="Calibri"/>
                <w:b/>
                <w:bCs/>
                <w:color w:val="111827"/>
                <w:sz w:val="20"/>
                <w:szCs w:val="20"/>
              </w:rPr>
              <w:t xml:space="preserve">AI Copilot / Smart Alerts</w:t>
            </w:r>
          </w:p>
        </w:tc>
        <w:tc>
          <w:tcPr>
            <w:tcW w:type="pct" w:w="28%"/>
            <w:tcMar>
              <w:top w:type="dxa" w:w="100"/>
              <w:left w:type="dxa" w:w="120"/>
              <w:bottom w:type="dxa" w:w="100"/>
              <w:right w:type="dxa" w:w="120"/>
            </w:tcMar>
            <w:vAlign w:val="center"/>
          </w:tcPr>
          <w:p>
            <w:pPr>
              <w:spacing w:after="0" w:line="260"/>
              <w:jc w:val="left"/>
            </w:pPr>
            <w:r>
              <w:rPr>
                <w:rFonts w:ascii="Calibri" w:cs="Calibri" w:eastAsia="Calibri" w:hAnsi="Calibri"/>
                <w:b w:val="false"/>
                <w:bCs w:val="false"/>
                <w:color w:val="111827"/>
                <w:sz w:val="20"/>
                <w:szCs w:val="20"/>
              </w:rPr>
              <w:t xml:space="preserve">Copilot alerts on budget overrun, utilization issues, overdue payments and tasks; conversational insights.</w:t>
            </w:r>
          </w:p>
        </w:tc>
        <w:tc>
          <w:tcPr>
            <w:tcW w:type="pct" w:w="28%"/>
            <w:tcMar>
              <w:top w:type="dxa" w:w="100"/>
              <w:left w:type="dxa" w:w="120"/>
              <w:bottom w:type="dxa" w:w="100"/>
              <w:right w:type="dxa" w:w="120"/>
            </w:tcMar>
            <w:vAlign w:val="center"/>
          </w:tcPr>
          <w:p>
            <w:pPr>
              <w:spacing w:after="0" w:line="260"/>
              <w:jc w:val="left"/>
            </w:pPr>
            <w:r>
              <w:rPr>
                <w:rFonts w:ascii="Calibri" w:cs="Calibri" w:eastAsia="Calibri" w:hAnsi="Calibri"/>
                <w:b w:val="false"/>
                <w:bCs w:val="false"/>
                <w:color w:val="111827"/>
                <w:sz w:val="20"/>
                <w:szCs w:val="20"/>
              </w:rPr>
              <w:t xml:space="preserve">Static alerts: at-risk projects, pending expenses, overdue tasks, closing-doc inbox. No conversational AI.</w:t>
            </w:r>
          </w:p>
        </w:tc>
        <w:tc>
          <w:tcPr>
            <w:tcW w:type="pct" w:w="10%"/>
            <w:shd w:fill="FEF3C7" w:color="auto" w:val="clear"/>
            <w:tcMar>
              <w:top w:type="dxa" w:w="100"/>
              <w:left w:type="dxa" w:w="120"/>
              <w:bottom w:type="dxa" w:w="100"/>
              <w:right w:type="dxa" w:w="120"/>
            </w:tcMar>
            <w:vAlign w:val="center"/>
          </w:tcPr>
          <w:p>
            <w:pPr>
              <w:spacing w:after="0" w:line="260"/>
              <w:jc w:val="center"/>
            </w:pPr>
            <w:r>
              <w:rPr>
                <w:rFonts w:ascii="Calibri" w:cs="Calibri" w:eastAsia="Calibri" w:hAnsi="Calibri"/>
                <w:b/>
                <w:bCs/>
                <w:color w:val="B8860B"/>
                <w:sz w:val="20"/>
                <w:szCs w:val="20"/>
              </w:rPr>
              <w:t xml:space="preserve">PARTIAL</w:t>
            </w:r>
          </w:p>
        </w:tc>
        <w:tc>
          <w:tcPr>
            <w:tcW w:type="pct" w:w="12%"/>
            <w:tcMar>
              <w:top w:type="dxa" w:w="100"/>
              <w:left w:type="dxa" w:w="120"/>
              <w:bottom w:type="dxa" w:w="100"/>
              <w:right w:type="dxa" w:w="120"/>
            </w:tcMar>
            <w:vAlign w:val="center"/>
          </w:tcPr>
          <w:p>
            <w:pPr>
              <w:spacing w:after="0" w:line="260"/>
              <w:jc w:val="left"/>
            </w:pPr>
            <w:r>
              <w:rPr>
                <w:rFonts w:ascii="Calibri" w:cs="Calibri" w:eastAsia="Calibri" w:hAnsi="Calibri"/>
                <w:b w:val="false"/>
                <w:bCs w:val="false"/>
                <w:color w:val="111827"/>
                <w:sz w:val="20"/>
                <w:szCs w:val="20"/>
              </w:rPr>
              <w:t xml:space="preserve">Add LLM-backed chat over project data; proactive Slack/Email digests.</w:t>
            </w:r>
          </w:p>
        </w:tc>
      </w:tr>
      <w:tr>
        <w:tc>
          <w:tcPr>
            <w:tcW w:type="pct" w:w="22%"/>
            <w:shd w:fill="F1F5F4" w:color="auto" w:val="clear"/>
            <w:tcMar>
              <w:top w:type="dxa" w:w="100"/>
              <w:left w:type="dxa" w:w="120"/>
              <w:bottom w:type="dxa" w:w="100"/>
              <w:right w:type="dxa" w:w="120"/>
            </w:tcMar>
            <w:vAlign w:val="center"/>
          </w:tcPr>
          <w:p>
            <w:pPr>
              <w:spacing w:after="0" w:line="260"/>
              <w:jc w:val="left"/>
            </w:pPr>
            <w:r>
              <w:rPr>
                <w:rFonts w:ascii="Calibri" w:cs="Calibri" w:eastAsia="Calibri" w:hAnsi="Calibri"/>
                <w:b/>
                <w:bCs/>
                <w:color w:val="111827"/>
                <w:sz w:val="20"/>
                <w:szCs w:val="20"/>
              </w:rPr>
              <w:t xml:space="preserve">Org / Reporting Hierarchy</w:t>
            </w:r>
          </w:p>
        </w:tc>
        <w:tc>
          <w:tcPr>
            <w:tcW w:type="pct" w:w="28%"/>
            <w:shd w:fill="F1F5F4" w:color="auto" w:val="clear"/>
            <w:tcMar>
              <w:top w:type="dxa" w:w="100"/>
              <w:left w:type="dxa" w:w="120"/>
              <w:bottom w:type="dxa" w:w="100"/>
              <w:right w:type="dxa" w:w="120"/>
            </w:tcMar>
            <w:vAlign w:val="center"/>
          </w:tcPr>
          <w:p>
            <w:pPr>
              <w:spacing w:after="0" w:line="260"/>
              <w:jc w:val="left"/>
            </w:pPr>
            <w:r>
              <w:rPr>
                <w:rFonts w:ascii="Calibri" w:cs="Calibri" w:eastAsia="Calibri" w:hAnsi="Calibri"/>
                <w:b w:val="false"/>
                <w:bCs w:val="false"/>
                <w:color w:val="111827"/>
                <w:sz w:val="20"/>
                <w:szCs w:val="20"/>
              </w:rPr>
              <w:t xml:space="preserve">Standard team membership; no explicit Principal-supervisor model documented.</w:t>
            </w:r>
          </w:p>
        </w:tc>
        <w:tc>
          <w:tcPr>
            <w:tcW w:type="pct" w:w="28%"/>
            <w:shd w:fill="F1F5F4" w:color="auto" w:val="clear"/>
            <w:tcMar>
              <w:top w:type="dxa" w:w="100"/>
              <w:left w:type="dxa" w:w="120"/>
              <w:bottom w:type="dxa" w:w="100"/>
              <w:right w:type="dxa" w:w="120"/>
            </w:tcMar>
            <w:vAlign w:val="center"/>
          </w:tcPr>
          <w:p>
            <w:pPr>
              <w:spacing w:after="0" w:line="260"/>
              <w:jc w:val="left"/>
            </w:pPr>
            <w:r>
              <w:rPr>
                <w:rFonts w:ascii="Calibri" w:cs="Calibri" w:eastAsia="Calibri" w:hAnsi="Calibri"/>
                <w:b w:val="false"/>
                <w:bCs w:val="false"/>
                <w:color w:val="111827"/>
                <w:sz w:val="20"/>
                <w:szCs w:val="20"/>
              </w:rPr>
              <w:t xml:space="preserve">Explicit Principal-Consultant/TW/Admin hierarchy + Propose-Accept resource staffing workflow + Org Chart.</w:t>
            </w:r>
          </w:p>
        </w:tc>
        <w:tc>
          <w:tcPr>
            <w:tcW w:type="pct" w:w="10%"/>
            <w:shd w:fill="DBEAFE" w:color="auto" w:val="clear"/>
            <w:tcMar>
              <w:top w:type="dxa" w:w="100"/>
              <w:left w:type="dxa" w:w="120"/>
              <w:bottom w:type="dxa" w:w="100"/>
              <w:right w:type="dxa" w:w="120"/>
            </w:tcMar>
            <w:vAlign w:val="center"/>
          </w:tcPr>
          <w:p>
            <w:pPr>
              <w:spacing w:after="0" w:line="260"/>
              <w:jc w:val="center"/>
            </w:pPr>
            <w:r>
              <w:rPr>
                <w:rFonts w:ascii="Calibri" w:cs="Calibri" w:eastAsia="Calibri" w:hAnsi="Calibri"/>
                <w:b/>
                <w:bCs/>
                <w:color w:val="0E7C66"/>
                <w:sz w:val="20"/>
                <w:szCs w:val="20"/>
              </w:rPr>
              <w:t xml:space="preserve">PLUS</w:t>
            </w:r>
          </w:p>
        </w:tc>
        <w:tc>
          <w:tcPr>
            <w:tcW w:type="pct" w:w="12%"/>
            <w:shd w:fill="F1F5F4" w:color="auto" w:val="clear"/>
            <w:tcMar>
              <w:top w:type="dxa" w:w="100"/>
              <w:left w:type="dxa" w:w="120"/>
              <w:bottom w:type="dxa" w:w="100"/>
              <w:right w:type="dxa" w:w="120"/>
            </w:tcMar>
            <w:vAlign w:val="center"/>
          </w:tcPr>
          <w:p>
            <w:pPr>
              <w:spacing w:after="0" w:line="260"/>
              <w:jc w:val="left"/>
            </w:pPr>
            <w:r>
              <w:rPr>
                <w:rFonts w:ascii="Calibri" w:cs="Calibri" w:eastAsia="Calibri" w:hAnsi="Calibri"/>
                <w:b w:val="false"/>
                <w:bCs w:val="false"/>
                <w:color w:val="111827"/>
                <w:sz w:val="20"/>
                <w:szCs w:val="20"/>
              </w:rPr>
              <w:t xml:space="preserve">Unique to us; preserve as differentiator.</w:t>
            </w:r>
          </w:p>
        </w:tc>
      </w:tr>
      <w:tr>
        <w:tc>
          <w:tcPr>
            <w:tcW w:type="pct" w:w="22%"/>
            <w:tcMar>
              <w:top w:type="dxa" w:w="100"/>
              <w:left w:type="dxa" w:w="120"/>
              <w:bottom w:type="dxa" w:w="100"/>
              <w:right w:type="dxa" w:w="120"/>
            </w:tcMar>
            <w:vAlign w:val="center"/>
          </w:tcPr>
          <w:p>
            <w:pPr>
              <w:spacing w:after="0" w:line="260"/>
              <w:jc w:val="left"/>
            </w:pPr>
            <w:r>
              <w:rPr>
                <w:rFonts w:ascii="Calibri" w:cs="Calibri" w:eastAsia="Calibri" w:hAnsi="Calibri"/>
                <w:b/>
                <w:bCs/>
                <w:color w:val="111827"/>
                <w:sz w:val="20"/>
                <w:szCs w:val="20"/>
              </w:rPr>
              <w:t xml:space="preserve">Indonesian VAT (PPN 11%) Recap</w:t>
            </w:r>
          </w:p>
        </w:tc>
        <w:tc>
          <w:tcPr>
            <w:tcW w:type="pct" w:w="28%"/>
            <w:tcMar>
              <w:top w:type="dxa" w:w="100"/>
              <w:left w:type="dxa" w:w="120"/>
              <w:bottom w:type="dxa" w:w="100"/>
              <w:right w:type="dxa" w:w="120"/>
            </w:tcMar>
            <w:vAlign w:val="center"/>
          </w:tcPr>
          <w:p>
            <w:pPr>
              <w:spacing w:after="0" w:line="260"/>
              <w:jc w:val="left"/>
            </w:pPr>
            <w:r>
              <w:rPr>
                <w:rFonts w:ascii="Calibri" w:cs="Calibri" w:eastAsia="Calibri" w:hAnsi="Calibri"/>
                <w:b w:val="false"/>
                <w:bCs w:val="false"/>
                <w:color w:val="111827"/>
                <w:sz w:val="20"/>
                <w:szCs w:val="20"/>
              </w:rPr>
              <w:t xml:space="preserve">Not localized for Indonesia.</w:t>
            </w:r>
          </w:p>
        </w:tc>
        <w:tc>
          <w:tcPr>
            <w:tcW w:type="pct" w:w="28%"/>
            <w:tcMar>
              <w:top w:type="dxa" w:w="100"/>
              <w:left w:type="dxa" w:w="120"/>
              <w:bottom w:type="dxa" w:w="100"/>
              <w:right w:type="dxa" w:w="120"/>
            </w:tcMar>
            <w:vAlign w:val="center"/>
          </w:tcPr>
          <w:p>
            <w:pPr>
              <w:spacing w:after="0" w:line="260"/>
              <w:jc w:val="left"/>
            </w:pPr>
            <w:r>
              <w:rPr>
                <w:rFonts w:ascii="Calibri" w:cs="Calibri" w:eastAsia="Calibri" w:hAnsi="Calibri"/>
                <w:b w:val="false"/>
                <w:bCs w:val="false"/>
                <w:color w:val="111827"/>
                <w:sz w:val="20"/>
                <w:szCs w:val="20"/>
              </w:rPr>
              <w:t xml:space="preserve">MGMT-only VAT Recap (12-month DPP/VAT/paid/outstanding) + CSV export. DPP/VAT split honoring contractValueIncludesVat.</w:t>
            </w:r>
          </w:p>
        </w:tc>
        <w:tc>
          <w:tcPr>
            <w:tcW w:type="pct" w:w="10%"/>
            <w:shd w:fill="DBEAFE" w:color="auto" w:val="clear"/>
            <w:tcMar>
              <w:top w:type="dxa" w:w="100"/>
              <w:left w:type="dxa" w:w="120"/>
              <w:bottom w:type="dxa" w:w="100"/>
              <w:right w:type="dxa" w:w="120"/>
            </w:tcMar>
            <w:vAlign w:val="center"/>
          </w:tcPr>
          <w:p>
            <w:pPr>
              <w:spacing w:after="0" w:line="260"/>
              <w:jc w:val="center"/>
            </w:pPr>
            <w:r>
              <w:rPr>
                <w:rFonts w:ascii="Calibri" w:cs="Calibri" w:eastAsia="Calibri" w:hAnsi="Calibri"/>
                <w:b/>
                <w:bCs/>
                <w:color w:val="0E7C66"/>
                <w:sz w:val="20"/>
                <w:szCs w:val="20"/>
              </w:rPr>
              <w:t xml:space="preserve">PLUS</w:t>
            </w:r>
          </w:p>
        </w:tc>
        <w:tc>
          <w:tcPr>
            <w:tcW w:type="pct" w:w="12%"/>
            <w:tcMar>
              <w:top w:type="dxa" w:w="100"/>
              <w:left w:type="dxa" w:w="120"/>
              <w:bottom w:type="dxa" w:w="100"/>
              <w:right w:type="dxa" w:w="120"/>
            </w:tcMar>
            <w:vAlign w:val="center"/>
          </w:tcPr>
          <w:p>
            <w:pPr>
              <w:spacing w:after="0" w:line="260"/>
              <w:jc w:val="left"/>
            </w:pPr>
            <w:r>
              <w:rPr>
                <w:rFonts w:ascii="Calibri" w:cs="Calibri" w:eastAsia="Calibri" w:hAnsi="Calibri"/>
                <w:b w:val="false"/>
                <w:bCs w:val="false"/>
                <w:color w:val="111827"/>
                <w:sz w:val="20"/>
                <w:szCs w:val="20"/>
              </w:rPr>
              <w:t xml:space="preserve">Unique to us; expand to e-Faktur XML export for DJP.</w:t>
            </w:r>
          </w:p>
        </w:tc>
      </w:tr>
      <w:tr>
        <w:tc>
          <w:tcPr>
            <w:tcW w:type="pct" w:w="22%"/>
            <w:shd w:fill="F1F5F4" w:color="auto" w:val="clear"/>
            <w:tcMar>
              <w:top w:type="dxa" w:w="100"/>
              <w:left w:type="dxa" w:w="120"/>
              <w:bottom w:type="dxa" w:w="100"/>
              <w:right w:type="dxa" w:w="120"/>
            </w:tcMar>
            <w:vAlign w:val="center"/>
          </w:tcPr>
          <w:p>
            <w:pPr>
              <w:spacing w:after="0" w:line="260"/>
              <w:jc w:val="left"/>
            </w:pPr>
            <w:r>
              <w:rPr>
                <w:rFonts w:ascii="Calibri" w:cs="Calibri" w:eastAsia="Calibri" w:hAnsi="Calibri"/>
                <w:b/>
                <w:bCs/>
                <w:color w:val="111827"/>
                <w:sz w:val="20"/>
                <w:szCs w:val="20"/>
              </w:rPr>
              <w:t xml:space="preserve">HR &amp; Leave Management</w:t>
            </w:r>
          </w:p>
        </w:tc>
        <w:tc>
          <w:tcPr>
            <w:tcW w:type="pct" w:w="28%"/>
            <w:shd w:fill="F1F5F4" w:color="auto" w:val="clear"/>
            <w:tcMar>
              <w:top w:type="dxa" w:w="100"/>
              <w:left w:type="dxa" w:w="120"/>
              <w:bottom w:type="dxa" w:w="100"/>
              <w:right w:type="dxa" w:w="120"/>
            </w:tcMar>
            <w:vAlign w:val="center"/>
          </w:tcPr>
          <w:p>
            <w:pPr>
              <w:spacing w:after="0" w:line="260"/>
              <w:jc w:val="left"/>
            </w:pPr>
            <w:r>
              <w:rPr>
                <w:rFonts w:ascii="Calibri" w:cs="Calibri" w:eastAsia="Calibri" w:hAnsi="Calibri"/>
                <w:b w:val="false"/>
                <w:bCs w:val="false"/>
                <w:color w:val="111827"/>
                <w:sz w:val="20"/>
                <w:szCs w:val="20"/>
              </w:rPr>
              <w:t xml:space="preserve">Limited HR scope (capacity only).</w:t>
            </w:r>
          </w:p>
        </w:tc>
        <w:tc>
          <w:tcPr>
            <w:tcW w:type="pct" w:w="28%"/>
            <w:shd w:fill="F1F5F4" w:color="auto" w:val="clear"/>
            <w:tcMar>
              <w:top w:type="dxa" w:w="100"/>
              <w:left w:type="dxa" w:w="120"/>
              <w:bottom w:type="dxa" w:w="100"/>
              <w:right w:type="dxa" w:w="120"/>
            </w:tcMar>
            <w:vAlign w:val="center"/>
          </w:tcPr>
          <w:p>
            <w:pPr>
              <w:spacing w:after="0" w:line="260"/>
              <w:jc w:val="left"/>
            </w:pPr>
            <w:r>
              <w:rPr>
                <w:rFonts w:ascii="Calibri" w:cs="Calibri" w:eastAsia="Calibri" w:hAnsi="Calibri"/>
                <w:b w:val="false"/>
                <w:bCs w:val="false"/>
                <w:color w:val="111827"/>
                <w:sz w:val="20"/>
                <w:szCs w:val="20"/>
              </w:rPr>
              <w:t xml:space="preserve">Dedicated HR role + dashboard: headcount, BU distribution, leaves, bench, skill gaps, new joiners. UserLeave model (ANNUAL/SICK/TRAINING/UNPAID/OTHER) feeds capacity planning.</w:t>
            </w:r>
          </w:p>
        </w:tc>
        <w:tc>
          <w:tcPr>
            <w:tcW w:type="pct" w:w="10%"/>
            <w:shd w:fill="DBEAFE" w:color="auto" w:val="clear"/>
            <w:tcMar>
              <w:top w:type="dxa" w:w="100"/>
              <w:left w:type="dxa" w:w="120"/>
              <w:bottom w:type="dxa" w:w="100"/>
              <w:right w:type="dxa" w:w="120"/>
            </w:tcMar>
            <w:vAlign w:val="center"/>
          </w:tcPr>
          <w:p>
            <w:pPr>
              <w:spacing w:after="0" w:line="260"/>
              <w:jc w:val="center"/>
            </w:pPr>
            <w:r>
              <w:rPr>
                <w:rFonts w:ascii="Calibri" w:cs="Calibri" w:eastAsia="Calibri" w:hAnsi="Calibri"/>
                <w:b/>
                <w:bCs/>
                <w:color w:val="0E7C66"/>
                <w:sz w:val="20"/>
                <w:szCs w:val="20"/>
              </w:rPr>
              <w:t xml:space="preserve">PLUS</w:t>
            </w:r>
          </w:p>
        </w:tc>
        <w:tc>
          <w:tcPr>
            <w:tcW w:type="pct" w:w="12%"/>
            <w:shd w:fill="F1F5F4" w:color="auto" w:val="clear"/>
            <w:tcMar>
              <w:top w:type="dxa" w:w="100"/>
              <w:left w:type="dxa" w:w="120"/>
              <w:bottom w:type="dxa" w:w="100"/>
              <w:right w:type="dxa" w:w="120"/>
            </w:tcMar>
            <w:vAlign w:val="center"/>
          </w:tcPr>
          <w:p>
            <w:pPr>
              <w:spacing w:after="0" w:line="260"/>
              <w:jc w:val="left"/>
            </w:pPr>
            <w:r>
              <w:rPr>
                <w:rFonts w:ascii="Calibri" w:cs="Calibri" w:eastAsia="Calibri" w:hAnsi="Calibri"/>
                <w:b w:val="false"/>
                <w:bCs w:val="false"/>
                <w:color w:val="111827"/>
                <w:sz w:val="20"/>
                <w:szCs w:val="20"/>
              </w:rPr>
              <w:t xml:space="preserve">Unique to us; consider payroll module Phase-2.</w:t>
            </w:r>
          </w:p>
        </w:tc>
      </w:tr>
      <w:tr>
        <w:tc>
          <w:tcPr>
            <w:tcW w:type="pct" w:w="22%"/>
            <w:tcMar>
              <w:top w:type="dxa" w:w="100"/>
              <w:left w:type="dxa" w:w="120"/>
              <w:bottom w:type="dxa" w:w="100"/>
              <w:right w:type="dxa" w:w="120"/>
            </w:tcMar>
            <w:vAlign w:val="center"/>
          </w:tcPr>
          <w:p>
            <w:pPr>
              <w:spacing w:after="0" w:line="260"/>
              <w:jc w:val="left"/>
            </w:pPr>
            <w:r>
              <w:rPr>
                <w:rFonts w:ascii="Calibri" w:cs="Calibri" w:eastAsia="Calibri" w:hAnsi="Calibri"/>
                <w:b/>
                <w:bCs/>
                <w:color w:val="111827"/>
                <w:sz w:val="20"/>
                <w:szCs w:val="20"/>
              </w:rPr>
              <w:t xml:space="preserve">Skill Matrix &amp; Gap Analysis</w:t>
            </w:r>
          </w:p>
        </w:tc>
        <w:tc>
          <w:tcPr>
            <w:tcW w:type="pct" w:w="28%"/>
            <w:tcMar>
              <w:top w:type="dxa" w:w="100"/>
              <w:left w:type="dxa" w:w="120"/>
              <w:bottom w:type="dxa" w:w="100"/>
              <w:right w:type="dxa" w:w="120"/>
            </w:tcMar>
            <w:vAlign w:val="center"/>
          </w:tcPr>
          <w:p>
            <w:pPr>
              <w:spacing w:after="0" w:line="260"/>
              <w:jc w:val="left"/>
            </w:pPr>
            <w:r>
              <w:rPr>
                <w:rFonts w:ascii="Calibri" w:cs="Calibri" w:eastAsia="Calibri" w:hAnsi="Calibri"/>
                <w:b w:val="false"/>
                <w:bCs w:val="false"/>
                <w:color w:val="111827"/>
                <w:sz w:val="20"/>
                <w:szCs w:val="20"/>
              </w:rPr>
              <w:t xml:space="preserve">Skill data feeds smart scheduling; no public gap-analysis UI.</w:t>
            </w:r>
          </w:p>
        </w:tc>
        <w:tc>
          <w:tcPr>
            <w:tcW w:type="pct" w:w="28%"/>
            <w:tcMar>
              <w:top w:type="dxa" w:w="100"/>
              <w:left w:type="dxa" w:w="120"/>
              <w:bottom w:type="dxa" w:w="100"/>
              <w:right w:type="dxa" w:w="120"/>
            </w:tcMar>
            <w:vAlign w:val="center"/>
          </w:tcPr>
          <w:p>
            <w:pPr>
              <w:spacing w:after="0" w:line="260"/>
              <w:jc w:val="left"/>
            </w:pPr>
            <w:r>
              <w:rPr>
                <w:rFonts w:ascii="Calibri" w:cs="Calibri" w:eastAsia="Calibri" w:hAnsi="Calibri"/>
                <w:b w:val="false"/>
                <w:bCs w:val="false"/>
                <w:color w:val="111827"/>
                <w:sz w:val="20"/>
                <w:szCs w:val="20"/>
              </w:rPr>
              <w:t xml:space="preserve">/skill-matrix grid (user × skill, proficiency 1–5) + automatic gap detection (no holders / 1 holder / no senior).</w:t>
            </w:r>
          </w:p>
        </w:tc>
        <w:tc>
          <w:tcPr>
            <w:tcW w:type="pct" w:w="10%"/>
            <w:shd w:fill="DBEAFE" w:color="auto" w:val="clear"/>
            <w:tcMar>
              <w:top w:type="dxa" w:w="100"/>
              <w:left w:type="dxa" w:w="120"/>
              <w:bottom w:type="dxa" w:w="100"/>
              <w:right w:type="dxa" w:w="120"/>
            </w:tcMar>
            <w:vAlign w:val="center"/>
          </w:tcPr>
          <w:p>
            <w:pPr>
              <w:spacing w:after="0" w:line="260"/>
              <w:jc w:val="center"/>
            </w:pPr>
            <w:r>
              <w:rPr>
                <w:rFonts w:ascii="Calibri" w:cs="Calibri" w:eastAsia="Calibri" w:hAnsi="Calibri"/>
                <w:b/>
                <w:bCs/>
                <w:color w:val="0E7C66"/>
                <w:sz w:val="20"/>
                <w:szCs w:val="20"/>
              </w:rPr>
              <w:t xml:space="preserve">PLUS</w:t>
            </w:r>
          </w:p>
        </w:tc>
        <w:tc>
          <w:tcPr>
            <w:tcW w:type="pct" w:w="12%"/>
            <w:tcMar>
              <w:top w:type="dxa" w:w="100"/>
              <w:left w:type="dxa" w:w="120"/>
              <w:bottom w:type="dxa" w:w="100"/>
              <w:right w:type="dxa" w:w="120"/>
            </w:tcMar>
            <w:vAlign w:val="center"/>
          </w:tcPr>
          <w:p>
            <w:pPr>
              <w:spacing w:after="0" w:line="260"/>
              <w:jc w:val="left"/>
            </w:pPr>
            <w:r>
              <w:rPr>
                <w:rFonts w:ascii="Calibri" w:cs="Calibri" w:eastAsia="Calibri" w:hAnsi="Calibri"/>
                <w:b w:val="false"/>
                <w:bCs w:val="false"/>
                <w:color w:val="111827"/>
                <w:sz w:val="20"/>
                <w:szCs w:val="20"/>
              </w:rPr>
              <w:t xml:space="preserve">Unique to us; surface gap to Sales pipeline for upsell training.</w:t>
            </w:r>
          </w:p>
        </w:tc>
      </w:tr>
      <w:tr>
        <w:tc>
          <w:tcPr>
            <w:tcW w:type="pct" w:w="22%"/>
            <w:shd w:fill="F1F5F4" w:color="auto" w:val="clear"/>
            <w:tcMar>
              <w:top w:type="dxa" w:w="100"/>
              <w:left w:type="dxa" w:w="120"/>
              <w:bottom w:type="dxa" w:w="100"/>
              <w:right w:type="dxa" w:w="120"/>
            </w:tcMar>
            <w:vAlign w:val="center"/>
          </w:tcPr>
          <w:p>
            <w:pPr>
              <w:spacing w:after="0" w:line="260"/>
              <w:jc w:val="left"/>
            </w:pPr>
            <w:r>
              <w:rPr>
                <w:rFonts w:ascii="Calibri" w:cs="Calibri" w:eastAsia="Calibri" w:hAnsi="Calibri"/>
                <w:b/>
                <w:bCs/>
                <w:color w:val="111827"/>
                <w:sz w:val="20"/>
                <w:szCs w:val="20"/>
              </w:rPr>
              <w:t xml:space="preserve">Performance Ranking</w:t>
            </w:r>
          </w:p>
        </w:tc>
        <w:tc>
          <w:tcPr>
            <w:tcW w:type="pct" w:w="28%"/>
            <w:shd w:fill="F1F5F4" w:color="auto" w:val="clear"/>
            <w:tcMar>
              <w:top w:type="dxa" w:w="100"/>
              <w:left w:type="dxa" w:w="120"/>
              <w:bottom w:type="dxa" w:w="100"/>
              <w:right w:type="dxa" w:w="120"/>
            </w:tcMar>
            <w:vAlign w:val="center"/>
          </w:tcPr>
          <w:p>
            <w:pPr>
              <w:spacing w:after="0" w:line="260"/>
              <w:jc w:val="left"/>
            </w:pPr>
            <w:r>
              <w:rPr>
                <w:rFonts w:ascii="Calibri" w:cs="Calibri" w:eastAsia="Calibri" w:hAnsi="Calibri"/>
                <w:b w:val="false"/>
                <w:bCs w:val="false"/>
                <w:color w:val="111827"/>
                <w:sz w:val="20"/>
                <w:szCs w:val="20"/>
              </w:rPr>
              <w:t xml:space="preserve">Utilization metrics in reports; no explicit top-performer module.</w:t>
            </w:r>
          </w:p>
        </w:tc>
        <w:tc>
          <w:tcPr>
            <w:tcW w:type="pct" w:w="28%"/>
            <w:shd w:fill="F1F5F4" w:color="auto" w:val="clear"/>
            <w:tcMar>
              <w:top w:type="dxa" w:w="100"/>
              <w:left w:type="dxa" w:w="120"/>
              <w:bottom w:type="dxa" w:w="100"/>
              <w:right w:type="dxa" w:w="120"/>
            </w:tcMar>
            <w:vAlign w:val="center"/>
          </w:tcPr>
          <w:p>
            <w:pPr>
              <w:spacing w:after="0" w:line="260"/>
              <w:jc w:val="left"/>
            </w:pPr>
            <w:r>
              <w:rPr>
                <w:rFonts w:ascii="Calibri" w:cs="Calibri" w:eastAsia="Calibri" w:hAnsi="Calibri"/>
                <w:b w:val="false"/>
                <w:bCs w:val="false"/>
                <w:color w:val="111827"/>
                <w:sz w:val="20"/>
                <w:szCs w:val="20"/>
              </w:rPr>
              <w:t xml:space="preserve">Top Performers feature: per-role weighted scoring (margin, utilization, deliverables, etc.) with podium, full table, Scoring Rules popup.</w:t>
            </w:r>
          </w:p>
        </w:tc>
        <w:tc>
          <w:tcPr>
            <w:tcW w:type="pct" w:w="10%"/>
            <w:shd w:fill="DBEAFE" w:color="auto" w:val="clear"/>
            <w:tcMar>
              <w:top w:type="dxa" w:w="100"/>
              <w:left w:type="dxa" w:w="120"/>
              <w:bottom w:type="dxa" w:w="100"/>
              <w:right w:type="dxa" w:w="120"/>
            </w:tcMar>
            <w:vAlign w:val="center"/>
          </w:tcPr>
          <w:p>
            <w:pPr>
              <w:spacing w:after="0" w:line="260"/>
              <w:jc w:val="center"/>
            </w:pPr>
            <w:r>
              <w:rPr>
                <w:rFonts w:ascii="Calibri" w:cs="Calibri" w:eastAsia="Calibri" w:hAnsi="Calibri"/>
                <w:b/>
                <w:bCs/>
                <w:color w:val="0E7C66"/>
                <w:sz w:val="20"/>
                <w:szCs w:val="20"/>
              </w:rPr>
              <w:t xml:space="preserve">PLUS</w:t>
            </w:r>
          </w:p>
        </w:tc>
        <w:tc>
          <w:tcPr>
            <w:tcW w:type="pct" w:w="12%"/>
            <w:shd w:fill="F1F5F4" w:color="auto" w:val="clear"/>
            <w:tcMar>
              <w:top w:type="dxa" w:w="100"/>
              <w:left w:type="dxa" w:w="120"/>
              <w:bottom w:type="dxa" w:w="100"/>
              <w:right w:type="dxa" w:w="120"/>
            </w:tcMar>
            <w:vAlign w:val="center"/>
          </w:tcPr>
          <w:p>
            <w:pPr>
              <w:spacing w:after="0" w:line="260"/>
              <w:jc w:val="left"/>
            </w:pPr>
            <w:r>
              <w:rPr>
                <w:rFonts w:ascii="Calibri" w:cs="Calibri" w:eastAsia="Calibri" w:hAnsi="Calibri"/>
                <w:b w:val="false"/>
                <w:bCs w:val="false"/>
                <w:color w:val="111827"/>
                <w:sz w:val="20"/>
                <w:szCs w:val="20"/>
              </w:rPr>
              <w:t xml:space="preserve">Unique to us; expand with peer feedback / 360-review.</w:t>
            </w:r>
          </w:p>
        </w:tc>
      </w:tr>
      <w:tr>
        <w:tc>
          <w:tcPr>
            <w:tcW w:type="pct" w:w="22%"/>
            <w:tcMar>
              <w:top w:type="dxa" w:w="100"/>
              <w:left w:type="dxa" w:w="120"/>
              <w:bottom w:type="dxa" w:w="100"/>
              <w:right w:type="dxa" w:w="120"/>
            </w:tcMar>
            <w:vAlign w:val="center"/>
          </w:tcPr>
          <w:p>
            <w:pPr>
              <w:spacing w:after="0" w:line="260"/>
              <w:jc w:val="left"/>
            </w:pPr>
            <w:r>
              <w:rPr>
                <w:rFonts w:ascii="Calibri" w:cs="Calibri" w:eastAsia="Calibri" w:hAnsi="Calibri"/>
                <w:b/>
                <w:bCs/>
                <w:color w:val="111827"/>
                <w:sz w:val="20"/>
                <w:szCs w:val="20"/>
              </w:rPr>
              <w:t xml:space="preserve">Document Management</w:t>
            </w:r>
          </w:p>
        </w:tc>
        <w:tc>
          <w:tcPr>
            <w:tcW w:type="pct" w:w="28%"/>
            <w:tcMar>
              <w:top w:type="dxa" w:w="100"/>
              <w:left w:type="dxa" w:w="120"/>
              <w:bottom w:type="dxa" w:w="100"/>
              <w:right w:type="dxa" w:w="120"/>
            </w:tcMar>
            <w:vAlign w:val="center"/>
          </w:tcPr>
          <w:p>
            <w:pPr>
              <w:spacing w:after="0" w:line="260"/>
              <w:jc w:val="left"/>
            </w:pPr>
            <w:r>
              <w:rPr>
                <w:rFonts w:ascii="Calibri" w:cs="Calibri" w:eastAsia="Calibri" w:hAnsi="Calibri"/>
                <w:b w:val="false"/>
                <w:bCs w:val="false"/>
                <w:color w:val="111827"/>
                <w:sz w:val="20"/>
                <w:szCs w:val="20"/>
              </w:rPr>
              <w:t xml:space="preserve">Quotes/SOW + invoice templates; otherwise basic.</w:t>
            </w:r>
          </w:p>
        </w:tc>
        <w:tc>
          <w:tcPr>
            <w:tcW w:type="pct" w:w="28%"/>
            <w:tcMar>
              <w:top w:type="dxa" w:w="100"/>
              <w:left w:type="dxa" w:w="120"/>
              <w:bottom w:type="dxa" w:w="100"/>
              <w:right w:type="dxa" w:w="120"/>
            </w:tcMar>
            <w:vAlign w:val="center"/>
          </w:tcPr>
          <w:p>
            <w:pPr>
              <w:spacing w:after="0" w:line="260"/>
              <w:jc w:val="left"/>
            </w:pPr>
            <w:r>
              <w:rPr>
                <w:rFonts w:ascii="Calibri" w:cs="Calibri" w:eastAsia="Calibri" w:hAnsi="Calibri"/>
                <w:b w:val="false"/>
                <w:bCs w:val="false"/>
                <w:color w:val="111827"/>
                <w:sz w:val="20"/>
                <w:szCs w:val="20"/>
              </w:rPr>
              <w:t xml:space="preserve">Document model (BAST/INVOICE/CONTRACT/OTHER) stored as base64 per project. Closing-doc inbox for Admin Project role.</w:t>
            </w:r>
          </w:p>
        </w:tc>
        <w:tc>
          <w:tcPr>
            <w:tcW w:type="pct" w:w="10%"/>
            <w:shd w:fill="DCFCE7" w:color="auto" w:val="clear"/>
            <w:tcMar>
              <w:top w:type="dxa" w:w="100"/>
              <w:left w:type="dxa" w:w="120"/>
              <w:bottom w:type="dxa" w:w="100"/>
              <w:right w:type="dxa" w:w="120"/>
            </w:tcMar>
            <w:vAlign w:val="center"/>
          </w:tcPr>
          <w:p>
            <w:pPr>
              <w:spacing w:after="0" w:line="260"/>
              <w:jc w:val="center"/>
            </w:pPr>
            <w:r>
              <w:rPr>
                <w:rFonts w:ascii="Calibri" w:cs="Calibri" w:eastAsia="Calibri" w:hAnsi="Calibri"/>
                <w:b/>
                <w:bCs/>
                <w:color w:val="1B8E5A"/>
                <w:sz w:val="20"/>
                <w:szCs w:val="20"/>
              </w:rPr>
              <w:t xml:space="preserve">FIT</w:t>
            </w:r>
          </w:p>
        </w:tc>
        <w:tc>
          <w:tcPr>
            <w:tcW w:type="pct" w:w="12%"/>
            <w:tcMar>
              <w:top w:type="dxa" w:w="100"/>
              <w:left w:type="dxa" w:w="120"/>
              <w:bottom w:type="dxa" w:w="100"/>
              <w:right w:type="dxa" w:w="120"/>
            </w:tcMar>
            <w:vAlign w:val="center"/>
          </w:tcPr>
          <w:p>
            <w:pPr>
              <w:spacing w:after="0" w:line="260"/>
              <w:jc w:val="left"/>
            </w:pPr>
            <w:r>
              <w:rPr>
                <w:rFonts w:ascii="Calibri" w:cs="Calibri" w:eastAsia="Calibri" w:hAnsi="Calibri"/>
                <w:b w:val="false"/>
                <w:bCs w:val="false"/>
                <w:color w:val="111827"/>
                <w:sz w:val="20"/>
                <w:szCs w:val="20"/>
              </w:rPr>
              <w:t xml:space="preserve">Move from base64 to object storage for scalability.</w:t>
            </w:r>
          </w:p>
        </w:tc>
      </w:tr>
      <w:tr>
        <w:tc>
          <w:tcPr>
            <w:tcW w:type="pct" w:w="22%"/>
            <w:shd w:fill="F1F5F4" w:color="auto" w:val="clear"/>
            <w:tcMar>
              <w:top w:type="dxa" w:w="100"/>
              <w:left w:type="dxa" w:w="120"/>
              <w:bottom w:type="dxa" w:w="100"/>
              <w:right w:type="dxa" w:w="120"/>
            </w:tcMar>
            <w:vAlign w:val="center"/>
          </w:tcPr>
          <w:p>
            <w:pPr>
              <w:spacing w:after="0" w:line="260"/>
              <w:jc w:val="left"/>
            </w:pPr>
            <w:r>
              <w:rPr>
                <w:rFonts w:ascii="Calibri" w:cs="Calibri" w:eastAsia="Calibri" w:hAnsi="Calibri"/>
                <w:b/>
                <w:bCs/>
                <w:color w:val="111827"/>
                <w:sz w:val="20"/>
                <w:szCs w:val="20"/>
              </w:rPr>
              <w:t xml:space="preserve">Mobile App</w:t>
            </w:r>
          </w:p>
        </w:tc>
        <w:tc>
          <w:tcPr>
            <w:tcW w:type="pct" w:w="28%"/>
            <w:shd w:fill="F1F5F4" w:color="auto" w:val="clear"/>
            <w:tcMar>
              <w:top w:type="dxa" w:w="100"/>
              <w:left w:type="dxa" w:w="120"/>
              <w:bottom w:type="dxa" w:w="100"/>
              <w:right w:type="dxa" w:w="120"/>
            </w:tcMar>
            <w:vAlign w:val="center"/>
          </w:tcPr>
          <w:p>
            <w:pPr>
              <w:spacing w:after="0" w:line="260"/>
              <w:jc w:val="left"/>
            </w:pPr>
            <w:r>
              <w:rPr>
                <w:rFonts w:ascii="Calibri" w:cs="Calibri" w:eastAsia="Calibri" w:hAnsi="Calibri"/>
                <w:b w:val="false"/>
                <w:bCs w:val="false"/>
                <w:color w:val="111827"/>
                <w:sz w:val="20"/>
                <w:szCs w:val="20"/>
              </w:rPr>
              <w:t xml:space="preserve">iOS + Android native mobile apps.</w:t>
            </w:r>
          </w:p>
        </w:tc>
        <w:tc>
          <w:tcPr>
            <w:tcW w:type="pct" w:w="28%"/>
            <w:shd w:fill="F1F5F4" w:color="auto" w:val="clear"/>
            <w:tcMar>
              <w:top w:type="dxa" w:w="100"/>
              <w:left w:type="dxa" w:w="120"/>
              <w:bottom w:type="dxa" w:w="100"/>
              <w:right w:type="dxa" w:w="120"/>
            </w:tcMar>
            <w:vAlign w:val="center"/>
          </w:tcPr>
          <w:p>
            <w:pPr>
              <w:spacing w:after="0" w:line="260"/>
              <w:jc w:val="left"/>
            </w:pPr>
            <w:r>
              <w:rPr>
                <w:rFonts w:ascii="Calibri" w:cs="Calibri" w:eastAsia="Calibri" w:hAnsi="Calibri"/>
                <w:b w:val="false"/>
                <w:bCs w:val="false"/>
                <w:color w:val="111827"/>
                <w:sz w:val="20"/>
                <w:szCs w:val="20"/>
              </w:rPr>
              <w:t xml:space="preserve">Web-only (responsive). No native mobile.</w:t>
            </w:r>
          </w:p>
        </w:tc>
        <w:tc>
          <w:tcPr>
            <w:tcW w:type="pct" w:w="10%"/>
            <w:shd w:fill="FEE2E2" w:color="auto" w:val="clear"/>
            <w:tcMar>
              <w:top w:type="dxa" w:w="100"/>
              <w:left w:type="dxa" w:w="120"/>
              <w:bottom w:type="dxa" w:w="100"/>
              <w:right w:type="dxa" w:w="120"/>
            </w:tcMar>
            <w:vAlign w:val="center"/>
          </w:tcPr>
          <w:p>
            <w:pPr>
              <w:spacing w:after="0" w:line="260"/>
              <w:jc w:val="center"/>
            </w:pPr>
            <w:r>
              <w:rPr>
                <w:rFonts w:ascii="Calibri" w:cs="Calibri" w:eastAsia="Calibri" w:hAnsi="Calibri"/>
                <w:b/>
                <w:bCs/>
                <w:color w:val="C03A2B"/>
                <w:sz w:val="20"/>
                <w:szCs w:val="20"/>
              </w:rPr>
              <w:t xml:space="preserve">GAP</w:t>
            </w:r>
          </w:p>
        </w:tc>
        <w:tc>
          <w:tcPr>
            <w:tcW w:type="pct" w:w="12%"/>
            <w:shd w:fill="F1F5F4" w:color="auto" w:val="clear"/>
            <w:tcMar>
              <w:top w:type="dxa" w:w="100"/>
              <w:left w:type="dxa" w:w="120"/>
              <w:bottom w:type="dxa" w:w="100"/>
              <w:right w:type="dxa" w:w="120"/>
            </w:tcMar>
            <w:vAlign w:val="center"/>
          </w:tcPr>
          <w:p>
            <w:pPr>
              <w:spacing w:after="0" w:line="260"/>
              <w:jc w:val="left"/>
            </w:pPr>
            <w:r>
              <w:rPr>
                <w:rFonts w:ascii="Calibri" w:cs="Calibri" w:eastAsia="Calibri" w:hAnsi="Calibri"/>
                <w:b w:val="false"/>
                <w:bCs w:val="false"/>
                <w:color w:val="111827"/>
                <w:sz w:val="20"/>
                <w:szCs w:val="20"/>
              </w:rPr>
              <w:t xml:space="preserve">Build Expo (React Native) timesheet + leave + approval app.</w:t>
            </w:r>
          </w:p>
        </w:tc>
      </w:tr>
      <w:tr>
        <w:tc>
          <w:tcPr>
            <w:tcW w:type="pct" w:w="22%"/>
            <w:tcMar>
              <w:top w:type="dxa" w:w="100"/>
              <w:left w:type="dxa" w:w="120"/>
              <w:bottom w:type="dxa" w:w="100"/>
              <w:right w:type="dxa" w:w="120"/>
            </w:tcMar>
            <w:vAlign w:val="center"/>
          </w:tcPr>
          <w:p>
            <w:pPr>
              <w:spacing w:after="0" w:line="260"/>
              <w:jc w:val="left"/>
            </w:pPr>
            <w:r>
              <w:rPr>
                <w:rFonts w:ascii="Calibri" w:cs="Calibri" w:eastAsia="Calibri" w:hAnsi="Calibri"/>
                <w:b/>
                <w:bCs/>
                <w:color w:val="111827"/>
                <w:sz w:val="20"/>
                <w:szCs w:val="20"/>
              </w:rPr>
              <w:t xml:space="preserve">Multi-language</w:t>
            </w:r>
          </w:p>
        </w:tc>
        <w:tc>
          <w:tcPr>
            <w:tcW w:type="pct" w:w="28%"/>
            <w:tcMar>
              <w:top w:type="dxa" w:w="100"/>
              <w:left w:type="dxa" w:w="120"/>
              <w:bottom w:type="dxa" w:w="100"/>
              <w:right w:type="dxa" w:w="120"/>
            </w:tcMar>
            <w:vAlign w:val="center"/>
          </w:tcPr>
          <w:p>
            <w:pPr>
              <w:spacing w:after="0" w:line="260"/>
              <w:jc w:val="left"/>
            </w:pPr>
            <w:r>
              <w:rPr>
                <w:rFonts w:ascii="Calibri" w:cs="Calibri" w:eastAsia="Calibri" w:hAnsi="Calibri"/>
                <w:b w:val="false"/>
                <w:bCs w:val="false"/>
                <w:color w:val="111827"/>
                <w:sz w:val="20"/>
                <w:szCs w:val="20"/>
              </w:rPr>
              <w:t xml:space="preserve">English, Dutch, French, German.</w:t>
            </w:r>
          </w:p>
        </w:tc>
        <w:tc>
          <w:tcPr>
            <w:tcW w:type="pct" w:w="28%"/>
            <w:tcMar>
              <w:top w:type="dxa" w:w="100"/>
              <w:left w:type="dxa" w:w="120"/>
              <w:bottom w:type="dxa" w:w="100"/>
              <w:right w:type="dxa" w:w="120"/>
            </w:tcMar>
            <w:vAlign w:val="center"/>
          </w:tcPr>
          <w:p>
            <w:pPr>
              <w:spacing w:after="0" w:line="260"/>
              <w:jc w:val="left"/>
            </w:pPr>
            <w:r>
              <w:rPr>
                <w:rFonts w:ascii="Calibri" w:cs="Calibri" w:eastAsia="Calibri" w:hAnsi="Calibri"/>
                <w:b w:val="false"/>
                <w:bCs w:val="false"/>
                <w:color w:val="111827"/>
                <w:sz w:val="20"/>
                <w:szCs w:val="20"/>
              </w:rPr>
              <w:t xml:space="preserve">English UI with Indonesian domain labels (BAST, PPN, Mandays).</w:t>
            </w:r>
          </w:p>
        </w:tc>
        <w:tc>
          <w:tcPr>
            <w:tcW w:type="pct" w:w="10%"/>
            <w:shd w:fill="FEF3C7" w:color="auto" w:val="clear"/>
            <w:tcMar>
              <w:top w:type="dxa" w:w="100"/>
              <w:left w:type="dxa" w:w="120"/>
              <w:bottom w:type="dxa" w:w="100"/>
              <w:right w:type="dxa" w:w="120"/>
            </w:tcMar>
            <w:vAlign w:val="center"/>
          </w:tcPr>
          <w:p>
            <w:pPr>
              <w:spacing w:after="0" w:line="260"/>
              <w:jc w:val="center"/>
            </w:pPr>
            <w:r>
              <w:rPr>
                <w:rFonts w:ascii="Calibri" w:cs="Calibri" w:eastAsia="Calibri" w:hAnsi="Calibri"/>
                <w:b/>
                <w:bCs/>
                <w:color w:val="B8860B"/>
                <w:sz w:val="20"/>
                <w:szCs w:val="20"/>
              </w:rPr>
              <w:t xml:space="preserve">PARTIAL</w:t>
            </w:r>
          </w:p>
        </w:tc>
        <w:tc>
          <w:tcPr>
            <w:tcW w:type="pct" w:w="12%"/>
            <w:tcMar>
              <w:top w:type="dxa" w:w="100"/>
              <w:left w:type="dxa" w:w="120"/>
              <w:bottom w:type="dxa" w:w="100"/>
              <w:right w:type="dxa" w:w="120"/>
            </w:tcMar>
            <w:vAlign w:val="center"/>
          </w:tcPr>
          <w:p>
            <w:pPr>
              <w:spacing w:after="0" w:line="260"/>
              <w:jc w:val="left"/>
            </w:pPr>
            <w:r>
              <w:rPr>
                <w:rFonts w:ascii="Calibri" w:cs="Calibri" w:eastAsia="Calibri" w:hAnsi="Calibri"/>
                <w:b w:val="false"/>
                <w:bCs w:val="false"/>
                <w:color w:val="111827"/>
                <w:sz w:val="20"/>
                <w:szCs w:val="20"/>
              </w:rPr>
              <w:t xml:space="preserve">Add full Bahasa Indonesia i18n switch.</w:t>
            </w:r>
          </w:p>
        </w:tc>
      </w:tr>
      <w:tr>
        <w:tc>
          <w:tcPr>
            <w:tcW w:type="pct" w:w="22%"/>
            <w:shd w:fill="F1F5F4" w:color="auto" w:val="clear"/>
            <w:tcMar>
              <w:top w:type="dxa" w:w="100"/>
              <w:left w:type="dxa" w:w="120"/>
              <w:bottom w:type="dxa" w:w="100"/>
              <w:right w:type="dxa" w:w="120"/>
            </w:tcMar>
            <w:vAlign w:val="center"/>
          </w:tcPr>
          <w:p>
            <w:pPr>
              <w:spacing w:after="0" w:line="260"/>
              <w:jc w:val="left"/>
            </w:pPr>
            <w:r>
              <w:rPr>
                <w:rFonts w:ascii="Calibri" w:cs="Calibri" w:eastAsia="Calibri" w:hAnsi="Calibri"/>
                <w:b/>
                <w:bCs/>
                <w:color w:val="111827"/>
                <w:sz w:val="20"/>
                <w:szCs w:val="20"/>
              </w:rPr>
              <w:t xml:space="preserve">Pricing / Deployment Model</w:t>
            </w:r>
          </w:p>
        </w:tc>
        <w:tc>
          <w:tcPr>
            <w:tcW w:type="pct" w:w="28%"/>
            <w:shd w:fill="F1F5F4" w:color="auto" w:val="clear"/>
            <w:tcMar>
              <w:top w:type="dxa" w:w="100"/>
              <w:left w:type="dxa" w:w="120"/>
              <w:bottom w:type="dxa" w:w="100"/>
              <w:right w:type="dxa" w:w="120"/>
            </w:tcMar>
            <w:vAlign w:val="center"/>
          </w:tcPr>
          <w:p>
            <w:pPr>
              <w:spacing w:after="0" w:line="260"/>
              <w:jc w:val="left"/>
            </w:pPr>
            <w:r>
              <w:rPr>
                <w:rFonts w:ascii="Calibri" w:cs="Calibri" w:eastAsia="Calibri" w:hAnsi="Calibri"/>
                <w:b w:val="false"/>
                <w:bCs w:val="false"/>
                <w:color w:val="111827"/>
                <w:sz w:val="20"/>
                <w:szCs w:val="20"/>
              </w:rPr>
              <w:t xml:space="preserve">Cloud SaaS, $12.50+/user/month, 30-day free trial.</w:t>
            </w:r>
          </w:p>
        </w:tc>
        <w:tc>
          <w:tcPr>
            <w:tcW w:type="pct" w:w="28%"/>
            <w:shd w:fill="F1F5F4" w:color="auto" w:val="clear"/>
            <w:tcMar>
              <w:top w:type="dxa" w:w="100"/>
              <w:left w:type="dxa" w:w="120"/>
              <w:bottom w:type="dxa" w:w="100"/>
              <w:right w:type="dxa" w:w="120"/>
            </w:tcMar>
            <w:vAlign w:val="center"/>
          </w:tcPr>
          <w:p>
            <w:pPr>
              <w:spacing w:after="0" w:line="260"/>
              <w:jc w:val="left"/>
            </w:pPr>
            <w:r>
              <w:rPr>
                <w:rFonts w:ascii="Calibri" w:cs="Calibri" w:eastAsia="Calibri" w:hAnsi="Calibri"/>
                <w:b w:val="false"/>
                <w:bCs w:val="false"/>
                <w:color w:val="111827"/>
                <w:sz w:val="20"/>
                <w:szCs w:val="20"/>
              </w:rPr>
              <w:t xml:space="preserve">Self-hosted / Replit deploy, single-tenant, no per-seat licensing.</w:t>
            </w:r>
          </w:p>
        </w:tc>
        <w:tc>
          <w:tcPr>
            <w:tcW w:type="pct" w:w="10%"/>
            <w:shd w:fill="DBEAFE" w:color="auto" w:val="clear"/>
            <w:tcMar>
              <w:top w:type="dxa" w:w="100"/>
              <w:left w:type="dxa" w:w="120"/>
              <w:bottom w:type="dxa" w:w="100"/>
              <w:right w:type="dxa" w:w="120"/>
            </w:tcMar>
            <w:vAlign w:val="center"/>
          </w:tcPr>
          <w:p>
            <w:pPr>
              <w:spacing w:after="0" w:line="260"/>
              <w:jc w:val="center"/>
            </w:pPr>
            <w:r>
              <w:rPr>
                <w:rFonts w:ascii="Calibri" w:cs="Calibri" w:eastAsia="Calibri" w:hAnsi="Calibri"/>
                <w:b/>
                <w:bCs/>
                <w:color w:val="0E7C66"/>
                <w:sz w:val="20"/>
                <w:szCs w:val="20"/>
              </w:rPr>
              <w:t xml:space="preserve">PLUS</w:t>
            </w:r>
          </w:p>
        </w:tc>
        <w:tc>
          <w:tcPr>
            <w:tcW w:type="pct" w:w="12%"/>
            <w:shd w:fill="F1F5F4" w:color="auto" w:val="clear"/>
            <w:tcMar>
              <w:top w:type="dxa" w:w="100"/>
              <w:left w:type="dxa" w:w="120"/>
              <w:bottom w:type="dxa" w:w="100"/>
              <w:right w:type="dxa" w:w="120"/>
            </w:tcMar>
            <w:vAlign w:val="center"/>
          </w:tcPr>
          <w:p>
            <w:pPr>
              <w:spacing w:after="0" w:line="260"/>
              <w:jc w:val="left"/>
            </w:pPr>
            <w:r>
              <w:rPr>
                <w:rFonts w:ascii="Calibri" w:cs="Calibri" w:eastAsia="Calibri" w:hAnsi="Calibri"/>
                <w:b w:val="false"/>
                <w:bCs w:val="false"/>
                <w:color w:val="111827"/>
                <w:sz w:val="20"/>
                <w:szCs w:val="20"/>
              </w:rPr>
              <w:t xml:space="preserve">Differentiator for compliance-sensitive Indonesian customers (data sovereignty).</w:t>
            </w:r>
          </w:p>
        </w:tc>
      </w:tr>
      <w:tr>
        <w:tc>
          <w:tcPr>
            <w:tcW w:type="pct" w:w="22%"/>
            <w:tcMar>
              <w:top w:type="dxa" w:w="100"/>
              <w:left w:type="dxa" w:w="120"/>
              <w:bottom w:type="dxa" w:w="100"/>
              <w:right w:type="dxa" w:w="120"/>
            </w:tcMar>
            <w:vAlign w:val="center"/>
          </w:tcPr>
          <w:p>
            <w:pPr>
              <w:spacing w:after="0" w:line="260"/>
              <w:jc w:val="left"/>
            </w:pPr>
            <w:r>
              <w:rPr>
                <w:rFonts w:ascii="Calibri" w:cs="Calibri" w:eastAsia="Calibri" w:hAnsi="Calibri"/>
                <w:b/>
                <w:bCs/>
                <w:color w:val="111827"/>
                <w:sz w:val="20"/>
                <w:szCs w:val="20"/>
              </w:rPr>
              <w:t xml:space="preserve">Audit Log</w:t>
            </w:r>
          </w:p>
        </w:tc>
        <w:tc>
          <w:tcPr>
            <w:tcW w:type="pct" w:w="28%"/>
            <w:tcMar>
              <w:top w:type="dxa" w:w="100"/>
              <w:left w:type="dxa" w:w="120"/>
              <w:bottom w:type="dxa" w:w="100"/>
              <w:right w:type="dxa" w:w="120"/>
            </w:tcMar>
            <w:vAlign w:val="center"/>
          </w:tcPr>
          <w:p>
            <w:pPr>
              <w:spacing w:after="0" w:line="260"/>
              <w:jc w:val="left"/>
            </w:pPr>
            <w:r>
              <w:rPr>
                <w:rFonts w:ascii="Calibri" w:cs="Calibri" w:eastAsia="Calibri" w:hAnsi="Calibri"/>
                <w:b w:val="false"/>
                <w:bCs w:val="false"/>
                <w:color w:val="111827"/>
                <w:sz w:val="20"/>
                <w:szCs w:val="20"/>
              </w:rPr>
              <w:t xml:space="preserve">Standard activity feed (CRM-side).</w:t>
            </w:r>
          </w:p>
        </w:tc>
        <w:tc>
          <w:tcPr>
            <w:tcW w:type="pct" w:w="28%"/>
            <w:tcMar>
              <w:top w:type="dxa" w:w="100"/>
              <w:left w:type="dxa" w:w="120"/>
              <w:bottom w:type="dxa" w:w="100"/>
              <w:right w:type="dxa" w:w="120"/>
            </w:tcMar>
            <w:vAlign w:val="center"/>
          </w:tcPr>
          <w:p>
            <w:pPr>
              <w:spacing w:after="0" w:line="260"/>
              <w:jc w:val="left"/>
            </w:pPr>
            <w:r>
              <w:rPr>
                <w:rFonts w:ascii="Calibri" w:cs="Calibri" w:eastAsia="Calibri" w:hAnsi="Calibri"/>
                <w:b w:val="false"/>
                <w:bCs w:val="false"/>
                <w:color w:val="111827"/>
                <w:sz w:val="20"/>
                <w:szCs w:val="20"/>
              </w:rPr>
              <w:t xml:space="preserve">Dedicated Activity audit log + /audit-logs page (SITE_ADMIN). Every task create/update/delete/time_logged emits an Activity row.</w:t>
            </w:r>
          </w:p>
        </w:tc>
        <w:tc>
          <w:tcPr>
            <w:tcW w:type="pct" w:w="10%"/>
            <w:shd w:fill="DBEAFE" w:color="auto" w:val="clear"/>
            <w:tcMar>
              <w:top w:type="dxa" w:w="100"/>
              <w:left w:type="dxa" w:w="120"/>
              <w:bottom w:type="dxa" w:w="100"/>
              <w:right w:type="dxa" w:w="120"/>
            </w:tcMar>
            <w:vAlign w:val="center"/>
          </w:tcPr>
          <w:p>
            <w:pPr>
              <w:spacing w:after="0" w:line="260"/>
              <w:jc w:val="center"/>
            </w:pPr>
            <w:r>
              <w:rPr>
                <w:rFonts w:ascii="Calibri" w:cs="Calibri" w:eastAsia="Calibri" w:hAnsi="Calibri"/>
                <w:b/>
                <w:bCs/>
                <w:color w:val="0E7C66"/>
                <w:sz w:val="20"/>
                <w:szCs w:val="20"/>
              </w:rPr>
              <w:t xml:space="preserve">PLUS</w:t>
            </w:r>
          </w:p>
        </w:tc>
        <w:tc>
          <w:tcPr>
            <w:tcW w:type="pct" w:w="12%"/>
            <w:tcMar>
              <w:top w:type="dxa" w:w="100"/>
              <w:left w:type="dxa" w:w="120"/>
              <w:bottom w:type="dxa" w:w="100"/>
              <w:right w:type="dxa" w:w="120"/>
            </w:tcMar>
            <w:vAlign w:val="center"/>
          </w:tcPr>
          <w:p>
            <w:pPr>
              <w:spacing w:after="0" w:line="260"/>
              <w:jc w:val="left"/>
            </w:pPr>
            <w:r>
              <w:rPr>
                <w:rFonts w:ascii="Calibri" w:cs="Calibri" w:eastAsia="Calibri" w:hAnsi="Calibri"/>
                <w:b w:val="false"/>
                <w:bCs w:val="false"/>
                <w:color w:val="111827"/>
                <w:sz w:val="20"/>
                <w:szCs w:val="20"/>
              </w:rPr>
              <w:t xml:space="preserve">Unique to us; export for SOC-2 / ISO-27001 evidence.</w:t>
            </w:r>
          </w:p>
        </w:tc>
      </w:tr>
      <w:tr>
        <w:tc>
          <w:tcPr>
            <w:tcW w:type="pct" w:w="22%"/>
            <w:shd w:fill="F1F5F4" w:color="auto" w:val="clear"/>
            <w:tcMar>
              <w:top w:type="dxa" w:w="100"/>
              <w:left w:type="dxa" w:w="120"/>
              <w:bottom w:type="dxa" w:w="100"/>
              <w:right w:type="dxa" w:w="120"/>
            </w:tcMar>
            <w:vAlign w:val="center"/>
          </w:tcPr>
          <w:p>
            <w:pPr>
              <w:spacing w:after="0" w:line="260"/>
              <w:jc w:val="left"/>
            </w:pPr>
            <w:r>
              <w:rPr>
                <w:rFonts w:ascii="Calibri" w:cs="Calibri" w:eastAsia="Calibri" w:hAnsi="Calibri"/>
                <w:b/>
                <w:bCs/>
                <w:color w:val="111827"/>
                <w:sz w:val="20"/>
                <w:szCs w:val="20"/>
              </w:rPr>
              <w:t xml:space="preserve">Role-based Access Control</w:t>
            </w:r>
          </w:p>
        </w:tc>
        <w:tc>
          <w:tcPr>
            <w:tcW w:type="pct" w:w="28%"/>
            <w:shd w:fill="F1F5F4" w:color="auto" w:val="clear"/>
            <w:tcMar>
              <w:top w:type="dxa" w:w="100"/>
              <w:left w:type="dxa" w:w="120"/>
              <w:bottom w:type="dxa" w:w="100"/>
              <w:right w:type="dxa" w:w="120"/>
            </w:tcMar>
            <w:vAlign w:val="center"/>
          </w:tcPr>
          <w:p>
            <w:pPr>
              <w:spacing w:after="0" w:line="260"/>
              <w:jc w:val="left"/>
            </w:pPr>
            <w:r>
              <w:rPr>
                <w:rFonts w:ascii="Calibri" w:cs="Calibri" w:eastAsia="Calibri" w:hAnsi="Calibri"/>
                <w:b w:val="false"/>
                <w:bCs w:val="false"/>
                <w:color w:val="111827"/>
                <w:sz w:val="20"/>
                <w:szCs w:val="20"/>
              </w:rPr>
              <w:t xml:space="preserve">Standard PSA roles.</w:t>
            </w:r>
          </w:p>
        </w:tc>
        <w:tc>
          <w:tcPr>
            <w:tcW w:type="pct" w:w="28%"/>
            <w:shd w:fill="F1F5F4" w:color="auto" w:val="clear"/>
            <w:tcMar>
              <w:top w:type="dxa" w:w="100"/>
              <w:left w:type="dxa" w:w="120"/>
              <w:bottom w:type="dxa" w:w="100"/>
              <w:right w:type="dxa" w:w="120"/>
            </w:tcMar>
            <w:vAlign w:val="center"/>
          </w:tcPr>
          <w:p>
            <w:pPr>
              <w:spacing w:after="0" w:line="260"/>
              <w:jc w:val="left"/>
            </w:pPr>
            <w:r>
              <w:rPr>
                <w:rFonts w:ascii="Calibri" w:cs="Calibri" w:eastAsia="Calibri" w:hAnsi="Calibri"/>
                <w:b w:val="false"/>
                <w:bCs w:val="false"/>
                <w:color w:val="111827"/>
                <w:sz w:val="20"/>
                <w:szCs w:val="20"/>
              </w:rPr>
              <w:t xml:space="preserve">10+ granular roles (MGMT, PM, Sales, Konsultan, TW, Admin Project, 3× Principal, Finance, HR, Site Admin) with field-level write rules.</w:t>
            </w:r>
          </w:p>
        </w:tc>
        <w:tc>
          <w:tcPr>
            <w:tcW w:type="pct" w:w="10%"/>
            <w:shd w:fill="DBEAFE" w:color="auto" w:val="clear"/>
            <w:tcMar>
              <w:top w:type="dxa" w:w="100"/>
              <w:left w:type="dxa" w:w="120"/>
              <w:bottom w:type="dxa" w:w="100"/>
              <w:right w:type="dxa" w:w="120"/>
            </w:tcMar>
            <w:vAlign w:val="center"/>
          </w:tcPr>
          <w:p>
            <w:pPr>
              <w:spacing w:after="0" w:line="260"/>
              <w:jc w:val="center"/>
            </w:pPr>
            <w:r>
              <w:rPr>
                <w:rFonts w:ascii="Calibri" w:cs="Calibri" w:eastAsia="Calibri" w:hAnsi="Calibri"/>
                <w:b/>
                <w:bCs/>
                <w:color w:val="0E7C66"/>
                <w:sz w:val="20"/>
                <w:szCs w:val="20"/>
              </w:rPr>
              <w:t xml:space="preserve">PLUS</w:t>
            </w:r>
          </w:p>
        </w:tc>
        <w:tc>
          <w:tcPr>
            <w:tcW w:type="pct" w:w="12%"/>
            <w:shd w:fill="F1F5F4" w:color="auto" w:val="clear"/>
            <w:tcMar>
              <w:top w:type="dxa" w:w="100"/>
              <w:left w:type="dxa" w:w="120"/>
              <w:bottom w:type="dxa" w:w="100"/>
              <w:right w:type="dxa" w:w="120"/>
            </w:tcMar>
            <w:vAlign w:val="center"/>
          </w:tcPr>
          <w:p>
            <w:pPr>
              <w:spacing w:after="0" w:line="260"/>
              <w:jc w:val="left"/>
            </w:pPr>
            <w:r>
              <w:rPr>
                <w:rFonts w:ascii="Calibri" w:cs="Calibri" w:eastAsia="Calibri" w:hAnsi="Calibri"/>
                <w:b w:val="false"/>
                <w:bCs w:val="false"/>
                <w:color w:val="111827"/>
                <w:sz w:val="20"/>
                <w:szCs w:val="20"/>
              </w:rPr>
              <w:t xml:space="preserve">Unique to us; document role matrix for compliance audits.</w:t>
            </w:r>
          </w:p>
        </w:tc>
      </w:tr>
    </w:tbl>
    <w:p>
      <w:r>
        <w:br w:type="page"/>
      </w:r>
    </w:p>
    <w:p>
      <w:pPr>
        <w:pStyle w:val="Heading1"/>
        <w:spacing w:after="200" w:before="360"/>
      </w:pPr>
      <w:r>
        <w:rPr>
          <w:rFonts w:ascii="Calibri" w:cs="Calibri" w:eastAsia="Calibri" w:hAnsi="Calibri"/>
          <w:b/>
          <w:bCs/>
          <w:color w:val="0E7C66"/>
          <w:sz w:val="36"/>
          <w:szCs w:val="36"/>
        </w:rPr>
        <w:t xml:space="preserve">5. Where SecureProfit Hub wins (PLUS items)</w:t>
      </w:r>
    </w:p>
    <w:p>
      <w:pPr>
        <w:spacing w:after="120" w:before="0" w:line="300"/>
        <w:jc w:val="left"/>
      </w:pPr>
      <w:r>
        <w:rPr>
          <w:rFonts w:ascii="Calibri" w:cs="Calibri" w:eastAsia="Calibri" w:hAnsi="Calibri"/>
          <w:b w:val="false"/>
          <w:bCs w:val="false"/>
          <w:i w:val="false"/>
          <w:iCs w:val="false"/>
          <w:color w:val="111827"/>
          <w:sz w:val="22"/>
          <w:szCs w:val="22"/>
        </w:rPr>
        <w:t xml:space="preserve">These are net-positive features our customers get out of the box that PSOHub does not advertise:</w:t>
      </w:r>
    </w:p>
    <w:p>
      <w:pPr>
        <w:pStyle w:val="ListParagraph"/>
        <w:numPr>
          <w:ilvl w:val="0"/>
          <w:numId w:val="1"/>
        </w:numPr>
        <w:spacing w:after="80" w:line="280"/>
      </w:pPr>
      <w:r>
        <w:rPr>
          <w:rFonts w:ascii="Calibri" w:cs="Calibri" w:eastAsia="Calibri" w:hAnsi="Calibri"/>
          <w:color w:val="111827"/>
          <w:sz w:val="22"/>
          <w:szCs w:val="22"/>
        </w:rPr>
        <w:t xml:space="preserve">Localisation for Indonesia — PPN 11% VAT recap, DPP/VAT split honouring contract VAT inclusivity, BAST closing-document workflow, Indonesian role labels.</w:t>
      </w:r>
    </w:p>
    <w:p>
      <w:pPr>
        <w:pStyle w:val="ListParagraph"/>
        <w:numPr>
          <w:ilvl w:val="0"/>
          <w:numId w:val="1"/>
        </w:numPr>
        <w:spacing w:after="80" w:line="280"/>
      </w:pPr>
      <w:r>
        <w:rPr>
          <w:rFonts w:ascii="Calibri" w:cs="Calibri" w:eastAsia="Calibri" w:hAnsi="Calibri"/>
          <w:color w:val="111827"/>
          <w:sz w:val="22"/>
          <w:szCs w:val="22"/>
        </w:rPr>
        <w:t xml:space="preserve">Principal-Supervisor hierarchy — 3 Principal roles (Konsultan, Technical Writer, Admin Project) with Propose→Accept staffing flow; PMs report to PMO Director.</w:t>
      </w:r>
    </w:p>
    <w:p>
      <w:pPr>
        <w:pStyle w:val="ListParagraph"/>
        <w:numPr>
          <w:ilvl w:val="0"/>
          <w:numId w:val="1"/>
        </w:numPr>
        <w:spacing w:after="80" w:line="280"/>
      </w:pPr>
      <w:r>
        <w:rPr>
          <w:rFonts w:ascii="Calibri" w:cs="Calibri" w:eastAsia="Calibri" w:hAnsi="Calibri"/>
          <w:color w:val="111827"/>
          <w:sz w:val="22"/>
          <w:szCs w:val="22"/>
        </w:rPr>
        <w:t xml:space="preserve">Granular RBAC — 10+ roles with per-field write rules (e.g. Sales can only edit code/name/client/value on DRAFT; HR is hard-blocked from financials).</w:t>
      </w:r>
    </w:p>
    <w:p>
      <w:pPr>
        <w:pStyle w:val="ListParagraph"/>
        <w:numPr>
          <w:ilvl w:val="0"/>
          <w:numId w:val="1"/>
        </w:numPr>
        <w:spacing w:after="80" w:line="280"/>
      </w:pPr>
      <w:r>
        <w:rPr>
          <w:rFonts w:ascii="Calibri" w:cs="Calibri" w:eastAsia="Calibri" w:hAnsi="Calibri"/>
          <w:color w:val="111827"/>
          <w:sz w:val="22"/>
          <w:szCs w:val="22"/>
        </w:rPr>
        <w:t xml:space="preserve">HR &amp; Leave module — Headcount KPIs, leaves today/upcoming, bench summary, skill gaps, new joiners; UserLeave feeds capacity planning automatically.</w:t>
      </w:r>
    </w:p>
    <w:p>
      <w:pPr>
        <w:pStyle w:val="ListParagraph"/>
        <w:numPr>
          <w:ilvl w:val="0"/>
          <w:numId w:val="1"/>
        </w:numPr>
        <w:spacing w:after="80" w:line="280"/>
      </w:pPr>
      <w:r>
        <w:rPr>
          <w:rFonts w:ascii="Calibri" w:cs="Calibri" w:eastAsia="Calibri" w:hAnsi="Calibri"/>
          <w:color w:val="111827"/>
          <w:sz w:val="22"/>
          <w:szCs w:val="22"/>
        </w:rPr>
        <w:t xml:space="preserve">Skill Matrix with gap detection — Automatic flagging of skills with no holders, 1 holder, or no senior/principal coverage.</w:t>
      </w:r>
    </w:p>
    <w:p>
      <w:pPr>
        <w:pStyle w:val="ListParagraph"/>
        <w:numPr>
          <w:ilvl w:val="0"/>
          <w:numId w:val="1"/>
        </w:numPr>
        <w:spacing w:after="80" w:line="280"/>
      </w:pPr>
      <w:r>
        <w:rPr>
          <w:rFonts w:ascii="Calibri" w:cs="Calibri" w:eastAsia="Calibri" w:hAnsi="Calibri"/>
          <w:color w:val="111827"/>
          <w:sz w:val="22"/>
          <w:szCs w:val="22"/>
        </w:rPr>
        <w:t xml:space="preserve">Top Performer ranking — Per-role weighted scoring engine (FIT/PARTIAL/GAP scoring rubric per role) with podium, breakdown bars, and a Scoring Rules popup explaining methodology.</w:t>
      </w:r>
    </w:p>
    <w:p>
      <w:pPr>
        <w:pStyle w:val="ListParagraph"/>
        <w:numPr>
          <w:ilvl w:val="0"/>
          <w:numId w:val="1"/>
        </w:numPr>
        <w:spacing w:after="80" w:line="280"/>
      </w:pPr>
      <w:r>
        <w:rPr>
          <w:rFonts w:ascii="Calibri" w:cs="Calibri" w:eastAsia="Calibri" w:hAnsi="Calibri"/>
          <w:color w:val="111827"/>
          <w:sz w:val="22"/>
          <w:szCs w:val="22"/>
        </w:rPr>
        <w:t xml:space="preserve">Audit log — Every task and resource mutation emits an Activity row; SITE_ADMIN audit-log page suitable for SOC-2 / ISO-27001 evidence.</w:t>
      </w:r>
    </w:p>
    <w:p>
      <w:pPr>
        <w:pStyle w:val="ListParagraph"/>
        <w:numPr>
          <w:ilvl w:val="0"/>
          <w:numId w:val="1"/>
        </w:numPr>
        <w:spacing w:after="80" w:line="280"/>
      </w:pPr>
      <w:r>
        <w:rPr>
          <w:rFonts w:ascii="Calibri" w:cs="Calibri" w:eastAsia="Calibri" w:hAnsi="Calibri"/>
          <w:color w:val="111827"/>
          <w:sz w:val="22"/>
          <w:szCs w:val="22"/>
        </w:rPr>
        <w:t xml:space="preserve">Self-hosted / single-tenant — Data sovereignty for compliance-sensitive engagements; no per-seat licensing cost.</w:t>
      </w:r>
    </w:p>
    <w:p>
      <w:pPr>
        <w:pStyle w:val="Heading1"/>
        <w:spacing w:after="200" w:before="360"/>
      </w:pPr>
      <w:r>
        <w:rPr>
          <w:rFonts w:ascii="Calibri" w:cs="Calibri" w:eastAsia="Calibri" w:hAnsi="Calibri"/>
          <w:b/>
          <w:bCs/>
          <w:color w:val="0E7C66"/>
          <w:sz w:val="36"/>
          <w:szCs w:val="36"/>
        </w:rPr>
        <w:t xml:space="preserve">6. Where PSOHub wins (our GAPs)</w:t>
      </w:r>
    </w:p>
    <w:p>
      <w:pPr>
        <w:spacing w:after="120" w:before="0" w:line="300"/>
        <w:jc w:val="left"/>
      </w:pPr>
      <w:r>
        <w:rPr>
          <w:rFonts w:ascii="Calibri" w:cs="Calibri" w:eastAsia="Calibri" w:hAnsi="Calibri"/>
          <w:b w:val="false"/>
          <w:bCs w:val="false"/>
          <w:i w:val="false"/>
          <w:iCs w:val="false"/>
          <w:color w:val="111827"/>
          <w:sz w:val="22"/>
          <w:szCs w:val="22"/>
        </w:rPr>
        <w:t xml:space="preserve">These are PSOHub capabilities we do not have today and should consider for the roadmap:</w:t>
      </w:r>
    </w:p>
    <w:p>
      <w:pPr>
        <w:pStyle w:val="ListParagraph"/>
        <w:numPr>
          <w:ilvl w:val="0"/>
          <w:numId w:val="1"/>
        </w:numPr>
        <w:spacing w:after="80" w:line="280"/>
      </w:pPr>
      <w:r>
        <w:rPr>
          <w:rFonts w:ascii="Calibri" w:cs="Calibri" w:eastAsia="Calibri" w:hAnsi="Calibri"/>
          <w:color w:val="111827"/>
          <w:sz w:val="22"/>
          <w:szCs w:val="22"/>
        </w:rPr>
        <w:t xml:space="preserve">CRM Integration — HubSpot / Salesforce / Dynamics 365 two-way sync. High commercial value for prospects who already run a CRM.</w:t>
      </w:r>
    </w:p>
    <w:p>
      <w:pPr>
        <w:pStyle w:val="ListParagraph"/>
        <w:numPr>
          <w:ilvl w:val="0"/>
          <w:numId w:val="1"/>
        </w:numPr>
        <w:spacing w:after="80" w:line="280"/>
      </w:pPr>
      <w:r>
        <w:rPr>
          <w:rFonts w:ascii="Calibri" w:cs="Calibri" w:eastAsia="Calibri" w:hAnsi="Calibri"/>
          <w:color w:val="111827"/>
          <w:sz w:val="22"/>
          <w:szCs w:val="22"/>
        </w:rPr>
        <w:t xml:space="preserve">Quotes &amp; SOW with e-signature — Quote-to-project automation; closes the pre-sales gap before our DRAFT intake.</w:t>
      </w:r>
    </w:p>
    <w:p>
      <w:pPr>
        <w:pStyle w:val="ListParagraph"/>
        <w:numPr>
          <w:ilvl w:val="0"/>
          <w:numId w:val="1"/>
        </w:numPr>
        <w:spacing w:after="80" w:line="280"/>
      </w:pPr>
      <w:r>
        <w:rPr>
          <w:rFonts w:ascii="Calibri" w:cs="Calibri" w:eastAsia="Calibri" w:hAnsi="Calibri"/>
          <w:color w:val="111827"/>
          <w:sz w:val="22"/>
          <w:szCs w:val="22"/>
        </w:rPr>
        <w:t xml:space="preserve">Accounting integration — QuickBooks / Xero / Exact / Moneybird. For Indonesia, target Accurate, Jurnal, Mekari.</w:t>
      </w:r>
    </w:p>
    <w:p>
      <w:pPr>
        <w:pStyle w:val="ListParagraph"/>
        <w:numPr>
          <w:ilvl w:val="0"/>
          <w:numId w:val="1"/>
        </w:numPr>
        <w:spacing w:after="80" w:line="280"/>
      </w:pPr>
      <w:r>
        <w:rPr>
          <w:rFonts w:ascii="Calibri" w:cs="Calibri" w:eastAsia="Calibri" w:hAnsi="Calibri"/>
          <w:color w:val="111827"/>
          <w:sz w:val="22"/>
          <w:szCs w:val="22"/>
        </w:rPr>
        <w:t xml:space="preserve">Built-in invoice PDF generator — We currently rely on uploaded INVOICE documents; PSOHub generates branded multi-language invoices automatically.</w:t>
      </w:r>
    </w:p>
    <w:p>
      <w:pPr>
        <w:pStyle w:val="ListParagraph"/>
        <w:numPr>
          <w:ilvl w:val="0"/>
          <w:numId w:val="1"/>
        </w:numPr>
        <w:spacing w:after="80" w:line="280"/>
      </w:pPr>
      <w:r>
        <w:rPr>
          <w:rFonts w:ascii="Calibri" w:cs="Calibri" w:eastAsia="Calibri" w:hAnsi="Calibri"/>
          <w:color w:val="111827"/>
          <w:sz w:val="22"/>
          <w:szCs w:val="22"/>
        </w:rPr>
        <w:t xml:space="preserve">Mobile app — PSOHub has iOS + Android. Build an Expo (React Native) companion for timesheet + leave + approval.</w:t>
      </w:r>
    </w:p>
    <w:p>
      <w:pPr>
        <w:pStyle w:val="ListParagraph"/>
        <w:numPr>
          <w:ilvl w:val="0"/>
          <w:numId w:val="1"/>
        </w:numPr>
        <w:spacing w:after="80" w:line="280"/>
      </w:pPr>
      <w:r>
        <w:rPr>
          <w:rFonts w:ascii="Calibri" w:cs="Calibri" w:eastAsia="Calibri" w:hAnsi="Calibri"/>
          <w:color w:val="111827"/>
          <w:sz w:val="22"/>
          <w:szCs w:val="22"/>
        </w:rPr>
        <w:t xml:space="preserve">AI Copilot — Predictive budget/timeline alerts, conversational insights, auto-scheduling. LLM-based opportunity.</w:t>
      </w:r>
    </w:p>
    <w:p>
      <w:pPr>
        <w:pStyle w:val="ListParagraph"/>
        <w:numPr>
          <w:ilvl w:val="0"/>
          <w:numId w:val="1"/>
        </w:numPr>
        <w:spacing w:after="80" w:line="280"/>
      </w:pPr>
      <w:r>
        <w:rPr>
          <w:rFonts w:ascii="Calibri" w:cs="Calibri" w:eastAsia="Calibri" w:hAnsi="Calibri"/>
          <w:color w:val="111827"/>
          <w:sz w:val="22"/>
          <w:szCs w:val="22"/>
        </w:rPr>
        <w:t xml:space="preserve">Self-driving time tracking — Calendar (Outlook/Google) integration, browser extension, auto-capture.</w:t>
      </w:r>
    </w:p>
    <w:p>
      <w:pPr>
        <w:pStyle w:val="ListParagraph"/>
        <w:numPr>
          <w:ilvl w:val="0"/>
          <w:numId w:val="1"/>
        </w:numPr>
        <w:spacing w:after="80" w:line="280"/>
      </w:pPr>
      <w:r>
        <w:rPr>
          <w:rFonts w:ascii="Calibri" w:cs="Calibri" w:eastAsia="Calibri" w:hAnsi="Calibri"/>
          <w:color w:val="111827"/>
          <w:sz w:val="22"/>
          <w:szCs w:val="22"/>
        </w:rPr>
        <w:t xml:space="preserve">OData / live BI feed — PowerBI / Tableau live connection beyond CSV exports.</w:t>
      </w:r>
    </w:p>
    <w:p>
      <w:pPr>
        <w:pStyle w:val="Heading1"/>
        <w:spacing w:after="200" w:before="360"/>
      </w:pPr>
      <w:r>
        <w:rPr>
          <w:rFonts w:ascii="Calibri" w:cs="Calibri" w:eastAsia="Calibri" w:hAnsi="Calibri"/>
          <w:b/>
          <w:bCs/>
          <w:color w:val="0E7C66"/>
          <w:sz w:val="36"/>
          <w:szCs w:val="36"/>
        </w:rPr>
        <w:t xml:space="preserve">7. Partial parity — where we have foundations but need depth</w:t>
      </w:r>
    </w:p>
    <w:p>
      <w:pPr>
        <w:pStyle w:val="ListParagraph"/>
        <w:numPr>
          <w:ilvl w:val="0"/>
          <w:numId w:val="1"/>
        </w:numPr>
        <w:spacing w:after="80" w:line="280"/>
      </w:pPr>
      <w:r>
        <w:rPr>
          <w:rFonts w:ascii="Calibri" w:cs="Calibri" w:eastAsia="Calibri" w:hAnsi="Calibri"/>
          <w:color w:val="111827"/>
          <w:sz w:val="22"/>
          <w:szCs w:val="22"/>
        </w:rPr>
        <w:t xml:space="preserve">Contract types — Add fixed-fee/T&amp;M/retainer enum; allow multi-rate per role per user.</w:t>
      </w:r>
    </w:p>
    <w:p>
      <w:pPr>
        <w:pStyle w:val="ListParagraph"/>
        <w:numPr>
          <w:ilvl w:val="0"/>
          <w:numId w:val="1"/>
        </w:numPr>
        <w:spacing w:after="80" w:line="280"/>
      </w:pPr>
      <w:r>
        <w:rPr>
          <w:rFonts w:ascii="Calibri" w:cs="Calibri" w:eastAsia="Calibri" w:hAnsi="Calibri"/>
          <w:color w:val="111827"/>
          <w:sz w:val="22"/>
          <w:szCs w:val="22"/>
        </w:rPr>
        <w:t xml:space="preserve">Milestone invoicing — Add recurring/retainer schedule and auto-trigger when actual hours exceed plan.</w:t>
      </w:r>
    </w:p>
    <w:p>
      <w:pPr>
        <w:pStyle w:val="ListParagraph"/>
        <w:numPr>
          <w:ilvl w:val="0"/>
          <w:numId w:val="1"/>
        </w:numPr>
        <w:spacing w:after="80" w:line="280"/>
      </w:pPr>
      <w:r>
        <w:rPr>
          <w:rFonts w:ascii="Calibri" w:cs="Calibri" w:eastAsia="Calibri" w:hAnsi="Calibri"/>
          <w:color w:val="111827"/>
          <w:sz w:val="22"/>
          <w:szCs w:val="22"/>
        </w:rPr>
        <w:t xml:space="preserve">Resource planning — Add auto-suggest staffing based on skill match × availability score.</w:t>
      </w:r>
    </w:p>
    <w:p>
      <w:pPr>
        <w:pStyle w:val="ListParagraph"/>
        <w:numPr>
          <w:ilvl w:val="0"/>
          <w:numId w:val="1"/>
        </w:numPr>
        <w:spacing w:after="80" w:line="280"/>
      </w:pPr>
      <w:r>
        <w:rPr>
          <w:rFonts w:ascii="Calibri" w:cs="Calibri" w:eastAsia="Calibri" w:hAnsi="Calibri"/>
          <w:color w:val="111827"/>
          <w:sz w:val="22"/>
          <w:szCs w:val="22"/>
        </w:rPr>
        <w:t xml:space="preserve">Reporting — Expose read-only OData/JSON-API; offer embeddable dashboards.</w:t>
      </w:r>
    </w:p>
    <w:p>
      <w:pPr>
        <w:pStyle w:val="ListParagraph"/>
        <w:numPr>
          <w:ilvl w:val="0"/>
          <w:numId w:val="1"/>
        </w:numPr>
        <w:spacing w:after="80" w:line="280"/>
      </w:pPr>
      <w:r>
        <w:rPr>
          <w:rFonts w:ascii="Calibri" w:cs="Calibri" w:eastAsia="Calibri" w:hAnsi="Calibri"/>
          <w:color w:val="111827"/>
          <w:sz w:val="22"/>
          <w:szCs w:val="22"/>
        </w:rPr>
        <w:t xml:space="preserve">Multi-language — Full Bahasa Indonesia i18n in addition to English.</w:t>
      </w:r>
    </w:p>
    <w:p>
      <w:pPr>
        <w:pStyle w:val="ListParagraph"/>
        <w:numPr>
          <w:ilvl w:val="0"/>
          <w:numId w:val="1"/>
        </w:numPr>
        <w:spacing w:after="80" w:line="280"/>
      </w:pPr>
      <w:r>
        <w:rPr>
          <w:rFonts w:ascii="Calibri" w:cs="Calibri" w:eastAsia="Calibri" w:hAnsi="Calibri"/>
          <w:color w:val="111827"/>
          <w:sz w:val="22"/>
          <w:szCs w:val="22"/>
        </w:rPr>
        <w:t xml:space="preserve">Kanban view — Add board grouping by status on the Tasks tab (Gantt + List + Kanban).</w:t>
      </w:r>
    </w:p>
    <w:p>
      <w:pPr>
        <w:pStyle w:val="Heading1"/>
        <w:spacing w:after="200" w:before="360"/>
      </w:pPr>
      <w:r>
        <w:rPr>
          <w:rFonts w:ascii="Calibri" w:cs="Calibri" w:eastAsia="Calibri" w:hAnsi="Calibri"/>
          <w:b/>
          <w:bCs/>
          <w:color w:val="0E7C66"/>
          <w:sz w:val="36"/>
          <w:szCs w:val="36"/>
        </w:rPr>
        <w:t xml:space="preserve">8. Recommended Roadmap (next 12 months)</w:t>
      </w:r>
    </w:p>
    <w:p>
      <w:pPr>
        <w:pStyle w:val="Heading3"/>
        <w:spacing w:after="100" w:before="220"/>
      </w:pPr>
      <w:r>
        <w:rPr>
          <w:rFonts w:ascii="Calibri" w:cs="Calibri" w:eastAsia="Calibri" w:hAnsi="Calibri"/>
          <w:b/>
          <w:bCs/>
          <w:color w:val="111827"/>
          <w:sz w:val="24"/>
          <w:szCs w:val="24"/>
        </w:rPr>
        <w:t xml:space="preserve">Quarter 1 — Close the most-asked gaps</w:t>
      </w:r>
    </w:p>
    <w:p>
      <w:pPr>
        <w:pStyle w:val="ListParagraph"/>
        <w:numPr>
          <w:ilvl w:val="0"/>
          <w:numId w:val="1"/>
        </w:numPr>
        <w:spacing w:after="80" w:line="280"/>
      </w:pPr>
      <w:r>
        <w:rPr>
          <w:rFonts w:ascii="Calibri" w:cs="Calibri" w:eastAsia="Calibri" w:hAnsi="Calibri"/>
          <w:color w:val="111827"/>
          <w:sz w:val="22"/>
          <w:szCs w:val="22"/>
        </w:rPr>
        <w:t xml:space="preserve">Built-in invoice PDF generator (Bahasa/English, PPN 11%, e-Faktur compatible).</w:t>
      </w:r>
    </w:p>
    <w:p>
      <w:pPr>
        <w:pStyle w:val="ListParagraph"/>
        <w:numPr>
          <w:ilvl w:val="0"/>
          <w:numId w:val="1"/>
        </w:numPr>
        <w:spacing w:after="80" w:line="280"/>
      </w:pPr>
      <w:r>
        <w:rPr>
          <w:rFonts w:ascii="Calibri" w:cs="Calibri" w:eastAsia="Calibri" w:hAnsi="Calibri"/>
          <w:color w:val="111827"/>
          <w:sz w:val="22"/>
          <w:szCs w:val="22"/>
        </w:rPr>
        <w:t xml:space="preserve">Kanban view on Tasks tab.</w:t>
      </w:r>
    </w:p>
    <w:p>
      <w:pPr>
        <w:pStyle w:val="ListParagraph"/>
        <w:numPr>
          <w:ilvl w:val="0"/>
          <w:numId w:val="1"/>
        </w:numPr>
        <w:spacing w:after="80" w:line="280"/>
      </w:pPr>
      <w:r>
        <w:rPr>
          <w:rFonts w:ascii="Calibri" w:cs="Calibri" w:eastAsia="Calibri" w:hAnsi="Calibri"/>
          <w:color w:val="111827"/>
          <w:sz w:val="22"/>
          <w:szCs w:val="22"/>
        </w:rPr>
        <w:t xml:space="preserve">Full Bahasa Indonesia i18n.</w:t>
      </w:r>
    </w:p>
    <w:p>
      <w:pPr>
        <w:pStyle w:val="Heading3"/>
        <w:spacing w:after="100" w:before="220"/>
      </w:pPr>
      <w:r>
        <w:rPr>
          <w:rFonts w:ascii="Calibri" w:cs="Calibri" w:eastAsia="Calibri" w:hAnsi="Calibri"/>
          <w:b/>
          <w:bCs/>
          <w:color w:val="111827"/>
          <w:sz w:val="24"/>
          <w:szCs w:val="24"/>
        </w:rPr>
        <w:t xml:space="preserve">Quarter 2 — Mobile &amp; CRM</w:t>
      </w:r>
    </w:p>
    <w:p>
      <w:pPr>
        <w:pStyle w:val="ListParagraph"/>
        <w:numPr>
          <w:ilvl w:val="0"/>
          <w:numId w:val="1"/>
        </w:numPr>
        <w:spacing w:after="80" w:line="280"/>
      </w:pPr>
      <w:r>
        <w:rPr>
          <w:rFonts w:ascii="Calibri" w:cs="Calibri" w:eastAsia="Calibri" w:hAnsi="Calibri"/>
          <w:color w:val="111827"/>
          <w:sz w:val="22"/>
          <w:szCs w:val="22"/>
        </w:rPr>
        <w:t xml:space="preserve">Expo mobile app: timesheet, leave, expense capture, push approvals.</w:t>
      </w:r>
    </w:p>
    <w:p>
      <w:pPr>
        <w:pStyle w:val="ListParagraph"/>
        <w:numPr>
          <w:ilvl w:val="0"/>
          <w:numId w:val="1"/>
        </w:numPr>
        <w:spacing w:after="80" w:line="280"/>
      </w:pPr>
      <w:r>
        <w:rPr>
          <w:rFonts w:ascii="Calibri" w:cs="Calibri" w:eastAsia="Calibri" w:hAnsi="Calibri"/>
          <w:color w:val="111827"/>
          <w:sz w:val="22"/>
          <w:szCs w:val="22"/>
        </w:rPr>
        <w:t xml:space="preserve">HubSpot integration v1 (deal-to-project automation).</w:t>
      </w:r>
    </w:p>
    <w:p>
      <w:pPr>
        <w:pStyle w:val="Heading3"/>
        <w:spacing w:after="100" w:before="220"/>
      </w:pPr>
      <w:r>
        <w:rPr>
          <w:rFonts w:ascii="Calibri" w:cs="Calibri" w:eastAsia="Calibri" w:hAnsi="Calibri"/>
          <w:b/>
          <w:bCs/>
          <w:color w:val="111827"/>
          <w:sz w:val="24"/>
          <w:szCs w:val="24"/>
        </w:rPr>
        <w:t xml:space="preserve">Quarter 3 — Automation</w:t>
      </w:r>
    </w:p>
    <w:p>
      <w:pPr>
        <w:pStyle w:val="ListParagraph"/>
        <w:numPr>
          <w:ilvl w:val="0"/>
          <w:numId w:val="1"/>
        </w:numPr>
        <w:spacing w:after="80" w:line="280"/>
      </w:pPr>
      <w:r>
        <w:rPr>
          <w:rFonts w:ascii="Calibri" w:cs="Calibri" w:eastAsia="Calibri" w:hAnsi="Calibri"/>
          <w:color w:val="111827"/>
          <w:sz w:val="22"/>
          <w:szCs w:val="22"/>
        </w:rPr>
        <w:t xml:space="preserve">Recurring / retainer billing schedule + auto-trigger on hour overrun.</w:t>
      </w:r>
    </w:p>
    <w:p>
      <w:pPr>
        <w:pStyle w:val="ListParagraph"/>
        <w:numPr>
          <w:ilvl w:val="0"/>
          <w:numId w:val="1"/>
        </w:numPr>
        <w:spacing w:after="80" w:line="280"/>
      </w:pPr>
      <w:r>
        <w:rPr>
          <w:rFonts w:ascii="Calibri" w:cs="Calibri" w:eastAsia="Calibri" w:hAnsi="Calibri"/>
          <w:color w:val="111827"/>
          <w:sz w:val="22"/>
          <w:szCs w:val="22"/>
        </w:rPr>
        <w:t xml:space="preserve">Accounting connector for Accurate / Jurnal.</w:t>
      </w:r>
    </w:p>
    <w:p>
      <w:pPr>
        <w:pStyle w:val="ListParagraph"/>
        <w:numPr>
          <w:ilvl w:val="0"/>
          <w:numId w:val="1"/>
        </w:numPr>
        <w:spacing w:after="80" w:line="280"/>
      </w:pPr>
      <w:r>
        <w:rPr>
          <w:rFonts w:ascii="Calibri" w:cs="Calibri" w:eastAsia="Calibri" w:hAnsi="Calibri"/>
          <w:color w:val="111827"/>
          <w:sz w:val="22"/>
          <w:szCs w:val="22"/>
        </w:rPr>
        <w:t xml:space="preserve">OData feed for PowerBI.</w:t>
      </w:r>
    </w:p>
    <w:p>
      <w:pPr>
        <w:pStyle w:val="Heading3"/>
        <w:spacing w:after="100" w:before="220"/>
      </w:pPr>
      <w:r>
        <w:rPr>
          <w:rFonts w:ascii="Calibri" w:cs="Calibri" w:eastAsia="Calibri" w:hAnsi="Calibri"/>
          <w:b/>
          <w:bCs/>
          <w:color w:val="111827"/>
          <w:sz w:val="24"/>
          <w:szCs w:val="24"/>
        </w:rPr>
        <w:t xml:space="preserve">Quarter 4 — AI Copilot</w:t>
      </w:r>
    </w:p>
    <w:p>
      <w:pPr>
        <w:pStyle w:val="ListParagraph"/>
        <w:numPr>
          <w:ilvl w:val="0"/>
          <w:numId w:val="1"/>
        </w:numPr>
        <w:spacing w:after="80" w:line="280"/>
      </w:pPr>
      <w:r>
        <w:rPr>
          <w:rFonts w:ascii="Calibri" w:cs="Calibri" w:eastAsia="Calibri" w:hAnsi="Calibri"/>
          <w:color w:val="111827"/>
          <w:sz w:val="22"/>
          <w:szCs w:val="22"/>
        </w:rPr>
        <w:t xml:space="preserve">LLM chat over project data (budget, utilization, at-risk).</w:t>
      </w:r>
    </w:p>
    <w:p>
      <w:pPr>
        <w:pStyle w:val="ListParagraph"/>
        <w:numPr>
          <w:ilvl w:val="0"/>
          <w:numId w:val="1"/>
        </w:numPr>
        <w:spacing w:after="80" w:line="280"/>
      </w:pPr>
      <w:r>
        <w:rPr>
          <w:rFonts w:ascii="Calibri" w:cs="Calibri" w:eastAsia="Calibri" w:hAnsi="Calibri"/>
          <w:color w:val="111827"/>
          <w:sz w:val="22"/>
          <w:szCs w:val="22"/>
        </w:rPr>
        <w:t xml:space="preserve">Auto-suggest staffing based on skill + availability scoring.</w:t>
      </w:r>
    </w:p>
    <w:p>
      <w:pPr>
        <w:pStyle w:val="ListParagraph"/>
        <w:numPr>
          <w:ilvl w:val="0"/>
          <w:numId w:val="1"/>
        </w:numPr>
        <w:spacing w:after="80" w:line="280"/>
      </w:pPr>
      <w:r>
        <w:rPr>
          <w:rFonts w:ascii="Calibri" w:cs="Calibri" w:eastAsia="Calibri" w:hAnsi="Calibri"/>
          <w:color w:val="111827"/>
          <w:sz w:val="22"/>
          <w:szCs w:val="22"/>
        </w:rPr>
        <w:t xml:space="preserve">Proactive Slack / Email digests for PMs and MGMT.</w:t>
      </w:r>
    </w:p>
    <w:p>
      <w:pPr>
        <w:pStyle w:val="Heading1"/>
        <w:spacing w:after="200" w:before="360"/>
      </w:pPr>
      <w:r>
        <w:rPr>
          <w:rFonts w:ascii="Calibri" w:cs="Calibri" w:eastAsia="Calibri" w:hAnsi="Calibri"/>
          <w:b/>
          <w:bCs/>
          <w:color w:val="0E7C66"/>
          <w:sz w:val="36"/>
          <w:szCs w:val="36"/>
        </w:rPr>
        <w:t xml:space="preserve">9. Conclusion</w:t>
      </w:r>
    </w:p>
    <w:p>
      <w:pPr>
        <w:spacing w:after="120" w:before="0" w:line="300"/>
        <w:jc w:val="left"/>
      </w:pPr>
      <w:r>
        <w:rPr>
          <w:rFonts w:ascii="Calibri" w:cs="Calibri" w:eastAsia="Calibri" w:hAnsi="Calibri"/>
          <w:b w:val="false"/>
          <w:bCs w:val="false"/>
          <w:i w:val="false"/>
          <w:iCs w:val="false"/>
          <w:color w:val="111827"/>
          <w:sz w:val="22"/>
          <w:szCs w:val="22"/>
        </w:rPr>
        <w:t xml:space="preserve">SecureProfit Hub already matches PSOHub on the full core PSA loop (projects, Gantt, timesheets with approval, expenses with approval, milestone billing, expense control, reporting with export). It exceeds PSOHub on localisation, HR depth, organisational hierarchy, governance/audit, and data sovereignty.</w:t>
      </w:r>
    </w:p>
    <w:p>
      <w:pPr>
        <w:spacing w:after="120" w:before="0" w:line="300"/>
        <w:jc w:val="left"/>
      </w:pPr>
      <w:r>
        <w:rPr>
          <w:rFonts w:ascii="Calibri" w:cs="Calibri" w:eastAsia="Calibri" w:hAnsi="Calibri"/>
          <w:b w:val="false"/>
          <w:bCs w:val="false"/>
          <w:i w:val="false"/>
          <w:iCs w:val="false"/>
          <w:color w:val="111827"/>
          <w:sz w:val="22"/>
          <w:szCs w:val="22"/>
        </w:rPr>
        <w:t xml:space="preserve">The strategic gap is around external connectivity (CRM, accounting), pre-sales (quote/SOW + e-sign), mobility, and AI assistance. A focused 12-month roadmap can close the highest-leverage gaps while preserving the strong differentiators that make SecureProfit Hub the right choice for Indonesian IT-security consultancies.</w:t>
      </w:r>
    </w:p>
    <w:p>
      <w:pPr>
        <w:spacing w:after="120" w:before="200" w:line="300"/>
        <w:jc w:val="center"/>
      </w:pPr>
      <w:r>
        <w:rPr>
          <w:rFonts w:ascii="Calibri" w:cs="Calibri" w:eastAsia="Calibri" w:hAnsi="Calibri"/>
          <w:b w:val="false"/>
          <w:bCs w:val="false"/>
          <w:i/>
          <w:iCs/>
          <w:color w:val="4B5563"/>
          <w:sz w:val="22"/>
          <w:szCs w:val="22"/>
        </w:rPr>
        <w:t xml:space="preserve">— End of report —</w:t>
      </w:r>
    </w:p>
    <w:sectPr>
      <w:headerReference w:type="default" r:id="rId7"/>
      <w:footerReference w:type="default" r:id="rId8"/>
      <w:pgSz w:w="11906" w:h="16838" w:orient="portrait"/>
      <w:pgMar w:top="1152" w:right="1008" w:bottom="1152"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4B5563"/>
        <w:sz w:val="18"/>
        <w:szCs w:val="18"/>
      </w:rPr>
      <w:t xml:space="preserve">SecureProfit Hub  •  Confidential  •  Page </w:t>
    </w:r>
    <w:r>
      <w:rPr>
        <w:rFonts w:ascii="Calibri" w:cs="Calibri" w:eastAsia="Calibri" w:hAnsi="Calibri"/>
        <w:color w:val="4B5563"/>
        <w:sz w:val="18"/>
        <w:szCs w:val="18"/>
      </w:rPr>
      <w:fldChar w:fldCharType="begin"/>
      <w:instrText xml:space="preserve">PAGE</w:instrText>
      <w:fldChar w:fldCharType="separate"/>
      <w:fldChar w:fldCharType="end"/>
    </w:r>
    <w:r>
      <w:rPr>
        <w:rFonts w:ascii="Calibri" w:cs="Calibri" w:eastAsia="Calibri" w:hAnsi="Calibri"/>
        <w:color w:val="4B5563"/>
        <w:sz w:val="18"/>
        <w:szCs w:val="18"/>
      </w:rPr>
      <w:t xml:space="preserve"> of </w:t>
    </w:r>
    <w:r>
      <w:rPr>
        <w:rFonts w:ascii="Calibri" w:cs="Calibri" w:eastAsia="Calibri" w:hAnsi="Calibri"/>
        <w:color w:val="4B5563"/>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4B5563"/>
        <w:sz w:val="18"/>
        <w:szCs w:val="18"/>
      </w:rPr>
      <w:t xml:space="preserve">Fit-Gap Analysis — SecureProfit Hub vs PSOHub</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Fit-Gap Analysis: SecureProfit Hub vs PSOHub</dc:title>
  <dc:creator>SecureProfit Hub</dc:creator>
  <cp:lastModifiedBy>Un-named</cp:lastModifiedBy>
  <cp:revision>1</cp:revision>
  <dcterms:created xsi:type="dcterms:W3CDTF">2026-05-24T15:07:04.004Z</dcterms:created>
  <dcterms:modified xsi:type="dcterms:W3CDTF">2026-05-24T15:07:04.004Z</dcterms:modified>
</cp:coreProperties>
</file>

<file path=docProps/custom.xml><?xml version="1.0" encoding="utf-8"?>
<Properties xmlns="http://schemas.openxmlformats.org/officeDocument/2006/custom-properties" xmlns:vt="http://schemas.openxmlformats.org/officeDocument/2006/docPropsVTypes"/>
</file>