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991B1B"/>
          <w:sz w:val="24"/>
        </w:rPr>
        <w:t>FINAL TECHNICAL ACCEPTANCE &amp; MINOR EDITS</w:t>
      </w:r>
    </w:p>
    <w:p>
      <w:pPr>
        <w:jc w:val="center"/>
      </w:pPr>
      <w:r>
        <w:rPr>
          <w:b/>
          <w:i w:val="0"/>
          <w:color w:val="1F2937"/>
          <w:sz w:val="42"/>
        </w:rPr>
        <w:t>SecureProfit Hub — 14 FSD Technical Baseline v1.04</w:t>
      </w:r>
    </w:p>
    <w:p>
      <w:pPr>
        <w:jc w:val="center"/>
      </w:pPr>
      <w:r>
        <w:rPr>
          <w:i/>
          <w:color w:val="5A5A5A"/>
        </w:rPr>
        <w:t>Subject: Final Technical Assessment of the v1.04 Revision Response</w:t>
      </w:r>
    </w:p>
    <w:p/>
    <w:p>
      <w:pPr>
        <w:pStyle w:val="Heading1"/>
      </w:pPr>
      <w:r>
        <w:t>Executive Verdict</w:t>
      </w:r>
    </w:p>
    <w:p>
      <w:pPr>
        <w:jc w:val="left"/>
      </w:pPr>
      <w:r>
        <w:rPr>
          <w:b/>
          <w:i w:val="0"/>
          <w:color w:val="166534"/>
        </w:rPr>
        <w:t>TECHNICALLY ACCEPTABLE — TWO MINOR DOCUMENT EDITS REQUIRED</w:t>
      </w:r>
    </w:p>
    <w:p>
      <w:pPr>
        <w:jc w:val="left"/>
      </w:pPr>
      <w:r>
        <w:rPr>
          <w:i w:val="0"/>
        </w:rPr>
        <w:t>Dokumen v1.04 telah menyelesaikan seluruh blocker teknis utama dari review sebelumnya. Field isCurrent sudah dikembalikan ke target ProjectBaseline schema, literal TypeScript template strings sudah benar, DEMO-08 sudah membedakan policy settlement dari implementation alignment, DEMO-12 sudah menjelaskan controlled Phase 2 exception dan invoice boundary, serta DEMO-13 sudah memisahkan reversal relation dari replacement relation.</w:t>
      </w:r>
    </w:p>
    <w:p>
      <w:pPr>
        <w:jc w:val="left"/>
      </w:pPr>
      <w:r>
        <w:rPr>
          <w:i w:val="0"/>
        </w:rPr>
        <w:t>Tidak ditemukan kebutuhan redesign arsitektur baru. Dokumen dapat diterima sebagai technical baseline setelah dua edit dokumentasi tersisa diterapkan. Kedua edit tersebut tidak mengubah keputusan arsitektur, implementation status, atau acceptance criteria utama.</w:t>
      </w:r>
    </w:p>
    <w:p>
      <w:pPr>
        <w:pStyle w:val="Heading1"/>
      </w:pPr>
      <w:r>
        <w:t>Corrections Successfully Addressed</w:t>
      </w:r>
    </w:p>
    <w:p>
      <w:pPr>
        <w:pStyle w:val="ListBullet"/>
        <w:spacing w:after="60"/>
      </w:pPr>
      <w:r>
        <w:t>ProjectBaseline target schema sekarang mempertahankan isCurrent Boolean @default(true).</w:t>
      </w:r>
    </w:p>
    <w:p>
      <w:pPr>
        <w:pStyle w:val="ListBullet"/>
        <w:spacing w:after="60"/>
      </w:pPr>
      <w:r>
        <w:t>PostgreSQL partial unique index tetap dijelaskan sebagai SQL migration untuk menjamin at most one current baseline.</w:t>
      </w:r>
    </w:p>
    <w:p>
      <w:pPr>
        <w:pStyle w:val="ListBullet"/>
        <w:spacing w:after="60"/>
      </w:pPr>
      <w:r>
        <w:t>Seluruh contoh advisory-lock $executeRaw sudah menggunakan tagged template literal yang valid.</w:t>
      </w:r>
    </w:p>
    <w:p>
      <w:pPr>
        <w:pStyle w:val="ListBullet"/>
        <w:spacing w:after="60"/>
      </w:pPr>
      <w:r>
        <w:t>Lead-number return value sudah menggunakan template literal yang valid.</w:t>
      </w:r>
    </w:p>
    <w:p>
      <w:pPr>
        <w:pStyle w:val="ListBullet"/>
        <w:spacing w:after="60"/>
      </w:pPr>
      <w:r>
        <w:t>Baseline scopeSummary sudah menggunakan template literal yang valid.</w:t>
      </w:r>
    </w:p>
    <w:p>
      <w:pPr>
        <w:pStyle w:val="ListBullet"/>
        <w:spacing w:after="60"/>
      </w:pPr>
      <w:r>
        <w:t>DEMO-08 sekarang berstatus PARTIALLY IMPLEMENTED — POLICY SETTLED; IMPLEMENTATION ALIGNMENT OPEN.</w:t>
      </w:r>
    </w:p>
    <w:p>
      <w:pPr>
        <w:pStyle w:val="ListBullet"/>
        <w:spacing w:after="60"/>
      </w:pPr>
      <w:r>
        <w:t>DISCOVERY 10% / QUALIFIED 30% sudah dinyatakan superseded oleh canonical NEW 20% / QUALIFIED 40% policy.</w:t>
      </w:r>
    </w:p>
    <w:p>
      <w:pPr>
        <w:pStyle w:val="ListBullet"/>
        <w:spacing w:after="60"/>
      </w:pPr>
      <w:r>
        <w:t>DEMO-12 menjelaskan bahwa Project.clientId immutable pada seluruh standard routes, tetapi dapat dikoreksi hanya melalui controlled Phase 2 workflow setelah dual approval.</w:t>
      </w:r>
    </w:p>
    <w:p>
      <w:pPr>
        <w:pStyle w:val="ListBullet"/>
        <w:spacing w:after="60"/>
      </w:pPr>
      <w:r>
        <w:t>DEMO-12 menetapkan invoice issued/posted sebagai accounting boundary dan mengarahkan koreksi berikutnya ke credit note, void-and-reissue, atau novation.</w:t>
      </w:r>
    </w:p>
    <w:p>
      <w:pPr>
        <w:pStyle w:val="ListBullet"/>
        <w:spacing w:after="60"/>
      </w:pPr>
      <w:r>
        <w:t>DEMO-13 target model sudah memisahkan reversalOfId dari replacementForId.</w:t>
      </w:r>
    </w:p>
    <w:p>
      <w:pPr>
        <w:pStyle w:val="ListBullet"/>
        <w:spacing w:after="60"/>
      </w:pPr>
      <w:r>
        <w:t>DEMO-14 ProjectKind matrix sudah diberi deterministic policy definitions.</w:t>
      </w:r>
    </w:p>
    <w:p>
      <w:pPr>
        <w:pStyle w:val="ListBullet"/>
        <w:spacing w:after="60"/>
      </w:pPr>
      <w:r>
        <w:t>DEMO-13 tetap dinyatakan NOT IMPLEMENTED — CURRENT LEGACY BEHAVIOR CONTRADICTS TARGET DESIGN.</w:t>
      </w:r>
    </w:p>
    <w:p>
      <w:pPr>
        <w:pStyle w:val="ListBullet"/>
        <w:spacing w:after="60"/>
      </w:pPr>
      <w:r>
        <w:t>DEMO-14 tetap dinyatakan partially implemented dengan shared evaluator, HTTP 422, dan atomicity sebagai target.</w:t>
      </w:r>
    </w:p>
    <w:p>
      <w:pPr>
        <w:pStyle w:val="Heading1"/>
      </w:pPr>
      <w:r>
        <w:t>Mandatory Minor Edits</w:t>
      </w:r>
    </w:p>
    <w:p>
      <w:pPr>
        <w:pStyle w:val="Heading2"/>
      </w:pPr>
      <w:r>
        <w:t>1. Selaraskan Decision 13.4 dengan replacementForId</w:t>
      </w:r>
    </w:p>
    <w:p>
      <w:pPr>
        <w:jc w:val="left"/>
      </w:pPr>
      <w:r>
        <w:rPr>
          <w:i w:val="0"/>
        </w:rPr>
        <w:t>Target RevenueRecognitionEntry schema sekarang menggunakan dua linkage yang berbeda dan secara teknis lebih jelas:</w:t>
      </w:r>
    </w:p>
    <w:p>
      <w:pPr>
        <w:ind w:left="360" w:right="173"/>
        <w:shd w:fill="F3F4F6"/>
      </w:pPr>
      <w:r>
        <w:rPr>
          <w:rFonts w:ascii="Consolas" w:hAnsi="Consolas"/>
          <w:sz w:val="17"/>
        </w:rPr>
        <w:t>reversalOfId     String? @unique</w:t>
        <w:br/>
        <w:t>replacementForId String? @unique</w:t>
      </w:r>
    </w:p>
    <w:p>
      <w:pPr>
        <w:jc w:val="left"/>
      </w:pPr>
      <w:r>
        <w:rPr>
          <w:i w:val="0"/>
        </w:rPr>
        <w:t>Namun, prose pada Decision 13.4 masih menyebut replacement (replacedById). Field replacedById tidak ada pada target model. Target model memakai replacementForId sebagai foreign key dan replacedBy sebagai inverse relation.</w:t>
      </w:r>
    </w:p>
    <w:p>
      <w:pPr>
        <w:jc w:val="left"/>
      </w:pPr>
      <w:r>
        <w:rPr>
          <w:i w:val="0"/>
        </w:rPr>
        <w:t>Ganti Decision 13.4 menjadi:</w:t>
      </w:r>
    </w:p>
    <w:p>
      <w:pPr>
        <w:ind w:left="360" w:right="173"/>
        <w:shd w:fill="F3F4F6"/>
      </w:pPr>
      <w:r>
        <w:rPr>
          <w:rFonts w:ascii="Consolas" w:hAnsi="Consolas"/>
          <w:sz w:val="17"/>
        </w:rPr>
        <w:t>Recognized accounting entries are immutable. Corrections are posted as:</w:t>
        <w:br/>
        <w:t>1. a reversal entry linked through reversalOfId; and</w:t>
        <w:br/>
        <w:t>2. a replacement entry linked through replacementForId.</w:t>
        <w:br/>
        <w:t>The inverse relations reversedBy and replacedBy are navigation fields, not separate scalar foreign keys.</w:t>
      </w:r>
    </w:p>
    <w:p>
      <w:pPr>
        <w:jc w:val="left"/>
      </w:pPr>
      <w:r>
        <w:rPr>
          <w:i w:val="0"/>
        </w:rPr>
        <w:t>Setelah perubahan ini, decision prose, schema, implementation notes, dan traceability menggunakan istilah yang sama.</w:t>
      </w:r>
    </w:p>
    <w:p>
      <w:pPr>
        <w:pStyle w:val="Heading2"/>
      </w:pPr>
      <w:r>
        <w:t>2. Pisahkan technical baseline dari stakeholder/stage-gate approval package</w:t>
      </w:r>
    </w:p>
    <w:p>
      <w:pPr>
        <w:jc w:val="left"/>
      </w:pPr>
      <w:r>
        <w:rPr>
          <w:i w:val="0"/>
        </w:rPr>
        <w:t>Bagian teknis telah memenuhi review. Namun, document title, version label, status, Section 5, approval tables, dan final flowchart kembali menggabungkan software engineering technical concurrence dengan stakeholder stage-gate approval.</w:t>
      </w:r>
    </w:p>
    <w:p>
      <w:pPr>
        <w:jc w:val="left"/>
      </w:pPr>
      <w:r>
        <w:rPr>
          <w:i w:val="0"/>
        </w:rPr>
        <w:t>Sesuai ruang lingkup technical-only review, buat dua artifact terpisah:</w:t>
      </w:r>
    </w:p>
    <w:p>
      <w:pPr>
        <w:pStyle w:val="ListBullet"/>
        <w:spacing w:after="60"/>
      </w:pPr>
      <w:r>
        <w:t>Technical Baseline: decisions, target architecture, implementation status, test evidence, gaps, verification baseline, dan final technical assessment.</w:t>
      </w:r>
    </w:p>
    <w:p>
      <w:pPr>
        <w:pStyle w:val="ListBullet"/>
        <w:spacing w:after="60"/>
      </w:pPr>
      <w:r>
        <w:t>Approval / Stage-Gate Package: stakeholder routing, signatures, BPO endorsement, steering committee decision, dan transition authorization.</w:t>
      </w:r>
    </w:p>
    <w:p>
      <w:pPr>
        <w:jc w:val="left"/>
      </w:pPr>
      <w:r>
        <w:rPr>
          <w:i w:val="0"/>
        </w:rPr>
        <w:t>Untuk technical baseline, gunakan heading dan status yang netral:</w:t>
      </w:r>
    </w:p>
    <w:p>
      <w:pPr>
        <w:ind w:left="360" w:right="173"/>
        <w:shd w:fill="F3F4F6"/>
      </w:pPr>
      <w:r>
        <w:rPr>
          <w:rFonts w:ascii="Consolas" w:hAnsi="Consolas"/>
          <w:sz w:val="17"/>
        </w:rPr>
        <w:t>Document Title: SecureProfit Hub — 14 FSD Technical Baseline</w:t>
        <w:br/>
        <w:t>Version: v1.04</w:t>
        <w:br/>
        <w:t>Status: Final Technical Baseline — implementation and test delivery tracked separately</w:t>
      </w:r>
    </w:p>
    <w:p>
      <w:pPr>
        <w:jc w:val="left"/>
      </w:pPr>
      <w:r>
        <w:rPr>
          <w:i w:val="0"/>
        </w:rPr>
        <w:t>Hapus dari technical artifact: “Stakeholder Approval Baseline”, “Awaiting Stage-Gate Approval”, formal stakeholder signature tables, dan stakeholder sign-off flowchart. Pemisahan ini tidak menilai atau menolak proses approval; hanya mencegah technical acceptance dicampur dengan keputusan organisasi.</w:t>
      </w:r>
    </w:p>
    <w:p>
      <w:pPr>
        <w:pStyle w:val="Heading1"/>
      </w:pPr>
      <w:r>
        <w:t>Recommended Editorial Refinements</w:t>
      </w:r>
    </w:p>
    <w:p>
      <w:pPr>
        <w:pStyle w:val="Heading2"/>
      </w:pPr>
      <w:r>
        <w:t>Version sequence</w:t>
      </w:r>
    </w:p>
    <w:p>
      <w:pPr>
        <w:jc w:val="left"/>
      </w:pPr>
      <w:r>
        <w:rPr>
          <w:i w:val="0"/>
        </w:rPr>
        <w:t>Revision history menunjukkan v1.03 sebagai superseded dan current document sebagai v1.04. Ini dapat dipertahankan, tetapi jelaskan bahwa v1.03 adalah technical correction candidate dan v1.04 adalah cleaned technical baseline setelah dua minor edits.</w:t>
      </w:r>
    </w:p>
    <w:p>
      <w:pPr>
        <w:pStyle w:val="Heading2"/>
      </w:pPr>
      <w:r>
        <w:t>Implementation language</w:t>
      </w:r>
    </w:p>
    <w:p>
      <w:pPr>
        <w:jc w:val="left"/>
      </w:pPr>
      <w:r>
        <w:rPr>
          <w:i w:val="0"/>
        </w:rPr>
        <w:t>Pertahankan kata MUST untuk target invariants, tetapi selalu pasangkan dengan implementation status. Hal ini penting agar pembaca tidak menganggap target schema atau API sudah tersedia pada aa3425a.</w:t>
      </w:r>
    </w:p>
    <w:p>
      <w:pPr>
        <w:pStyle w:val="Heading2"/>
      </w:pPr>
      <w:r>
        <w:t>Child FSD synchronization</w:t>
      </w:r>
    </w:p>
    <w:p>
      <w:pPr>
        <w:jc w:val="left"/>
      </w:pPr>
      <w:r>
        <w:rPr>
          <w:i w:val="0"/>
        </w:rPr>
        <w:t>Setelah master technical baseline dibersihkan, sinkronkan child FSD DEMO-08, DEMO-11, DEMO-13, dan DEMO-14. Sinkronisasi dokumen tidak boleh mengubah implementation status menjadi implemented sebelum code dan tests tersedia.</w:t>
      </w:r>
    </w:p>
    <w:p>
      <w:pPr>
        <w:pStyle w:val="Heading1"/>
      </w:pPr>
      <w:r>
        <w:t>Status Summary</w:t>
      </w:r>
    </w:p>
    <w:tbl>
      <w:tblPr>
        <w:tblStyle w:val="TableGrid"/>
        <w:tblW w:type="auto" w:w="0"/>
        <w:jc w:val="center"/>
        <w:tblLook w:firstColumn="1" w:firstRow="1" w:lastColumn="0" w:lastRow="0" w:noHBand="0" w:noVBand="1" w:val="04A0"/>
      </w:tblPr>
      <w:tblGrid>
        <w:gridCol w:w="4896"/>
        <w:gridCol w:w="4896"/>
      </w:tblGrid>
      <w:tr>
        <w:tc>
          <w:tcPr>
            <w:tcW w:type="dxa" w:w="4896"/>
            <w:shd w:fill="24303E"/>
          </w:tcPr>
          <w:p>
            <w:r/>
            <w:r>
              <w:rPr>
                <w:b/>
                <w:color w:val="FFFFFF"/>
                <w:sz w:val="17"/>
              </w:rPr>
              <w:t>Area</w:t>
            </w:r>
          </w:p>
        </w:tc>
        <w:tc>
          <w:tcPr>
            <w:tcW w:type="dxa" w:w="4896"/>
            <w:shd w:fill="24303E"/>
          </w:tcPr>
          <w:p>
            <w:r/>
            <w:r>
              <w:rPr>
                <w:b/>
                <w:color w:val="FFFFFF"/>
                <w:sz w:val="17"/>
              </w:rPr>
              <w:t>Assessment</w:t>
            </w:r>
          </w:p>
        </w:tc>
      </w:tr>
      <w:tr>
        <w:tc>
          <w:tcPr>
            <w:tcW w:type="dxa" w:w="4896"/>
            <w:shd w:fill="FFFFFF"/>
          </w:tcPr>
          <w:p>
            <w:r/>
            <w:r>
              <w:rPr>
                <w:b w:val="0"/>
                <w:sz w:val="17"/>
              </w:rPr>
              <w:t>Historical/current baseline separation</w:t>
            </w:r>
          </w:p>
        </w:tc>
        <w:tc>
          <w:tcPr>
            <w:tcW w:type="dxa" w:w="4896"/>
            <w:shd w:fill="FFFFFF"/>
          </w:tcPr>
          <w:p>
            <w:r/>
            <w:r>
              <w:rPr>
                <w:b w:val="0"/>
                <w:sz w:val="17"/>
              </w:rPr>
              <w:t>Accepted</w:t>
            </w:r>
          </w:p>
        </w:tc>
      </w:tr>
      <w:tr>
        <w:tc>
          <w:tcPr>
            <w:tcW w:type="dxa" w:w="4896"/>
            <w:shd w:fill="F7F7F8"/>
          </w:tcPr>
          <w:p>
            <w:r/>
            <w:r>
              <w:rPr>
                <w:b w:val="0"/>
                <w:sz w:val="17"/>
              </w:rPr>
              <w:t>ProjectBaseline isCurrent and partial index</w:t>
            </w:r>
          </w:p>
        </w:tc>
        <w:tc>
          <w:tcPr>
            <w:tcW w:type="dxa" w:w="4896"/>
            <w:shd w:fill="F7F7F8"/>
          </w:tcPr>
          <w:p>
            <w:r/>
            <w:r>
              <w:rPr>
                <w:b w:val="0"/>
                <w:sz w:val="17"/>
              </w:rPr>
              <w:t>Corrected</w:t>
            </w:r>
          </w:p>
        </w:tc>
      </w:tr>
      <w:tr>
        <w:tc>
          <w:tcPr>
            <w:tcW w:type="dxa" w:w="4896"/>
            <w:shd w:fill="FFFFFF"/>
          </w:tcPr>
          <w:p>
            <w:r/>
            <w:r>
              <w:rPr>
                <w:b w:val="0"/>
                <w:sz w:val="17"/>
              </w:rPr>
              <w:t>Literal TypeScript examples</w:t>
            </w:r>
          </w:p>
        </w:tc>
        <w:tc>
          <w:tcPr>
            <w:tcW w:type="dxa" w:w="4896"/>
            <w:shd w:fill="FFFFFF"/>
          </w:tcPr>
          <w:p>
            <w:r/>
            <w:r>
              <w:rPr>
                <w:b w:val="0"/>
                <w:sz w:val="17"/>
              </w:rPr>
              <w:t>Corrected</w:t>
            </w:r>
          </w:p>
        </w:tc>
      </w:tr>
      <w:tr>
        <w:tc>
          <w:tcPr>
            <w:tcW w:type="dxa" w:w="4896"/>
            <w:shd w:fill="F7F7F8"/>
          </w:tcPr>
          <w:p>
            <w:r/>
            <w:r>
              <w:rPr>
                <w:b w:val="0"/>
                <w:sz w:val="17"/>
              </w:rPr>
              <w:t>DEMO-08 canonical policy/status</w:t>
            </w:r>
          </w:p>
        </w:tc>
        <w:tc>
          <w:tcPr>
            <w:tcW w:type="dxa" w:w="4896"/>
            <w:shd w:fill="F7F7F8"/>
          </w:tcPr>
          <w:p>
            <w:r/>
            <w:r>
              <w:rPr>
                <w:b w:val="0"/>
                <w:sz w:val="17"/>
              </w:rPr>
              <w:t>Corrected</w:t>
            </w:r>
          </w:p>
        </w:tc>
      </w:tr>
      <w:tr>
        <w:tc>
          <w:tcPr>
            <w:tcW w:type="dxa" w:w="4896"/>
            <w:shd w:fill="FFFFFF"/>
          </w:tcPr>
          <w:p>
            <w:r/>
            <w:r>
              <w:rPr>
                <w:b w:val="0"/>
                <w:sz w:val="17"/>
              </w:rPr>
              <w:t>DEMO-12 immutability and invoice boundary</w:t>
            </w:r>
          </w:p>
        </w:tc>
        <w:tc>
          <w:tcPr>
            <w:tcW w:type="dxa" w:w="4896"/>
            <w:shd w:fill="FFFFFF"/>
          </w:tcPr>
          <w:p>
            <w:r/>
            <w:r>
              <w:rPr>
                <w:b w:val="0"/>
                <w:sz w:val="17"/>
              </w:rPr>
              <w:t>Corrected</w:t>
            </w:r>
          </w:p>
        </w:tc>
      </w:tr>
      <w:tr>
        <w:tc>
          <w:tcPr>
            <w:tcW w:type="dxa" w:w="4896"/>
            <w:shd w:fill="F7F7F8"/>
          </w:tcPr>
          <w:p>
            <w:r/>
            <w:r>
              <w:rPr>
                <w:b w:val="0"/>
                <w:sz w:val="17"/>
              </w:rPr>
              <w:t>DEMO-13 legacy contradiction</w:t>
            </w:r>
          </w:p>
        </w:tc>
        <w:tc>
          <w:tcPr>
            <w:tcW w:type="dxa" w:w="4896"/>
            <w:shd w:fill="F7F7F8"/>
          </w:tcPr>
          <w:p>
            <w:r/>
            <w:r>
              <w:rPr>
                <w:b w:val="0"/>
                <w:sz w:val="17"/>
              </w:rPr>
              <w:t>Accepted</w:t>
            </w:r>
          </w:p>
        </w:tc>
      </w:tr>
      <w:tr>
        <w:tc>
          <w:tcPr>
            <w:tcW w:type="dxa" w:w="4896"/>
            <w:shd w:fill="FFFFFF"/>
          </w:tcPr>
          <w:p>
            <w:r/>
            <w:r>
              <w:rPr>
                <w:b w:val="0"/>
                <w:sz w:val="17"/>
              </w:rPr>
              <w:t>DEMO-13 reversal/replacement schema</w:t>
            </w:r>
          </w:p>
        </w:tc>
        <w:tc>
          <w:tcPr>
            <w:tcW w:type="dxa" w:w="4896"/>
            <w:shd w:fill="FFFFFF"/>
          </w:tcPr>
          <w:p>
            <w:r/>
            <w:r>
              <w:rPr>
                <w:b w:val="0"/>
                <w:sz w:val="17"/>
              </w:rPr>
              <w:t>Corrected; one prose identifier remains</w:t>
            </w:r>
          </w:p>
        </w:tc>
      </w:tr>
      <w:tr>
        <w:tc>
          <w:tcPr>
            <w:tcW w:type="dxa" w:w="4896"/>
            <w:shd w:fill="F7F7F8"/>
          </w:tcPr>
          <w:p>
            <w:r/>
            <w:r>
              <w:rPr>
                <w:b w:val="0"/>
                <w:sz w:val="17"/>
              </w:rPr>
              <w:t>DEMO-14 shared evaluator/422/atomicity status</w:t>
            </w:r>
          </w:p>
        </w:tc>
        <w:tc>
          <w:tcPr>
            <w:tcW w:type="dxa" w:w="4896"/>
            <w:shd w:fill="F7F7F8"/>
          </w:tcPr>
          <w:p>
            <w:r/>
            <w:r>
              <w:rPr>
                <w:b w:val="0"/>
                <w:sz w:val="17"/>
              </w:rPr>
              <w:t>Accepted</w:t>
            </w:r>
          </w:p>
        </w:tc>
      </w:tr>
      <w:tr>
        <w:tc>
          <w:tcPr>
            <w:tcW w:type="dxa" w:w="4896"/>
            <w:shd w:fill="FFFFFF"/>
          </w:tcPr>
          <w:p>
            <w:r/>
            <w:r>
              <w:rPr>
                <w:b w:val="0"/>
                <w:sz w:val="17"/>
              </w:rPr>
              <w:t>ProjectKind deterministic definitions</w:t>
            </w:r>
          </w:p>
        </w:tc>
        <w:tc>
          <w:tcPr>
            <w:tcW w:type="dxa" w:w="4896"/>
            <w:shd w:fill="FFFFFF"/>
          </w:tcPr>
          <w:p>
            <w:r/>
            <w:r>
              <w:rPr>
                <w:b w:val="0"/>
                <w:sz w:val="17"/>
              </w:rPr>
              <w:t>Corrected</w:t>
            </w:r>
          </w:p>
        </w:tc>
      </w:tr>
      <w:tr>
        <w:tc>
          <w:tcPr>
            <w:tcW w:type="dxa" w:w="4896"/>
            <w:shd w:fill="F7F7F8"/>
          </w:tcPr>
          <w:p>
            <w:r/>
            <w:r>
              <w:rPr>
                <w:b w:val="0"/>
                <w:sz w:val="17"/>
              </w:rPr>
              <w:t>Technical-only artifact scope</w:t>
            </w:r>
          </w:p>
        </w:tc>
        <w:tc>
          <w:tcPr>
            <w:tcW w:type="dxa" w:w="4896"/>
            <w:shd w:fill="F7F7F8"/>
          </w:tcPr>
          <w:p>
            <w:r/>
            <w:r>
              <w:rPr>
                <w:b w:val="0"/>
                <w:sz w:val="17"/>
              </w:rPr>
              <w:t>One final separation edit required</w:t>
            </w:r>
          </w:p>
        </w:tc>
      </w:tr>
      <w:tr>
        <w:tc>
          <w:tcPr>
            <w:tcW w:type="dxa" w:w="4896"/>
            <w:shd w:fill="FFFFFF"/>
          </w:tcPr>
          <w:p>
            <w:r/>
            <w:r>
              <w:rPr>
                <w:b w:val="0"/>
                <w:sz w:val="17"/>
              </w:rPr>
              <w:t>Overall architecture</w:t>
            </w:r>
          </w:p>
        </w:tc>
        <w:tc>
          <w:tcPr>
            <w:tcW w:type="dxa" w:w="4896"/>
            <w:shd w:fill="FFFFFF"/>
          </w:tcPr>
          <w:p>
            <w:r/>
            <w:r>
              <w:rPr>
                <w:b w:val="0"/>
                <w:sz w:val="17"/>
              </w:rPr>
              <w:t>Technically acceptable</w:t>
            </w:r>
          </w:p>
        </w:tc>
      </w:tr>
    </w:tbl>
    <w:p>
      <w:pPr>
        <w:pStyle w:val="Heading1"/>
      </w:pPr>
      <w:r>
        <w:t>Final Assessment</w:t>
      </w:r>
    </w:p>
    <w:p>
      <w:pPr>
        <w:jc w:val="left"/>
      </w:pPr>
      <w:r>
        <w:rPr>
          <w:b/>
        </w:rPr>
        <w:t xml:space="preserve">Rekomendasi status: </w:t>
      </w:r>
      <w:r>
        <w:rPr>
          <w:i w:val="0"/>
        </w:rPr>
        <w:t>TECHNICALLY ACCEPTABLE — TWO MINOR DOCUMENT EDITS REQUIRED.</w:t>
      </w:r>
    </w:p>
    <w:p>
      <w:pPr>
        <w:jc w:val="left"/>
      </w:pPr>
      <w:r>
        <w:rPr>
          <w:i w:val="0"/>
        </w:rPr>
        <w:t>Tidak diperlukan review arsitektur penuh setelah perbaikan. Lakukan pemeriksaan terbatas pada dua item: Decision 13.4 harus menggunakan replacementForId, dan technical baseline harus dipisahkan dari stakeholder/stage-gate approval package.</w:t>
      </w:r>
    </w:p>
    <w:p>
      <w:pPr>
        <w:jc w:val="left"/>
      </w:pPr>
      <w:r>
        <w:rPr>
          <w:i w:val="0"/>
        </w:rPr>
        <w:t>Setelah dua edit tersebut, technical baseline dapat dinyatakan FINAL TECHNICAL ACCEPTED. Implementation dan test status tetap mengikuti traceability matrix: DEMO-12 Phase 1 implemented/tested; DEMO lainnya partial atau target sebagaimana tercatat. Technical acceptance terhadap desain tidak berarti seluruh fitur sudah dibangun, diuji, atau dideploy ke production.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SecureProfit Hub — 14 FSD v1.04 Final Technical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91B1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