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line="285"/>
        <w:jc w:val="center"/>
      </w:pPr>
      <w:r>
        <w:rPr>
          <w:rFonts w:ascii="Aptos" w:cs="Aptos" w:eastAsia="Aptos" w:hAnsi="Aptos"/>
          <w:b/>
          <w:bCs/>
          <w:color w:val="17365D"/>
          <w:sz w:val="32"/>
          <w:szCs w:val="32"/>
        </w:rPr>
        <w:t xml:space="preserve">RECOMMENDATION &amp; CLARIFICATION BASELINE</w:t>
      </w:r>
    </w:p>
    <w:p>
      <w:pPr>
        <w:spacing w:after="220" w:line="285"/>
        <w:jc w:val="center"/>
      </w:pPr>
      <w:r>
        <w:rPr>
          <w:rFonts w:ascii="Aptos" w:cs="Aptos" w:eastAsia="Aptos" w:hAnsi="Aptos"/>
          <w:b/>
          <w:bCs/>
          <w:color w:val="1F2937"/>
          <w:sz w:val="27"/>
          <w:szCs w:val="27"/>
        </w:rPr>
        <w:t xml:space="preserve">SecureProfit Hub — DEMO-13 and DEMO-14</w:t>
      </w:r>
    </w:p>
    <w:p>
      <w:pPr>
        <w:spacing w:after="115" w:line="285"/>
      </w:pPr>
      <w:r>
        <w:rPr>
          <w:rFonts w:ascii="Aptos" w:cs="Aptos" w:eastAsia="Aptos" w:hAnsi="Aptos"/>
          <w:b/>
          <w:bCs/>
          <w:color w:val="17365D"/>
          <w:sz w:val="21"/>
          <w:szCs w:val="21"/>
        </w:rPr>
        <w:t xml:space="preserve">Document ID: SPH-REC-CLARIF-DEMO-13-14</w:t>
      </w:r>
    </w:p>
    <w:p>
      <w:pPr>
        <w:spacing w:after="115" w:line="285"/>
      </w:pPr>
      <w:r>
        <w:rPr>
          <w:rFonts w:ascii="Aptos" w:cs="Aptos" w:eastAsia="Aptos" w:hAnsi="Aptos"/>
          <w:color w:val="1F2937"/>
          <w:sz w:val="21"/>
          <w:szCs w:val="21"/>
        </w:rPr>
        <w:t xml:space="preserve">Technical Review Status: READY FOR BASELINE CONSOLIDATION</w:t>
      </w:r>
    </w:p>
    <w:p>
      <w:pPr>
        <w:spacing w:after="115" w:line="285"/>
      </w:pPr>
      <w:r>
        <w:rPr>
          <w:rFonts w:ascii="Aptos" w:cs="Aptos" w:eastAsia="Aptos" w:hAnsi="Aptos"/>
          <w:color w:val="1F2937"/>
          <w:sz w:val="21"/>
          <w:szCs w:val="21"/>
        </w:rPr>
        <w:t xml:space="preserve">Decision Status: RECOMMENDED</w:t>
      </w:r>
    </w:p>
    <w:p>
      <w:pPr>
        <w:spacing w:after="115" w:line="285"/>
      </w:pPr>
      <w:r>
        <w:rPr>
          <w:rFonts w:ascii="Aptos" w:cs="Aptos" w:eastAsia="Aptos" w:hAnsi="Aptos"/>
          <w:color w:val="1F2937"/>
          <w:sz w:val="21"/>
          <w:szCs w:val="21"/>
        </w:rPr>
        <w:t xml:space="preserve">Implementation Status: NOT IMPLEMENTED</w:t>
      </w:r>
    </w:p>
    <w:p>
      <w:pPr>
        <w:spacing w:after="115" w:line="285"/>
      </w:pPr>
      <w:r>
        <w:rPr>
          <w:rFonts w:ascii="Aptos" w:cs="Aptos" w:eastAsia="Aptos" w:hAnsi="Aptos"/>
          <w:color w:val="1F2937"/>
          <w:sz w:val="21"/>
          <w:szCs w:val="21"/>
        </w:rPr>
        <w:t xml:space="preserve">Test Status: NOT TESTED</w:t>
      </w:r>
    </w:p>
    <w:p>
      <w:pPr>
        <w:pStyle w:val="Heading1"/>
        <w:spacing w:after="85" w:before="220"/>
      </w:pPr>
      <w:r>
        <w:rPr>
          <w:rFonts w:ascii="Aptos Display" w:cs="Aptos Display" w:eastAsia="Aptos Display" w:hAnsi="Aptos Display"/>
          <w:b/>
          <w:bCs/>
          <w:color w:val="17365D"/>
        </w:rPr>
        <w:t xml:space="preserve">1. Executive Summary</w:t>
      </w:r>
    </w:p>
    <w:p>
      <w:pPr>
        <w:spacing w:after="115" w:line="285"/>
      </w:pPr>
      <w:r>
        <w:rPr>
          <w:rFonts w:ascii="Aptos" w:cs="Aptos" w:eastAsia="Aptos" w:hAnsi="Aptos"/>
          <w:color w:val="1F2937"/>
          <w:sz w:val="21"/>
          <w:szCs w:val="21"/>
        </w:rPr>
        <w:t xml:space="preserve">This document prepares DEMO-13 and DEMO-14 in the same recommendation-and-clarification format used for the earlier SecureProfit Hub FSDs. It resolves design ambiguities, aligns proposed roles and fields with the actual codebase, distinguishes the current source baseline from the target design, and defines acceptance criteria without implying implementation or test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Title</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Technical Disposition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Revenue Recognition Dual-Timeline &amp; Finance Gate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Accept business need; revise accounting semantics and migration design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Activation Data Integrity Hard-Gate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Accept business need; consolidate and extend the existing activation gate</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2. Source Baseline Findings</w:t>
      </w:r>
    </w:p>
    <w:p>
      <w:pPr>
        <w:pStyle w:val="Heading2"/>
        <w:spacing w:after="85" w:before="220"/>
      </w:pPr>
      <w:r>
        <w:rPr>
          <w:rFonts w:ascii="Aptos Display" w:cs="Aptos Display" w:eastAsia="Aptos Display" w:hAnsi="Aptos Display"/>
          <w:b/>
          <w:bCs/>
          <w:color w:val="17365D"/>
        </w:rPr>
        <w:t xml:space="preserve">Current Revenue Recognition</w:t>
      </w:r>
    </w:p>
    <w:p>
      <w:pPr>
        <w:pStyle w:val="ListParagraph"/>
        <w:numPr>
          <w:ilvl w:val="0"/>
          <w:numId w:val="1"/>
        </w:numPr>
        <w:spacing w:after="52" w:line="270"/>
      </w:pPr>
      <w:r>
        <w:t xml:space="preserve">Revenue Recognition API and web UI already exist.</w:t>
      </w:r>
    </w:p>
    <w:p>
      <w:pPr>
        <w:pStyle w:val="ListParagraph"/>
        <w:numPr>
          <w:ilvl w:val="0"/>
          <w:numId w:val="1"/>
        </w:numPr>
        <w:spacing w:after="52" w:line="270"/>
      </w:pPr>
      <w:r>
        <w:t xml:space="preserve">Recognition is currently inferred from BillingMilestone evidence, PAID status, or a filed milestone report.</w:t>
      </w:r>
    </w:p>
    <w:p>
      <w:pPr>
        <w:pStyle w:val="ListParagraph"/>
        <w:numPr>
          <w:ilvl w:val="0"/>
          <w:numId w:val="1"/>
        </w:numPr>
        <w:spacing w:after="52" w:line="270"/>
      </w:pPr>
      <w:r>
        <w:t xml:space="preserve">Billing and recognition therefore remain coupled in the current source baseline.</w:t>
      </w:r>
    </w:p>
    <w:p>
      <w:pPr>
        <w:pStyle w:val="ListParagraph"/>
        <w:numPr>
          <w:ilvl w:val="0"/>
          <w:numId w:val="1"/>
        </w:numPr>
        <w:spacing w:after="52" w:line="270"/>
      </w:pPr>
      <w:r>
        <w:t xml:space="preserve">There is no dedicated RevenueRecognitionSchedule model in the current schema.</w:t>
      </w:r>
    </w:p>
    <w:p>
      <w:pPr>
        <w:pStyle w:val="Heading2"/>
        <w:spacing w:after="85" w:before="220"/>
      </w:pPr>
      <w:r>
        <w:rPr>
          <w:rFonts w:ascii="Aptos Display" w:cs="Aptos Display" w:eastAsia="Aptos Display" w:hAnsi="Aptos Display"/>
          <w:b/>
          <w:bCs/>
          <w:color w:val="17365D"/>
        </w:rPr>
        <w:t xml:space="preserve">Current Project Activation Gate</w:t>
      </w:r>
    </w:p>
    <w:p>
      <w:pPr>
        <w:pStyle w:val="ListParagraph"/>
        <w:numPr>
          <w:ilvl w:val="0"/>
          <w:numId w:val="1"/>
        </w:numPr>
        <w:spacing w:after="52" w:line="270"/>
      </w:pPr>
      <w:r>
        <w:t xml:space="preserve">The API already validates Client, description, dates, contract value, planned mandays, estimated cost and Project Manager.</w:t>
      </w:r>
    </w:p>
    <w:p>
      <w:pPr>
        <w:pStyle w:val="ListParagraph"/>
        <w:numPr>
          <w:ilvl w:val="0"/>
          <w:numId w:val="1"/>
        </w:numPr>
        <w:spacing w:after="52" w:line="270"/>
      </w:pPr>
      <w:r>
        <w:t xml:space="preserve">It also requires resources, tasks, RAID items and commercial billing milestones totaling 100%.</w:t>
      </w:r>
    </w:p>
    <w:p>
      <w:pPr>
        <w:pStyle w:val="ListParagraph"/>
        <w:numPr>
          <w:ilvl w:val="0"/>
          <w:numId w:val="1"/>
        </w:numPr>
        <w:spacing w:after="52" w:line="270"/>
      </w:pPr>
      <w:r>
        <w:t xml:space="preserve">The current compatibility contract uses HTTP 400, code ACTIVATION_REQUIREMENTS_INCOMPLETE and a missing string array.</w:t>
      </w:r>
    </w:p>
    <w:p>
      <w:pPr>
        <w:pStyle w:val="ListParagraph"/>
        <w:numPr>
          <w:ilvl w:val="0"/>
          <w:numId w:val="1"/>
        </w:numPr>
        <w:spacing w:after="52" w:line="270"/>
      </w:pPr>
      <w:r>
        <w:t xml:space="preserve">ProjectBaseline already exists and is created from activation and approved Change Requests.</w:t>
      </w:r>
    </w:p>
    <w:p>
      <w:pPr>
        <w:pStyle w:val="Heading2"/>
        <w:spacing w:after="85" w:before="220"/>
      </w:pPr>
      <w:r>
        <w:rPr>
          <w:rFonts w:ascii="Aptos Display" w:cs="Aptos Display" w:eastAsia="Aptos Display" w:hAnsi="Aptos Display"/>
          <w:b/>
          <w:bCs/>
          <w:color w:val="17365D"/>
        </w:rPr>
        <w:t xml:space="preserve">Actual Role and Field Vocabulary</w:t>
      </w:r>
    </w:p>
    <w:p>
      <w:pPr>
        <w:pStyle w:val="ListParagraph"/>
        <w:numPr>
          <w:ilvl w:val="0"/>
          <w:numId w:val="1"/>
        </w:numPr>
        <w:spacing w:after="52" w:line="270"/>
      </w:pPr>
      <w:r>
        <w:t xml:space="preserve">Use FINANCE instead of FINANCE_LEAD.</w:t>
      </w:r>
    </w:p>
    <w:p>
      <w:pPr>
        <w:pStyle w:val="ListParagraph"/>
        <w:numPr>
          <w:ilvl w:val="0"/>
          <w:numId w:val="1"/>
        </w:numPr>
        <w:spacing w:after="52" w:line="270"/>
      </w:pPr>
      <w:r>
        <w:t xml:space="preserve">Use PROJECT_MANAGER instead of DELIVERY_LEAD.</w:t>
      </w:r>
    </w:p>
    <w:p>
      <w:pPr>
        <w:pStyle w:val="ListParagraph"/>
        <w:numPr>
          <w:ilvl w:val="0"/>
          <w:numId w:val="1"/>
        </w:numPr>
        <w:spacing w:after="52" w:line="270"/>
      </w:pPr>
      <w:r>
        <w:t xml:space="preserve">Use pmId instead of projectManagerId.</w:t>
      </w:r>
    </w:p>
    <w:p>
      <w:pPr>
        <w:pStyle w:val="ListParagraph"/>
        <w:numPr>
          <w:ilvl w:val="0"/>
          <w:numId w:val="1"/>
        </w:numPr>
        <w:spacing w:after="52" w:line="270"/>
      </w:pPr>
      <w:r>
        <w:t xml:space="preserve">Do not assume Project.businessUnitId exists; primary-BU authority must be explicitly designed.</w:t>
      </w:r>
    </w:p>
    <w:p>
      <w:pPr>
        <w:pStyle w:val="Heading1"/>
        <w:spacing w:after="85" w:before="220"/>
      </w:pPr>
      <w:r>
        <w:rPr>
          <w:rFonts w:ascii="Aptos Display" w:cs="Aptos Display" w:eastAsia="Aptos Display" w:hAnsi="Aptos Display"/>
          <w:b/>
          <w:bCs/>
          <w:color w:val="17365D"/>
        </w:rPr>
        <w:t xml:space="preserve">3. DEMO-13 — Revenue Recognition Dual-Timeline &amp; Finance Gate</w:t>
      </w:r>
    </w:p>
    <w:p>
      <w:pPr>
        <w:pStyle w:val="Heading2"/>
        <w:spacing w:after="85" w:before="220"/>
      </w:pPr>
      <w:r>
        <w:rPr>
          <w:rFonts w:ascii="Aptos Display" w:cs="Aptos Display" w:eastAsia="Aptos Display" w:hAnsi="Aptos Display"/>
          <w:b/>
          <w:bCs/>
          <w:color w:val="17365D"/>
        </w:rPr>
        <w:t xml:space="preserve">Business Objective</w:t>
      </w:r>
    </w:p>
    <w:p>
      <w:pPr>
        <w:spacing w:after="115" w:line="285"/>
      </w:pPr>
      <w:r>
        <w:rPr>
          <w:rFonts w:ascii="Aptos" w:cs="Aptos" w:eastAsia="Aptos" w:hAnsi="Aptos"/>
          <w:color w:val="1F2937"/>
          <w:sz w:val="21"/>
          <w:szCs w:val="21"/>
        </w:rPr>
        <w:t xml:space="preserve">Separate commercial billing from PSAK 115 / IFRS 15 revenue recognition so invoices and cash collection can proceed independently from satisfaction of performance obligations and accounting recognition.</w:t>
      </w:r>
    </w:p>
    <w:p>
      <w:pPr>
        <w:pStyle w:val="Heading2"/>
        <w:spacing w:after="85" w:before="220"/>
      </w:pPr>
      <w:r>
        <w:rPr>
          <w:rFonts w:ascii="Aptos Display" w:cs="Aptos Display" w:eastAsia="Aptos Display" w:hAnsi="Aptos Display"/>
          <w:b/>
          <w:bCs/>
          <w:color w:val="17365D"/>
        </w:rPr>
        <w:t xml:space="preserve">Recommended Decisions and Business Rationale</w:t>
      </w:r>
    </w:p>
    <w:p>
      <w:pPr>
        <w:pStyle w:val="Heading3"/>
        <w:spacing w:after="85" w:before="220"/>
      </w:pPr>
      <w:r>
        <w:rPr>
          <w:rFonts w:ascii="Aptos Display" w:cs="Aptos Display" w:eastAsia="Aptos Display" w:hAnsi="Aptos Display"/>
          <w:b/>
          <w:bCs/>
          <w:color w:val="17365D"/>
        </w:rPr>
        <w:t xml:space="preserve">Decision 13.1 — Separate Billing and Revenue Recognition</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Create a dedicated revenue-recognition schedule and ledger. BillingMilestone remains the commercial invoicing timeline and must not become the accounting source of truth.</w:t>
      </w:r>
    </w:p>
    <w:p>
      <w:pPr>
        <w:spacing w:after="115" w:line="285"/>
      </w:pPr>
      <w:r>
        <w:rPr>
          <w:rFonts w:ascii="Aptos" w:cs="Aptos" w:eastAsia="Aptos" w:hAnsi="Aptos"/>
          <w:color w:val="1F2937"/>
          <w:sz w:val="21"/>
          <w:szCs w:val="21"/>
        </w:rPr>
        <w:t xml:space="preserve">Rationale: invoice issuance, payment receipt and revenue recognition are different economic events. Separating them prevents paid or invoiced milestones from being treated automatically as recognized revenue.</w:t>
      </w:r>
    </w:p>
    <w:p>
      <w:pPr>
        <w:spacing w:after="115" w:line="285"/>
      </w:pPr>
      <w:r>
        <w:rPr>
          <w:rFonts w:ascii="Aptos" w:cs="Aptos" w:eastAsia="Aptos" w:hAnsi="Aptos"/>
          <w:b/>
          <w:bCs/>
          <w:color w:val="92400E"/>
          <w:sz w:val="21"/>
          <w:szCs w:val="21"/>
        </w:rPr>
        <w:t xml:space="preserve">Operational Ambiguity — May a paid invoice automatically recognize revenue?</w:t>
      </w:r>
    </w:p>
    <w:p>
      <w:pPr>
        <w:spacing w:after="115" w:line="285"/>
      </w:pPr>
      <w:r>
        <w:rPr>
          <w:rFonts w:ascii="Aptos" w:cs="Aptos" w:eastAsia="Aptos" w:hAnsi="Aptos"/>
          <w:color w:val="1F2937"/>
          <w:sz w:val="21"/>
          <w:szCs w:val="21"/>
        </w:rPr>
        <w:t xml:space="preserve">No. Invoice and payment events may be supporting references, but recognition requires evidence that the relevant performance obligation has been satisfied.</w:t>
      </w:r>
    </w:p>
    <w:p>
      <w:pPr>
        <w:pStyle w:val="Heading3"/>
        <w:spacing w:after="85" w:before="220"/>
      </w:pPr>
      <w:r>
        <w:rPr>
          <w:rFonts w:ascii="Aptos Display" w:cs="Aptos Display" w:eastAsia="Aptos Display" w:hAnsi="Aptos Display"/>
          <w:b/>
          <w:bCs/>
          <w:color w:val="17365D"/>
        </w:rPr>
        <w:t xml:space="preserve">Decision 13.2 — Use Performance-Obligation Triggers</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Use TIME_ELAPSED, DELIVERABLE_ACCEPTED, USAGE_BASED and MANUAL_FINANCE_ASSESSMENT triggers. Contract signing, PO receipt and advance payment are not recognition triggers by themselves.</w:t>
      </w:r>
    </w:p>
    <w:p>
      <w:pPr>
        <w:spacing w:after="115" w:line="285"/>
      </w:pPr>
      <w:r>
        <w:rPr>
          <w:rFonts w:ascii="Aptos" w:cs="Aptos" w:eastAsia="Aptos" w:hAnsi="Aptos"/>
          <w:color w:val="1F2937"/>
          <w:sz w:val="21"/>
          <w:szCs w:val="21"/>
        </w:rPr>
        <w:t xml:space="preserve">Rationale: an advance receipt generally creates a contract liability until the underlying obligation is satisfied. Trigger naming must describe the recognition basis rather than the cash event.</w:t>
      </w:r>
    </w:p>
    <w:p>
      <w:pPr>
        <w:spacing w:after="115" w:line="285"/>
      </w:pPr>
      <w:r>
        <w:rPr>
          <w:rFonts w:ascii="Aptos" w:cs="Aptos" w:eastAsia="Aptos" w:hAnsi="Aptos"/>
          <w:b/>
          <w:bCs/>
          <w:color w:val="92400E"/>
          <w:sz w:val="21"/>
          <w:szCs w:val="21"/>
        </w:rPr>
        <w:t xml:space="preserve">Operational Ambiguity — What happens to FIXED_TERM?</w:t>
      </w:r>
    </w:p>
    <w:p>
      <w:pPr>
        <w:spacing w:after="115" w:line="285"/>
      </w:pPr>
      <w:r>
        <w:rPr>
          <w:rFonts w:ascii="Aptos" w:cs="Aptos" w:eastAsia="Aptos" w:hAnsi="Aptos"/>
          <w:color w:val="1F2937"/>
          <w:sz w:val="21"/>
          <w:szCs w:val="21"/>
        </w:rPr>
        <w:t xml:space="preserve">Replace the ambiguous FIXED_TERM name with TIME_ELAPSED. A scheduled date can make an item eligible for review, but does not bypass supporting evidence or Finance confirmation.</w:t>
      </w:r>
    </w:p>
    <w:p>
      <w:pPr>
        <w:pStyle w:val="Heading3"/>
        <w:spacing w:after="85" w:before="220"/>
      </w:pPr>
      <w:r>
        <w:rPr>
          <w:rFonts w:ascii="Aptos Display" w:cs="Aptos Display" w:eastAsia="Aptos Display" w:hAnsi="Aptos Display"/>
          <w:b/>
          <w:bCs/>
          <w:color w:val="17365D"/>
        </w:rPr>
        <w:t xml:space="preserve">Decision 13.3 — Finance-Controlled Baseline with PM Evidence</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FINANCE creates and locks the initial schedule; PROJECT_MANAGER submits delivery evidence; FINANCE independently approves or rejects recognition.</w:t>
      </w:r>
    </w:p>
    <w:p>
      <w:pPr>
        <w:spacing w:after="115" w:line="285"/>
      </w:pPr>
      <w:r>
        <w:rPr>
          <w:rFonts w:ascii="Aptos" w:cs="Aptos" w:eastAsia="Aptos" w:hAnsi="Aptos"/>
          <w:color w:val="1F2937"/>
          <w:sz w:val="21"/>
          <w:szCs w:val="21"/>
        </w:rPr>
        <w:t xml:space="preserve">Rationale: this separation of duties prevents delivery teams from recognizing their own revenue while allowing them to provide operational evidence. MANAGEMENT and SUPER_ADMIN should have narrowly defined recovery oversight, not ordinary approval authority.</w:t>
      </w:r>
    </w:p>
    <w:p>
      <w:pPr>
        <w:spacing w:after="115" w:line="285"/>
      </w:pPr>
      <w:r>
        <w:rPr>
          <w:rFonts w:ascii="Aptos" w:cs="Aptos" w:eastAsia="Aptos" w:hAnsi="Aptos"/>
          <w:b/>
          <w:bCs/>
          <w:color w:val="92400E"/>
          <w:sz w:val="21"/>
          <w:szCs w:val="21"/>
        </w:rPr>
        <w:t xml:space="preserve">Operational Ambiguity — Can Finance both create and approve a schedule?</w:t>
      </w:r>
    </w:p>
    <w:p>
      <w:pPr>
        <w:spacing w:after="115" w:line="285"/>
      </w:pPr>
      <w:r>
        <w:rPr>
          <w:rFonts w:ascii="Aptos" w:cs="Aptos" w:eastAsia="Aptos" w:hAnsi="Aptos"/>
          <w:color w:val="1F2937"/>
          <w:sz w:val="21"/>
          <w:szCs w:val="21"/>
        </w:rPr>
        <w:t xml:space="preserve">Finance may create the initial allocation, but recognition approval must still identify the approving user and evidence. If stricter maker-checker control is required, the creator and approver must be different FINANCE users.</w:t>
      </w:r>
    </w:p>
    <w:p>
      <w:pPr>
        <w:pStyle w:val="Heading3"/>
        <w:spacing w:after="85" w:before="220"/>
      </w:pPr>
      <w:r>
        <w:rPr>
          <w:rFonts w:ascii="Aptos Display" w:cs="Aptos Display" w:eastAsia="Aptos Display" w:hAnsi="Aptos Display"/>
          <w:b/>
          <w:bCs/>
          <w:color w:val="17365D"/>
        </w:rPr>
        <w:t xml:space="preserve">Decision 13.4 — Immutable Recognition and Reversal-Based Correction</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Once recognized, the accounting entry is immutable. Corrections use linked reversal and replacement entries rather than edits or deletion.</w:t>
      </w:r>
    </w:p>
    <w:p>
      <w:pPr>
        <w:spacing w:after="115" w:line="285"/>
      </w:pPr>
      <w:r>
        <w:rPr>
          <w:rFonts w:ascii="Aptos" w:cs="Aptos" w:eastAsia="Aptos" w:hAnsi="Aptos"/>
          <w:color w:val="1F2937"/>
          <w:sz w:val="21"/>
          <w:szCs w:val="21"/>
        </w:rPr>
        <w:t xml:space="preserve">Rationale: immutable accounting events preserve auditability, period integrity and reliable reconciliation with Xero.</w:t>
      </w:r>
    </w:p>
    <w:p>
      <w:pPr>
        <w:spacing w:after="115" w:line="285"/>
      </w:pPr>
      <w:r>
        <w:rPr>
          <w:rFonts w:ascii="Aptos" w:cs="Aptos" w:eastAsia="Aptos" w:hAnsi="Aptos"/>
          <w:b/>
          <w:bCs/>
          <w:color w:val="92400E"/>
          <w:sz w:val="21"/>
          <w:szCs w:val="21"/>
        </w:rPr>
        <w:t xml:space="preserve">Operational Ambiguity — How are delayed deliverables handled?</w:t>
      </w:r>
    </w:p>
    <w:p>
      <w:pPr>
        <w:spacing w:after="115" w:line="285"/>
      </w:pPr>
      <w:r>
        <w:rPr>
          <w:rFonts w:ascii="Aptos" w:cs="Aptos" w:eastAsia="Aptos" w:hAnsi="Aptos"/>
          <w:color w:val="1F2937"/>
          <w:sz w:val="21"/>
          <w:szCs w:val="21"/>
        </w:rPr>
        <w:t xml:space="preserve">A PM submits a reschedule request containing the proposed date and reason. The current planned date remains effective until Finance approves the request. Approval creates a dated revision record; it must not silently overwrite history.</w:t>
      </w:r>
    </w:p>
    <w:p>
      <w:pPr>
        <w:pStyle w:val="Heading3"/>
        <w:spacing w:after="85" w:before="220"/>
      </w:pPr>
      <w:r>
        <w:rPr>
          <w:rFonts w:ascii="Aptos Display" w:cs="Aptos Display" w:eastAsia="Aptos Display" w:hAnsi="Aptos Display"/>
          <w:b/>
          <w:bCs/>
          <w:color w:val="17365D"/>
        </w:rPr>
        <w:t xml:space="preserve">Decision 13.5 — Atomic Recognition Posting</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Status transition to RECOGNIZED, recognized amount, accounting ledger entry, approver metadata and audit event commit in one transaction under an idempotency key.</w:t>
      </w:r>
    </w:p>
    <w:p>
      <w:pPr>
        <w:spacing w:after="115" w:line="285"/>
      </w:pPr>
      <w:r>
        <w:rPr>
          <w:rFonts w:ascii="Aptos" w:cs="Aptos" w:eastAsia="Aptos" w:hAnsi="Aptos"/>
          <w:color w:val="1F2937"/>
          <w:sz w:val="21"/>
          <w:szCs w:val="21"/>
        </w:rPr>
        <w:t xml:space="preserve">Rationale: partial writes can report recognized revenue without a journal, or create duplicate journals after retries. Atomicity and idempotency eliminate both failure modes.</w:t>
      </w:r>
    </w:p>
    <w:p>
      <w:pPr>
        <w:pStyle w:val="Heading3"/>
        <w:spacing w:after="85" w:before="220"/>
      </w:pPr>
      <w:r>
        <w:rPr>
          <w:rFonts w:ascii="Aptos Display" w:cs="Aptos Display" w:eastAsia="Aptos Display" w:hAnsi="Aptos Display"/>
          <w:b/>
          <w:bCs/>
          <w:color w:val="17365D"/>
        </w:rPr>
        <w:t xml:space="preserve">Decision 13.6 — Controlled Legacy Migration</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Backfill legacy recognition into explicitly labeled inferred records, reconcile totals, define a cutover date and prevent automatic conversion of inferred history into Finance-approved history.</w:t>
      </w:r>
    </w:p>
    <w:p>
      <w:pPr>
        <w:spacing w:after="115" w:line="285"/>
      </w:pPr>
      <w:r>
        <w:rPr>
          <w:rFonts w:ascii="Aptos" w:cs="Aptos" w:eastAsia="Aptos" w:hAnsi="Aptos"/>
          <w:color w:val="1F2937"/>
          <w:sz w:val="21"/>
          <w:szCs w:val="21"/>
        </w:rPr>
        <w:t xml:space="preserve">Rationale: historical BillingMilestone evidence was created under different rules and cannot be represented as retrospectively approved accounting evidence.</w:t>
      </w:r>
    </w:p>
    <w:p>
      <w:pPr>
        <w:pStyle w:val="Heading3"/>
        <w:spacing w:after="85" w:before="220"/>
      </w:pPr>
      <w:r>
        <w:rPr>
          <w:rFonts w:ascii="Aptos Display" w:cs="Aptos Display" w:eastAsia="Aptos Display" w:hAnsi="Aptos Display"/>
          <w:b/>
          <w:bCs/>
          <w:color w:val="17365D"/>
        </w:rPr>
        <w:t xml:space="preserve">Decision 13.7 — Reviewed Xero Journal Export First</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Begin with a Finance-reviewed monthly journal CSV. Direct Xero journal posting is a later controlled capability after account mapping, reversal and reconciliation behavior are validated.</w:t>
      </w:r>
    </w:p>
    <w:p>
      <w:pPr>
        <w:spacing w:after="115" w:line="285"/>
      </w:pPr>
      <w:r>
        <w:rPr>
          <w:rFonts w:ascii="Aptos" w:cs="Aptos" w:eastAsia="Aptos" w:hAnsi="Aptos"/>
          <w:color w:val="1F2937"/>
          <w:sz w:val="21"/>
          <w:szCs w:val="21"/>
        </w:rPr>
        <w:t xml:space="preserve">Rationale: a reviewed export reduces accounting risk while the new recognition ledger is stabilized.</w:t>
      </w:r>
    </w:p>
    <w:p>
      <w:pPr>
        <w:pStyle w:val="Heading2"/>
        <w:spacing w:after="85" w:before="220"/>
      </w:pPr>
      <w:r>
        <w:rPr>
          <w:rFonts w:ascii="Aptos Display" w:cs="Aptos Display" w:eastAsia="Aptos Display" w:hAnsi="Aptos Display"/>
          <w:b/>
          <w:bCs/>
          <w:color w:val="17365D"/>
        </w:rPr>
        <w:t xml:space="preserve">Target Technical Reference</w:t>
      </w:r>
    </w:p>
    <w:p>
      <w:pPr>
        <w:spacing w:after="115" w:line="285"/>
      </w:pPr>
      <w:r>
        <w:rPr>
          <w:rFonts w:ascii="Aptos" w:cs="Aptos" w:eastAsia="Aptos" w:hAnsi="Aptos"/>
          <w:color w:val="1F2937"/>
          <w:sz w:val="21"/>
          <w:szCs w:val="21"/>
        </w:rPr>
        <w:t xml:space="preserve">The following is a reference architecture, not evidence of implementation.</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RevenueRecognitionSchedule
- projectId / workstreamId
- triggerType
- allocatedDpp / percentage / currency snapshot
- plannedDate / current revision
- status: PLANNED | PENDING_EVIDENCE | PENDING_FINANCE_APPROVAL | RECOGNIZED | REJECTED | CANCELLED
- createdById / approvedById / approvedAt</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RevenueRecognitionEvidence
- scheduleId
- documentId
- submittedById / submittedAt
- evidenceType / notes</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RevenueRecognitionEntry
- scheduleId
- accountingPeriod
- recognizedDpp
- debitAccount / creditAccount
- idempotencyKey (unique)
- reversalOfId / replacedById
- createdAt</w:t>
      </w:r>
    </w:p>
    <w:p>
      <w:pPr>
        <w:pStyle w:val="Heading2"/>
        <w:spacing w:after="85" w:before="220"/>
      </w:pPr>
      <w:r>
        <w:rPr>
          <w:rFonts w:ascii="Aptos Display" w:cs="Aptos Display" w:eastAsia="Aptos Display" w:hAnsi="Aptos Display"/>
          <w:b/>
          <w:bCs/>
          <w:color w:val="17365D"/>
        </w:rPr>
        <w:t xml:space="preserve">Financial Invariants</w:t>
      </w:r>
    </w:p>
    <w:p>
      <w:pPr>
        <w:pStyle w:val="ListParagraph"/>
        <w:numPr>
          <w:ilvl w:val="0"/>
          <w:numId w:val="1"/>
        </w:numPr>
        <w:spacing w:after="52" w:line="270"/>
      </w:pPr>
      <w:r>
        <w:t xml:space="preserve">Allocated DPP reconciles to the approved contract/commercial revision.</w:t>
      </w:r>
    </w:p>
    <w:p>
      <w:pPr>
        <w:pStyle w:val="ListParagraph"/>
        <w:numPr>
          <w:ilvl w:val="0"/>
          <w:numId w:val="1"/>
        </w:numPr>
        <w:spacing w:after="52" w:line="270"/>
      </w:pPr>
      <w:r>
        <w:t xml:space="preserve">Each percentage is between 0 and 100 and total schedule allocation equals 100%.</w:t>
      </w:r>
    </w:p>
    <w:p>
      <w:pPr>
        <w:pStyle w:val="ListParagraph"/>
        <w:numPr>
          <w:ilvl w:val="0"/>
          <w:numId w:val="1"/>
        </w:numPr>
        <w:spacing w:after="52" w:line="270"/>
      </w:pPr>
      <w:r>
        <w:t xml:space="preserve">Recognized DPP never exceeds allocated DPP.</w:t>
      </w:r>
    </w:p>
    <w:p>
      <w:pPr>
        <w:pStyle w:val="ListParagraph"/>
        <w:numPr>
          <w:ilvl w:val="0"/>
          <w:numId w:val="1"/>
        </w:numPr>
        <w:spacing w:after="52" w:line="270"/>
      </w:pPr>
      <w:r>
        <w:t xml:space="preserve">Currency, exchange rate and accounting period are snapshotted.</w:t>
      </w:r>
    </w:p>
    <w:p>
      <w:pPr>
        <w:pStyle w:val="ListParagraph"/>
        <w:numPr>
          <w:ilvl w:val="0"/>
          <w:numId w:val="1"/>
        </w:numPr>
        <w:spacing w:after="52" w:line="270"/>
      </w:pPr>
      <w:r>
        <w:t xml:space="preserve">Recognition cannot post into a locked accounting period.</w:t>
      </w:r>
    </w:p>
    <w:p>
      <w:pPr>
        <w:pStyle w:val="ListParagraph"/>
        <w:numPr>
          <w:ilvl w:val="0"/>
          <w:numId w:val="1"/>
        </w:numPr>
        <w:spacing w:after="52" w:line="270"/>
      </w:pPr>
      <w:r>
        <w:t xml:space="preserve">Retries with the same idempotency key return the original result.</w:t>
      </w:r>
    </w:p>
    <w:p>
      <w:pPr>
        <w:pStyle w:val="Heading2"/>
        <w:spacing w:after="85" w:before="220"/>
      </w:pPr>
      <w:r>
        <w:rPr>
          <w:rFonts w:ascii="Aptos Display" w:cs="Aptos Display" w:eastAsia="Aptos Display" w:hAnsi="Aptos Display"/>
          <w:b/>
          <w:bCs/>
          <w:color w:val="17365D"/>
        </w:rPr>
        <w:t xml:space="preserve">API Reference</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GET  /api/projects/:id/revenue-recognition-readiness
POST /api/projects/:id/revenue-recognition-schedules
POST /api/revenue-recognition-schedules/:id/evidence
POST /api/revenue-recognition-schedules/:id/submit
POST /api/revenue-recognition-schedules/:id/approve
POST /api/revenue-recognition-schedules/:id/reject
POST /api/revenue-recognition-entries/:id/reverse
GET  /api/revenue-recognition/exports/xero-journal.csv</w:t>
      </w:r>
    </w:p>
    <w:p>
      <w:pPr>
        <w:pStyle w:val="Heading2"/>
        <w:spacing w:after="85" w:before="220"/>
      </w:pPr>
      <w:r>
        <w:rPr>
          <w:rFonts w:ascii="Aptos Display" w:cs="Aptos Display" w:eastAsia="Aptos Display" w:hAnsi="Aptos Display"/>
          <w:b/>
          <w:bCs/>
          <w:color w:val="17365D"/>
        </w:rPr>
        <w:t xml:space="preserve">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Scenario</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Expected Result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Paid invoice without satisfied obligation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 revenue is recognized automatically</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 submits valid deliverable evidence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Moves to pending Finance review</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 attempts self-approval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Rejected with authorization error</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Finance approves valid item</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Recognition, ledger and audit commit atomically</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Approval request is retried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 duplicate recognition or journal</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Recognized item requires correction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Linked reversal and replacement are created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13-AC-07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Legacy backfill runs repeatedly</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Result remains idempotent and reconciled</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4. DEMO-14 — Project Activation Integrity Hard-Gate</w:t>
      </w:r>
    </w:p>
    <w:p>
      <w:pPr>
        <w:pStyle w:val="Heading2"/>
        <w:spacing w:after="85" w:before="220"/>
      </w:pPr>
      <w:r>
        <w:rPr>
          <w:rFonts w:ascii="Aptos Display" w:cs="Aptos Display" w:eastAsia="Aptos Display" w:hAnsi="Aptos Display"/>
          <w:b/>
          <w:bCs/>
          <w:color w:val="17365D"/>
        </w:rPr>
        <w:t xml:space="preserve">Business Objective</w:t>
      </w:r>
    </w:p>
    <w:p>
      <w:pPr>
        <w:spacing w:after="115" w:line="285"/>
      </w:pPr>
      <w:r>
        <w:rPr>
          <w:rFonts w:ascii="Aptos" w:cs="Aptos" w:eastAsia="Aptos" w:hAnsi="Aptos"/>
          <w:color w:val="1F2937"/>
          <w:sz w:val="21"/>
          <w:szCs w:val="21"/>
        </w:rPr>
        <w:t xml:space="preserve">Prevent a Project from becoming ACTIVE when its delivery, commercial, staffing or baseline data is incomplete, inconsistent or capable of distorting cost and margin reporting.</w:t>
      </w:r>
    </w:p>
    <w:p>
      <w:pPr>
        <w:pStyle w:val="Heading2"/>
        <w:spacing w:after="85" w:before="220"/>
      </w:pPr>
      <w:r>
        <w:rPr>
          <w:rFonts w:ascii="Aptos Display" w:cs="Aptos Display" w:eastAsia="Aptos Display" w:hAnsi="Aptos Display"/>
          <w:b/>
          <w:bCs/>
          <w:color w:val="17365D"/>
        </w:rPr>
        <w:t xml:space="preserve">Recommended Decisions and Business Rationale</w:t>
      </w:r>
    </w:p>
    <w:p>
      <w:pPr>
        <w:pStyle w:val="Heading3"/>
        <w:spacing w:after="85" w:before="220"/>
      </w:pPr>
      <w:r>
        <w:rPr>
          <w:rFonts w:ascii="Aptos Display" w:cs="Aptos Display" w:eastAsia="Aptos Display" w:hAnsi="Aptos Display"/>
          <w:b/>
          <w:bCs/>
          <w:color w:val="17365D"/>
        </w:rPr>
        <w:t xml:space="preserve">Decision 14.1 — Extend One Existing Activation Gate</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Refactor the current activation checks into one shared readiness evaluator used by the readiness API, activation PATCH, web/mobile checklist, tests and reconciliation tooling.</w:t>
      </w:r>
    </w:p>
    <w:p>
      <w:pPr>
        <w:spacing w:after="115" w:line="285"/>
      </w:pPr>
      <w:r>
        <w:rPr>
          <w:rFonts w:ascii="Aptos" w:cs="Aptos" w:eastAsia="Aptos" w:hAnsi="Aptos"/>
          <w:color w:val="1F2937"/>
          <w:sz w:val="21"/>
          <w:szCs w:val="21"/>
        </w:rPr>
        <w:t xml:space="preserve">Rationale: two independent evaluators will drift. One source of truth guarantees the preview checklist and the non-bypassable backend gate return the same result.</w:t>
      </w:r>
    </w:p>
    <w:p>
      <w:pPr>
        <w:spacing w:after="115" w:line="285"/>
      </w:pPr>
      <w:r>
        <w:rPr>
          <w:rFonts w:ascii="Aptos" w:cs="Aptos" w:eastAsia="Aptos" w:hAnsi="Aptos"/>
          <w:b/>
          <w:bCs/>
          <w:color w:val="92400E"/>
          <w:sz w:val="21"/>
          <w:szCs w:val="21"/>
        </w:rPr>
        <w:t xml:space="preserve">Operational Ambiguity — Is DEMO-14 a new gate?</w:t>
      </w:r>
    </w:p>
    <w:p>
      <w:pPr>
        <w:spacing w:after="115" w:line="285"/>
      </w:pPr>
      <w:r>
        <w:rPr>
          <w:rFonts w:ascii="Aptos" w:cs="Aptos" w:eastAsia="Aptos" w:hAnsi="Aptos"/>
          <w:color w:val="1F2937"/>
          <w:sz w:val="21"/>
          <w:szCs w:val="21"/>
        </w:rPr>
        <w:t xml:space="preserve">No. The source already has an activation gate. DEMO-14 is an enhancement that adds structured output, commercial-line validation, T&amp;M rate checks and stronger atomicity.</w:t>
      </w:r>
    </w:p>
    <w:p>
      <w:pPr>
        <w:pStyle w:val="Heading3"/>
        <w:spacing w:after="85" w:before="220"/>
      </w:pPr>
      <w:r>
        <w:rPr>
          <w:rFonts w:ascii="Aptos Display" w:cs="Aptos Display" w:eastAsia="Aptos Display" w:hAnsi="Aptos Display"/>
          <w:b/>
          <w:bCs/>
          <w:color w:val="17365D"/>
        </w:rPr>
        <w:t xml:space="preserve">Decision 14.2 — Validate Effective State</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The evaluator must combine persisted data with proposed PATCH values so a request may complete missing fields and activate the Project atomically.</w:t>
      </w:r>
    </w:p>
    <w:p>
      <w:pPr>
        <w:spacing w:after="115" w:line="285"/>
      </w:pPr>
      <w:r>
        <w:rPr>
          <w:rFonts w:ascii="Aptos" w:cs="Aptos" w:eastAsia="Aptos" w:hAnsi="Aptos"/>
          <w:color w:val="1F2937"/>
          <w:sz w:val="21"/>
          <w:szCs w:val="21"/>
        </w:rPr>
        <w:t xml:space="preserve">Rationale: validating only the old database state incorrectly blocks valid single-request activation; validating only the request body misses existing related records.</w:t>
      </w:r>
    </w:p>
    <w:p>
      <w:pPr>
        <w:pStyle w:val="Heading3"/>
        <w:spacing w:after="85" w:before="220"/>
      </w:pPr>
      <w:r>
        <w:rPr>
          <w:rFonts w:ascii="Aptos Display" w:cs="Aptos Display" w:eastAsia="Aptos Display" w:hAnsi="Aptos Display"/>
          <w:b/>
          <w:bCs/>
          <w:color w:val="17365D"/>
        </w:rPr>
        <w:t xml:space="preserve">Decision 14.3 — Use Approved Commercial Snapshots</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Do not create an unrelated ProjectContractLine model. Contract lines originate from the approved CommercialBudgetRevision and are copied into an immutable Project commercial snapshot at Won conversion.</w:t>
      </w:r>
    </w:p>
    <w:p>
      <w:pPr>
        <w:spacing w:after="115" w:line="285"/>
      </w:pPr>
      <w:r>
        <w:rPr>
          <w:rFonts w:ascii="Aptos" w:cs="Aptos" w:eastAsia="Aptos" w:hAnsi="Aptos"/>
          <w:color w:val="1F2937"/>
          <w:sz w:val="21"/>
          <w:szCs w:val="21"/>
        </w:rPr>
        <w:t xml:space="preserve">Rationale: this avoids duplicate sources of truth across DEMO-02, DEMO-10, invoicing, baseline and Project margin reporting.</w:t>
      </w:r>
    </w:p>
    <w:p>
      <w:pPr>
        <w:spacing w:after="115" w:line="285"/>
      </w:pPr>
      <w:r>
        <w:rPr>
          <w:rFonts w:ascii="Aptos" w:cs="Aptos" w:eastAsia="Aptos" w:hAnsi="Aptos"/>
          <w:b/>
          <w:bCs/>
          <w:color w:val="92400E"/>
          <w:sz w:val="21"/>
          <w:szCs w:val="21"/>
        </w:rPr>
        <w:t xml:space="preserve">Operational Ambiguity — How are product pass-through costs represented?</w:t>
      </w:r>
    </w:p>
    <w:p>
      <w:pPr>
        <w:spacing w:after="115" w:line="285"/>
      </w:pPr>
      <w:r>
        <w:rPr>
          <w:rFonts w:ascii="Aptos" w:cs="Aptos" w:eastAsia="Aptos" w:hAnsi="Aptos"/>
          <w:color w:val="1F2937"/>
          <w:sz w:val="21"/>
          <w:szCs w:val="21"/>
        </w:rPr>
        <w:t xml:space="preserve">Use positive selling and cost amounts with explicit classification such as PROFESSIONAL_SERVICE, PRODUCT_SOLUTION and MAINTENANCE_SUBSCRIPTION. Negative expense rows must not be used to mask vendor cost. Credits require a separate controlled credit/reversal mechanism.</w:t>
      </w:r>
    </w:p>
    <w:p>
      <w:pPr>
        <w:pStyle w:val="Heading3"/>
        <w:spacing w:after="85" w:before="220"/>
      </w:pPr>
      <w:r>
        <w:rPr>
          <w:rFonts w:ascii="Aptos Display" w:cs="Aptos Display" w:eastAsia="Aptos Display" w:hAnsi="Aptos Display"/>
          <w:b/>
          <w:bCs/>
          <w:color w:val="17365D"/>
        </w:rPr>
        <w:t xml:space="preserve">Decision 14.4 — Define Primary BU Canonically</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Select one explicit primary-BU source before enforcing activation: either add a Project primary BU snapshot or derive it deterministically from one designated primary workstream.</w:t>
      </w:r>
    </w:p>
    <w:p>
      <w:pPr>
        <w:spacing w:after="115" w:line="285"/>
      </w:pPr>
      <w:r>
        <w:rPr>
          <w:rFonts w:ascii="Aptos" w:cs="Aptos" w:eastAsia="Aptos" w:hAnsi="Aptos"/>
          <w:color w:val="1F2937"/>
          <w:sz w:val="21"/>
          <w:szCs w:val="21"/>
        </w:rPr>
        <w:t xml:space="preserve">Rationale: the current Project model does not provide the businessUnitId assumed by the draft. Activation must not depend on a nonexistent or ambiguous field.</w:t>
      </w:r>
    </w:p>
    <w:p>
      <w:pPr>
        <w:pStyle w:val="Heading3"/>
        <w:spacing w:after="85" w:before="220"/>
      </w:pPr>
      <w:r>
        <w:rPr>
          <w:rFonts w:ascii="Aptos Display" w:cs="Aptos Display" w:eastAsia="Aptos Display" w:hAnsi="Aptos Display"/>
          <w:b/>
          <w:bCs/>
          <w:color w:val="17365D"/>
        </w:rPr>
        <w:t xml:space="preserve">Decision 14.5 — Apply Invariants by Project Kind</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Commercial checks apply to CLIENT projects; operating-readiness checks apply according to an explicit CLIENT, INTERNAL, PRESALES and TRAINING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Invariant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CLIENT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INTERNAL</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PRESALES</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TRAINING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Valid Client</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Conditional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Positive contract value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revision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milestones total 100%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Positive planned mandays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Positive estimated cost</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Valid dates and assigned PM</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resource rates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When T&amp;M</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When applicable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When applicable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When applicable</w:t>
            </w:r>
          </w:p>
        </w:tc>
      </w:tr>
    </w:tbl>
    <w:p>
      <w:pPr>
        <w:spacing w:after="35" w:line="285"/>
      </w:pPr>
      <w:r>
        <w:rPr>
          <w:rFonts w:ascii="Aptos" w:cs="Aptos" w:eastAsia="Aptos" w:hAnsi="Aptos"/>
          <w:color w:val="1F2937"/>
          <w:sz w:val="21"/>
          <w:szCs w:val="21"/>
        </w:rPr>
        <w:t xml:space="preserve"/>
      </w:r>
    </w:p>
    <w:p>
      <w:pPr>
        <w:pStyle w:val="Heading3"/>
        <w:spacing w:after="85" w:before="220"/>
      </w:pPr>
      <w:r>
        <w:rPr>
          <w:rFonts w:ascii="Aptos Display" w:cs="Aptos Display" w:eastAsia="Aptos Display" w:hAnsi="Aptos Display"/>
          <w:b/>
          <w:bCs/>
          <w:color w:val="17365D"/>
        </w:rPr>
        <w:t xml:space="preserve">Decision 14.6 — Return Structured Compatibility-Safe Errors</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Adopt HTTP 422 and ACTIVATION_GATE_VIOLATION with a structured checklist, while temporarily retaining the missing array for existing web/mobile compatibility.</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
  "code": "ACTIVATION_GATE_VIOLATION",
  "message": "Project is not ready for activation.",
  "canActivate": false,
  "blockerCount": 2,
  "missing": ["Planned mandays", "Commercial approval"],
  "checklist": [{ "code": "MANDAYS_REQUIRED", "passed": false, "targetTab": "workstreams" }]
}</w:t>
      </w:r>
    </w:p>
    <w:p>
      <w:pPr>
        <w:pStyle w:val="Heading3"/>
        <w:spacing w:after="85" w:before="220"/>
      </w:pPr>
      <w:r>
        <w:rPr>
          <w:rFonts w:ascii="Aptos Display" w:cs="Aptos Display" w:eastAsia="Aptos Display" w:hAnsi="Aptos Display"/>
          <w:b/>
          <w:bCs/>
          <w:color w:val="17365D"/>
        </w:rPr>
        <w:t xml:space="preserve">Decision 14.7 — Make Activation and Baseline Initialization Atomic</w:t>
      </w:r>
    </w:p>
    <w:p>
      <w:pPr>
        <w:pBdr>
          <w:left w:val="single" w:color="17365D" w:sz="10"/>
        </w:pBdr>
        <w:shd w:fill="EAF2F8" w:val="clear"/>
        <w:spacing w:after="115" w:line="285"/>
        <w:ind w:left="260"/>
      </w:pPr>
      <w:r>
        <w:rPr>
          <w:rFonts w:ascii="Aptos" w:cs="Aptos" w:eastAsia="Aptos" w:hAnsi="Aptos"/>
          <w:b/>
          <w:bCs/>
          <w:color w:val="17365D"/>
          <w:sz w:val="21"/>
          <w:szCs w:val="21"/>
        </w:rPr>
        <w:t xml:space="preserve">RECOMMENDED DECISION: Readiness validation, conditional status update, ProjectBaseline initialization and audit creation must commit in one transaction protected against concurrent activation attempts.</w:t>
      </w:r>
    </w:p>
    <w:p>
      <w:pPr>
        <w:spacing w:after="115" w:line="285"/>
      </w:pPr>
      <w:r>
        <w:rPr>
          <w:rFonts w:ascii="Aptos" w:cs="Aptos" w:eastAsia="Aptos" w:hAnsi="Aptos"/>
          <w:color w:val="1F2937"/>
          <w:sz w:val="21"/>
          <w:szCs w:val="21"/>
        </w:rPr>
        <w:t xml:space="preserve">Rationale: an ACTIVE Project without a baseline violates delivery reporting integrity, while duplicate activation retries must not create multiple current baselines.</w:t>
      </w:r>
    </w:p>
    <w:p>
      <w:pPr>
        <w:pStyle w:val="Heading2"/>
        <w:spacing w:after="85" w:before="220"/>
      </w:pPr>
      <w:r>
        <w:rPr>
          <w:rFonts w:ascii="Aptos Display" w:cs="Aptos Display" w:eastAsia="Aptos Display" w:hAnsi="Aptos Display"/>
          <w:b/>
          <w:bCs/>
          <w:color w:val="17365D"/>
        </w:rPr>
        <w:t xml:space="preserve">Core Activation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Code</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Invariant</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Clarified Rule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Mandays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Positive total planned mandays from the canonical planning source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Dates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Start and end required; end date not before start date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Commercial lines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Positive classified lines from approved commercial snapshot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rates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Every accepted delivery resource has an effective non-zero rate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Manager</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pmId references an active PROJECT_MANAGER</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Primary BU</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Canonical primary BU exists and is active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Commercial approval</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 Finance/commercial gate is cleared for CLIENT projects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INV-ACT-08</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attribution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Valid clientId is bound and attribution lock remains enforceable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INV-ACT-09</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Delivery setup</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Required resource, task and RAID setup is present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INV-ACT-10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allocation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billing milestones exist and total 100%</w:t>
            </w:r>
          </w:p>
        </w:tc>
      </w:tr>
    </w:tbl>
    <w:p>
      <w:pPr>
        <w:spacing w:after="35" w:line="285"/>
      </w:pPr>
      <w:r>
        <w:rPr>
          <w:rFonts w:ascii="Aptos" w:cs="Aptos" w:eastAsia="Aptos" w:hAnsi="Aptos"/>
          <w:color w:val="1F2937"/>
          <w:sz w:val="21"/>
          <w:szCs w:val="21"/>
        </w:rPr>
        <w:t xml:space="preserve"/>
      </w:r>
    </w:p>
    <w:p>
      <w:pPr>
        <w:pStyle w:val="Heading2"/>
        <w:spacing w:after="85" w:before="220"/>
      </w:pPr>
      <w:r>
        <w:rPr>
          <w:rFonts w:ascii="Aptos Display" w:cs="Aptos Display" w:eastAsia="Aptos Display" w:hAnsi="Aptos Display"/>
          <w:b/>
          <w:bCs/>
          <w:color w:val="17365D"/>
        </w:rPr>
        <w:t xml:space="preserve">API Reference</w:t>
      </w:r>
    </w:p>
    <w:p>
      <w:pPr>
        <w:pBdr>
          <w:left w:val="single" w:color="94A3B8" w:sz="10"/>
        </w:pBdr>
        <w:shd w:fill="F1F5F9" w:val="clear"/>
        <w:spacing w:after="115" w:line="285"/>
        <w:ind w:left="280"/>
      </w:pPr>
      <w:r>
        <w:rPr>
          <w:rFonts w:ascii="Consolas" w:cs="Consolas" w:eastAsia="Consolas" w:hAnsi="Consolas"/>
          <w:color w:val="1F2937"/>
          <w:sz w:val="17"/>
          <w:szCs w:val="17"/>
        </w:rPr>
        <w:t xml:space="preserve">GET   /api/projects/:id/activation-readiness
PATCH /api/projects/:id  { "status": "ACTIVE" }</w:t>
      </w:r>
    </w:p>
    <w:p>
      <w:pPr>
        <w:spacing w:after="115" w:line="285"/>
      </w:pPr>
      <w:r>
        <w:rPr>
          <w:rFonts w:ascii="Aptos" w:cs="Aptos" w:eastAsia="Aptos" w:hAnsi="Aptos"/>
          <w:color w:val="1F2937"/>
          <w:sz w:val="21"/>
          <w:szCs w:val="21"/>
        </w:rPr>
        <w:t xml:space="preserve">Both endpoints must call the same evaluator and return the same checklist semantics.</w:t>
      </w:r>
    </w:p>
    <w:p>
      <w:pPr>
        <w:pStyle w:val="Heading2"/>
        <w:spacing w:after="85" w:before="220"/>
      </w:pPr>
      <w:r>
        <w:rPr>
          <w:rFonts w:ascii="Aptos Display" w:cs="Aptos Display" w:eastAsia="Aptos Display" w:hAnsi="Aptos Display"/>
          <w:b/>
          <w:bCs/>
          <w:color w:val="17365D"/>
        </w:rPr>
        <w:t xml:space="preserve">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Scenario</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Expected Result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CLIENT Project has zero mandays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Activation blocked with MANDAYS_REQUIRED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End date precedes start date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Activation blocked with INVALID_DATE_RANGE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Negative line used to mask cost</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Input rejected; no activation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T&amp;M resource lacks effective rate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Activation blocked with TM_RATE_MISSING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14-AC-05</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Non-commercial Project lacks billing milestones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blocked solely for commercial billing</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14-AC-06</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Request fills fields and activates together</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Effective-state validation allows atomic activation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14-AC-07</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Concurrent activation requests</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Exactly one activation and one current baseline result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14-AC-08</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Readiness endpoint and PATCH evaluate same state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Identical blocker codes and target tabs</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5. Cross-FSD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Additional 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Related Existing 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Relationship</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Offering classification informs performance obligations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revision supplies contract DPP and tax snapshots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Project baseline provides delivery commitment context</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Billing / BAST / Xero</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Evidence, invoicing and accounting export remain linked but separate</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DEMO-02 and DEMO-10</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Approved commercial snapshot supplies classified contract lines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DEMO-03 and DEMO-12</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Valid and immutable Project client attribution</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DEMO-04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Canonical Business Unit and delivery ownership</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DEMO-11</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Activation initializes exactly one current Project baseline</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6. Status and Coverage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FSD</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Decision Status</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Design Status</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Implementation Status</w:t>
            </w:r>
          </w:p>
        </w:tc>
        <w:tc>
          <w:tcPr>
            <w:shd w:fill="17365D" w:val="clear"/>
            <w:tcMar>
              <w:top w:type="dxa" w:w="70"/>
              <w:left w:type="dxa" w:w="85"/>
              <w:bottom w:type="dxa" w:w="70"/>
              <w:right w:type="dxa" w:w="85"/>
            </w:tcMar>
          </w:tcPr>
          <w:p>
            <w:r>
              <w:rPr>
                <w:rFonts w:ascii="Aptos" w:cs="Aptos" w:eastAsia="Aptos" w:hAnsi="Aptos"/>
                <w:b/>
                <w:bCs/>
                <w:color w:val="FFFFFF"/>
                <w:sz w:val="16"/>
                <w:szCs w:val="16"/>
              </w:rPr>
              <w:t xml:space="preserve">Test Status</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DEMO-13</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RECOMMENDED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SPECIFIED IN THIS CLARIFICATION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IMPLEMENTED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NOT TESTED</w:t>
            </w:r>
          </w:p>
        </w:tc>
      </w:tr>
      <w:tr>
        <w:tc>
          <w:tcPr>
            <w:tcMar>
              <w:top w:type="dxa" w:w="70"/>
              <w:left w:type="dxa" w:w="85"/>
              <w:bottom w:type="dxa" w:w="70"/>
              <w:right w:type="dxa" w:w="85"/>
            </w:tcMar>
          </w:tcPr>
          <w:p>
            <w:r>
              <w:rPr>
                <w:rFonts w:ascii="Aptos" w:cs="Aptos" w:eastAsia="Aptos" w:hAnsi="Aptos"/>
                <w:b w:val="false"/>
                <w:bCs w:val="false"/>
                <w:color w:val="1F2937"/>
                <w:sz w:val="16"/>
                <w:szCs w:val="16"/>
              </w:rPr>
              <w:t xml:space="preserve">DEMO-14</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RECOMMENDED</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SPECIFIED IN THIS CLARIFICATION</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PARTIALLY PRESENT IN SOURCE</w:t>
            </w:r>
          </w:p>
        </w:tc>
        <w:tc>
          <w:tcPr>
            <w:tcMar>
              <w:top w:type="dxa" w:w="70"/>
              <w:left w:type="dxa" w:w="85"/>
              <w:bottom w:type="dxa" w:w="70"/>
              <w:right w:type="dxa" w:w="85"/>
            </w:tcMar>
          </w:tcPr>
          <w:p>
            <w:r>
              <w:rPr>
                <w:rFonts w:ascii="Aptos" w:cs="Aptos" w:eastAsia="Aptos" w:hAnsi="Aptos"/>
                <w:b w:val="false"/>
                <w:bCs w:val="false"/>
                <w:color w:val="1F2937"/>
                <w:sz w:val="16"/>
                <w:szCs w:val="16"/>
              </w:rPr>
              <w:t xml:space="preserve">EXISTING GATE ONLY; NEW SCOPE NOT TESTED</w:t>
            </w:r>
          </w:p>
        </w:tc>
      </w:tr>
    </w:tbl>
    <w:p>
      <w:pPr>
        <w:spacing w:after="35" w:line="285"/>
      </w:pPr>
      <w:r>
        <w:rPr>
          <w:rFonts w:ascii="Aptos" w:cs="Aptos" w:eastAsia="Aptos" w:hAnsi="Aptos"/>
          <w:color w:val="1F2937"/>
          <w:sz w:val="21"/>
          <w:szCs w:val="21"/>
        </w:rPr>
        <w:t xml:space="preserve"/>
      </w:r>
    </w:p>
    <w:p>
      <w:pPr>
        <w:pStyle w:val="Heading1"/>
        <w:spacing w:after="85" w:before="220"/>
      </w:pPr>
      <w:r>
        <w:rPr>
          <w:rFonts w:ascii="Aptos Display" w:cs="Aptos Display" w:eastAsia="Aptos Display" w:hAnsi="Aptos Display"/>
          <w:b/>
          <w:bCs/>
          <w:color w:val="17365D"/>
        </w:rPr>
        <w:t xml:space="preserve">7. Final Recommendation</w:t>
      </w:r>
    </w:p>
    <w:p>
      <w:pPr>
        <w:spacing w:after="115" w:line="285"/>
      </w:pPr>
      <w:r>
        <w:rPr>
          <w:rFonts w:ascii="Aptos" w:cs="Aptos" w:eastAsia="Aptos" w:hAnsi="Aptos"/>
          <w:b/>
          <w:bCs/>
          <w:color w:val="17365D"/>
          <w:sz w:val="21"/>
          <w:szCs w:val="21"/>
        </w:rPr>
        <w:t xml:space="preserve">Add DEMO-13 and DEMO-14 to the master recommendation and expand the traceability baseline from 12 to 14 FSDs.</w:t>
      </w:r>
    </w:p>
    <w:p>
      <w:pPr>
        <w:spacing w:after="115" w:line="285"/>
      </w:pPr>
      <w:r>
        <w:rPr>
          <w:rFonts w:ascii="Aptos" w:cs="Aptos" w:eastAsia="Aptos" w:hAnsi="Aptos"/>
          <w:color w:val="1F2937"/>
          <w:sz w:val="21"/>
          <w:szCs w:val="21"/>
        </w:rPr>
        <w:t xml:space="preserve">DEMO-13 should establish a separate, evidence-based and immutable revenue-recognition ledger with Finance control, reversal-based correction and controlled migration from BillingMilestone-derived history.</w:t>
      </w:r>
    </w:p>
    <w:p>
      <w:pPr>
        <w:spacing w:after="115" w:line="285"/>
      </w:pPr>
      <w:r>
        <w:rPr>
          <w:rFonts w:ascii="Aptos" w:cs="Aptos" w:eastAsia="Aptos" w:hAnsi="Aptos"/>
          <w:color w:val="1F2937"/>
          <w:sz w:val="21"/>
          <w:szCs w:val="21"/>
        </w:rPr>
        <w:t xml:space="preserve">DEMO-14 should consolidate and strengthen the activation gate already present in SecureProfit Hub, reuse approved commercial snapshots, apply explicit Project-kind rules, and atomically initialize the Project baseline.</w:t>
      </w:r>
    </w:p>
    <w:p>
      <w:pPr>
        <w:spacing w:after="115" w:line="285"/>
      </w:pPr>
      <w:r>
        <w:rPr>
          <w:rFonts w:ascii="Aptos" w:cs="Aptos" w:eastAsia="Aptos" w:hAnsi="Aptos"/>
          <w:b/>
          <w:bCs/>
          <w:color w:val="92400E"/>
          <w:sz w:val="21"/>
          <w:szCs w:val="21"/>
        </w:rPr>
        <w:t xml:space="preserve">This document defines the recommended decision and target design. It does not claim that either FSD has been implemented or tested.</w:t>
      </w:r>
    </w:p>
    <w:sectPr>
      <w:headerReference w:type="default" r:id="rId7"/>
      <w:footerReference w:type="default" r:id="rId8"/>
      <w:pgSz w:w="11906" w:h="16838" w:orient="portrait"/>
      <w:pgMar w:top="760" w:right="780" w:bottom="7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4"/>
        <w:szCs w:val="14"/>
      </w:rPr>
      <w:t xml:space="preserve">SPH-REC-CLARIF-DEMO-13-14 — Recommended Technical Baseline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4"/>
        <w:szCs w:val="14"/>
      </w:rPr>
      <w:t xml:space="preserve">SECUREPROFIT HUB — DEMO-13 / DEMO-14 CLARIFICATION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DEMO-13 and DEMO-14 Recommendation and Clarification Baseline</dc:title>
  <dc:subject>Decision, rationale, technical reference and traceability for two additional FSDs</dc:subject>
  <dc:creator>SecureProfit Hub Review</dc:creator>
  <cp:lastModifiedBy>Un-named</cp:lastModifiedBy>
  <cp:revision>1</cp:revision>
  <dcterms:created xsi:type="dcterms:W3CDTF">2026-09-03T02:35:38.490Z</dcterms:created>
  <dcterms:modified xsi:type="dcterms:W3CDTF">2026-09-03T02:35:38.508Z</dcterms:modified>
</cp:coreProperties>
</file>

<file path=docProps/custom.xml><?xml version="1.0" encoding="utf-8"?>
<Properties xmlns="http://schemas.openxmlformats.org/officeDocument/2006/custom-properties" xmlns:vt="http://schemas.openxmlformats.org/officeDocument/2006/docPropsVTypes"/>
</file>