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60"/>
      </w:pPr>
      <w:r>
        <w:rPr>
          <w:b/>
          <w:color w:val="102C57"/>
          <w:sz w:val="40"/>
        </w:rPr>
        <w:t>Master Recommendation Clarification &amp; Go/No-Go Coverage Record</w:t>
      </w:r>
    </w:p>
    <w:p>
      <w:pPr>
        <w:spacing w:after="100" w:before="40"/>
      </w:pPr>
      <w:r>
        <w:rPr>
          <w:b/>
          <w:sz w:val="21"/>
        </w:rPr>
        <w:t>Document Title</w:t>
      </w:r>
      <w:r>
        <w:rPr>
          <w:sz w:val="21"/>
        </w:rPr>
        <w:t xml:space="preserve">: SecureProfit Hub (SPH) — 12 FSD Master Recommendation Clarification &amp; Go/No-Go Verification  </w:t>
      </w:r>
    </w:p>
    <w:p>
      <w:pPr>
        <w:spacing w:after="100" w:before="40"/>
      </w:pPr>
      <w:r>
        <w:rPr>
          <w:b/>
          <w:sz w:val="21"/>
        </w:rPr>
        <w:t>Artifact ID</w:t>
      </w:r>
      <w:r>
        <w:rPr>
          <w:sz w:val="21"/>
        </w:rPr>
        <w:t xml:space="preserve">: </w:t>
      </w:r>
      <w:r>
        <w:rPr>
          <w:rFonts w:ascii="Consolas" w:hAnsi="Consolas"/>
          <w:color w:val="B42828"/>
          <w:sz w:val="21"/>
        </w:rPr>
        <w:t>SPH-REC-CLARIF-01</w:t>
      </w:r>
      <w:r>
        <w:rPr>
          <w:sz w:val="21"/>
        </w:rPr>
        <w:t xml:space="preserve">  </w:t>
      </w:r>
    </w:p>
    <w:p>
      <w:pPr>
        <w:spacing w:after="100" w:before="40"/>
      </w:pPr>
      <w:r>
        <w:rPr>
          <w:b/>
          <w:sz w:val="21"/>
        </w:rPr>
        <w:t>Current Version</w:t>
      </w:r>
      <w:r>
        <w:rPr>
          <w:sz w:val="21"/>
        </w:rPr>
        <w:t xml:space="preserve">: </w:t>
      </w:r>
      <w:r>
        <w:rPr>
          <w:rFonts w:ascii="Consolas" w:hAnsi="Consolas"/>
          <w:color w:val="B42828"/>
          <w:sz w:val="21"/>
        </w:rPr>
        <w:t>v0.08</w:t>
      </w:r>
      <w:r>
        <w:rPr>
          <w:sz w:val="21"/>
        </w:rPr>
        <w:t xml:space="preserve"> (Final Decision Baseline Candidate — Ready for v1.00 Sign-Off)  </w:t>
      </w:r>
    </w:p>
    <w:p>
      <w:pPr>
        <w:spacing w:after="100" w:before="40"/>
      </w:pPr>
      <w:r>
        <w:rPr>
          <w:b/>
          <w:sz w:val="21"/>
        </w:rPr>
        <w:t>Status</w:t>
      </w:r>
      <w:r>
        <w:rPr>
          <w:sz w:val="21"/>
        </w:rPr>
        <w:t xml:space="preserve">: </w:t>
      </w:r>
      <w:r>
        <w:rPr>
          <w:rFonts w:ascii="Consolas" w:hAnsi="Consolas"/>
          <w:color w:val="B42828"/>
          <w:sz w:val="21"/>
        </w:rPr>
        <w:t>Decision Baseline Candidate — Pending Final Stakeholder Sign-Off</w:t>
      </w:r>
      <w:r>
        <w:rPr>
          <w:sz w:val="21"/>
        </w:rPr>
        <w:t xml:space="preserve">  </w:t>
      </w:r>
    </w:p>
    <w:p>
      <w:pPr>
        <w:spacing w:after="100" w:before="40"/>
      </w:pPr>
      <w:r>
        <w:rPr>
          <w:b/>
          <w:sz w:val="21"/>
        </w:rPr>
        <w:t>Source Baseline Reference</w:t>
      </w:r>
      <w:r>
        <w:rPr>
          <w:sz w:val="21"/>
        </w:rPr>
        <w:t xml:space="preserve">: </w:t>
      </w:r>
      <w:r>
        <w:rPr>
          <w:rFonts w:ascii="Consolas" w:hAnsi="Consolas"/>
          <w:color w:val="B42828"/>
          <w:sz w:val="21"/>
        </w:rPr>
        <w:t>Knowledge repository (read-only)/SecureProfitHub/Source code - 20 Aug 2026</w:t>
      </w:r>
      <w:r>
        <w:rPr>
          <w:sz w:val="21"/>
        </w:rPr>
        <w:t xml:space="preserve"> (Commit </w:t>
      </w:r>
      <w:r>
        <w:rPr>
          <w:rFonts w:ascii="Consolas" w:hAnsi="Consolas"/>
          <w:color w:val="B42828"/>
          <w:sz w:val="21"/>
        </w:rPr>
        <w:t>c7080af</w:t>
      </w:r>
      <w:r>
        <w:rPr>
          <w:sz w:val="21"/>
        </w:rPr>
        <w:t xml:space="preserve">)  </w:t>
      </w:r>
    </w:p>
    <w:p>
      <w:pPr>
        <w:spacing w:after="100" w:before="40"/>
      </w:pPr>
      <w:r>
        <w:rPr>
          <w:b/>
          <w:sz w:val="21"/>
        </w:rPr>
        <w:t>Primary Master Audit</w:t>
      </w:r>
      <w:r>
        <w:rPr>
          <w:sz w:val="21"/>
        </w:rPr>
        <w:t xml:space="preserve">: </w:t>
      </w:r>
      <w:r>
        <w:rPr>
          <w:rFonts w:ascii="Consolas" w:hAnsi="Consolas"/>
          <w:color w:val="B42828"/>
          <w:sz w:val="21"/>
        </w:rPr>
        <w:t>SecureProfit-Hub-Master-Recommendation-All-12-FSD-ID-2026-08.docx</w:t>
      </w:r>
      <w:r>
        <w:rPr>
          <w:sz w:val="21"/>
        </w:rPr>
        <w:t xml:space="preserve"> (Version 2.0, 30 August 2026)  </w:t>
      </w:r>
    </w:p>
    <w:p>
      <w:pPr>
        <w:spacing w:after="100" w:before="40"/>
      </w:pPr>
      <w:r>
        <w:rPr>
          <w:b/>
          <w:sz w:val="21"/>
        </w:rPr>
        <w:t>Author Review 1 Feedback</w:t>
      </w:r>
      <w:r>
        <w:rPr>
          <w:sz w:val="21"/>
        </w:rPr>
        <w:t xml:space="preserve">: </w:t>
      </w:r>
      <w:r>
        <w:rPr>
          <w:rFonts w:ascii="Consolas" w:hAnsi="Consolas"/>
          <w:color w:val="B42828"/>
          <w:sz w:val="21"/>
        </w:rPr>
        <w:t>SPH-12-FSD-Required-Revisions-Response-ID.docx</w:t>
      </w:r>
      <w:r>
        <w:rPr>
          <w:sz w:val="21"/>
        </w:rPr>
        <w:t xml:space="preserve"> (Dated 31 August 2026)  </w:t>
      </w:r>
    </w:p>
    <w:p>
      <w:pPr>
        <w:spacing w:after="100" w:before="40"/>
      </w:pPr>
      <w:r>
        <w:rPr>
          <w:b/>
          <w:sz w:val="21"/>
        </w:rPr>
        <w:t>Author Review 2 Feedback</w:t>
      </w:r>
      <w:r>
        <w:rPr>
          <w:sz w:val="21"/>
        </w:rPr>
        <w:t xml:space="preserve">: </w:t>
      </w:r>
      <w:r>
        <w:rPr>
          <w:rFonts w:ascii="Consolas" w:hAnsi="Consolas"/>
          <w:color w:val="B42828"/>
          <w:sz w:val="21"/>
        </w:rPr>
        <w:t>SPH-12-FSD-v0.06-Review-and-Remaining-Revisions-ID -2.docx</w:t>
      </w:r>
      <w:r>
        <w:rPr>
          <w:sz w:val="21"/>
        </w:rPr>
        <w:t xml:space="preserve"> (Dated 1 September 2026)  </w:t>
      </w:r>
    </w:p>
    <w:p>
      <w:pPr>
        <w:spacing w:after="100" w:before="40"/>
      </w:pPr>
      <w:r>
        <w:rPr>
          <w:b/>
          <w:sz w:val="21"/>
        </w:rPr>
        <w:t>Final Author Review Feedback</w:t>
      </w:r>
      <w:r>
        <w:rPr>
          <w:sz w:val="21"/>
        </w:rPr>
        <w:t xml:space="preserve">: </w:t>
      </w:r>
      <w:r>
        <w:rPr>
          <w:rFonts w:ascii="Consolas" w:hAnsi="Consolas"/>
          <w:color w:val="B42828"/>
          <w:sz w:val="21"/>
        </w:rPr>
        <w:t>SPH-12-FSD-v0.07-Final-Pre-Signoff-Review-ID.docx</w:t>
      </w:r>
      <w:r>
        <w:rPr>
          <w:sz w:val="21"/>
        </w:rPr>
        <w:t xml:space="preserve"> (Dated 1 September 2026)  </w:t>
      </w:r>
    </w:p>
    <w:p>
      <w:pPr>
        <w:spacing w:after="100" w:before="40"/>
      </w:pPr>
      <w:r>
        <w:rPr>
          <w:b/>
          <w:sz w:val="21"/>
        </w:rPr>
        <w:t>Target Working Artifacts Location</w:t>
      </w:r>
      <w:r>
        <w:rPr>
          <w:sz w:val="21"/>
        </w:rPr>
        <w:t xml:space="preserve">: </w:t>
      </w:r>
      <w:r>
        <w:rPr>
          <w:rFonts w:ascii="Consolas" w:hAnsi="Consolas"/>
          <w:color w:val="B42828"/>
          <w:sz w:val="21"/>
        </w:rPr>
        <w:t>SAP Activate artifacts/Activate - SPH/10_Working Artifacts/</w:t>
      </w:r>
      <w:r>
        <w:rPr>
          <w:sz w:val="21"/>
        </w:rPr>
        <w:t xml:space="preserve">  </w:t>
      </w:r>
    </w:p>
    <w:p>
      <w:pPr>
        <w:spacing w:after="100" w:before="40"/>
      </w:pPr>
      <w:r>
        <w:rPr>
          <w:b/>
          <w:sz w:val="21"/>
        </w:rPr>
        <w:t>Date</w:t>
      </w:r>
      <w:r>
        <w:rPr>
          <w:sz w:val="21"/>
        </w:rPr>
        <w:t xml:space="preserve">: 1 September 2026  </w:t>
      </w:r>
    </w:p>
    <w:p>
      <w:pPr>
        <w:pStyle w:val="Heading2"/>
        <w:spacing w:before="280" w:after="120"/>
      </w:pPr>
      <w:r>
        <w:rPr>
          <w:b/>
          <w:color w:val="1E56A0"/>
          <w:sz w:val="30"/>
        </w:rPr>
        <w:t>📜 Document Control &amp; Revision History</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EAECF0"/>
          <w:insideV w:val="none"/>
          <w:left w:val="none"/>
          <w:right w:val="none"/>
        </w:tblBorders>
      </w:tblPr>
      <w:tblGrid>
        <w:gridCol w:w="1872"/>
        <w:gridCol w:w="1872"/>
        <w:gridCol w:w="1872"/>
        <w:gridCol w:w="1872"/>
        <w:gridCol w:w="1872"/>
      </w:tblGrid>
      <w:tr>
        <w:tc>
          <w:tcPr>
            <w:tcW w:type="dxa" w:w="1872"/>
            <w:tcMar>
              <w:top w:w="80" w:type="dxa"/>
              <w:bottom w:w="80" w:type="dxa"/>
              <w:left w:w="120" w:type="dxa"/>
              <w:right w:w="120" w:type="dxa"/>
            </w:tcMar>
            <w:shd w:fill="F0F4F8"/>
          </w:tcPr>
          <w:p>
            <w:pPr>
              <w:spacing w:before="40" w:after="40"/>
            </w:pPr>
            <w:r>
              <w:rPr>
                <w:b/>
                <w:color w:val="102C57"/>
                <w:sz w:val="20"/>
              </w:rPr>
              <w:t>Version</w:t>
            </w:r>
          </w:p>
        </w:tc>
        <w:tc>
          <w:tcPr>
            <w:tcW w:type="dxa" w:w="1872"/>
            <w:tcMar>
              <w:top w:w="80" w:type="dxa"/>
              <w:bottom w:w="80" w:type="dxa"/>
              <w:left w:w="120" w:type="dxa"/>
              <w:right w:w="120" w:type="dxa"/>
            </w:tcMar>
            <w:shd w:fill="F0F4F8"/>
          </w:tcPr>
          <w:p>
            <w:pPr>
              <w:spacing w:before="40" w:after="40"/>
            </w:pPr>
            <w:r>
              <w:rPr>
                <w:b/>
                <w:color w:val="102C57"/>
                <w:sz w:val="20"/>
              </w:rPr>
              <w:t>Release Date</w:t>
            </w:r>
          </w:p>
        </w:tc>
        <w:tc>
          <w:tcPr>
            <w:tcW w:type="dxa" w:w="1872"/>
            <w:tcMar>
              <w:top w:w="80" w:type="dxa"/>
              <w:bottom w:w="80" w:type="dxa"/>
              <w:left w:w="120" w:type="dxa"/>
              <w:right w:w="120" w:type="dxa"/>
            </w:tcMar>
            <w:shd w:fill="F0F4F8"/>
          </w:tcPr>
          <w:p>
            <w:pPr>
              <w:spacing w:before="40" w:after="40"/>
            </w:pPr>
            <w:r>
              <w:rPr>
                <w:b/>
                <w:color w:val="102C57"/>
                <w:sz w:val="20"/>
              </w:rPr>
              <w:t>Author / Role</w:t>
            </w:r>
          </w:p>
        </w:tc>
        <w:tc>
          <w:tcPr>
            <w:tcW w:type="dxa" w:w="1872"/>
            <w:tcMar>
              <w:top w:w="80" w:type="dxa"/>
              <w:bottom w:w="80" w:type="dxa"/>
              <w:left w:w="120" w:type="dxa"/>
              <w:right w:w="120" w:type="dxa"/>
            </w:tcMar>
            <w:shd w:fill="F0F4F8"/>
          </w:tcPr>
          <w:p>
            <w:pPr>
              <w:spacing w:before="40" w:after="40"/>
            </w:pPr>
            <w:r>
              <w:rPr>
                <w:b/>
                <w:color w:val="102C57"/>
                <w:sz w:val="20"/>
              </w:rPr>
              <w:t>Summary of Changes / Evolution &amp; Source Reference</w:t>
            </w:r>
          </w:p>
        </w:tc>
        <w:tc>
          <w:tcPr>
            <w:tcW w:type="dxa" w:w="1872"/>
            <w:tcMar>
              <w:top w:w="80" w:type="dxa"/>
              <w:bottom w:w="80" w:type="dxa"/>
              <w:left w:w="120" w:type="dxa"/>
              <w:right w:w="120" w:type="dxa"/>
            </w:tcMar>
            <w:shd w:fill="F0F4F8"/>
          </w:tcPr>
          <w:p>
            <w:pPr>
              <w:spacing w:before="40" w:after="40"/>
            </w:pPr>
            <w:r>
              <w:rPr>
                <w:b/>
                <w:color w:val="102C57"/>
                <w:sz w:val="20"/>
              </w:rPr>
              <w:t>Status</w:t>
            </w:r>
          </w:p>
        </w:tc>
      </w:tr>
      <w:tr>
        <w:tc>
          <w:tcPr>
            <w:tcW w:type="dxa" w:w="1872"/>
            <w:tcMar>
              <w:top w:w="80" w:type="dxa"/>
              <w:bottom w:w="80" w:type="dxa"/>
              <w:left w:w="120" w:type="dxa"/>
              <w:right w:w="120" w:type="dxa"/>
            </w:tcMar>
            <w:shd w:fill="FFFFFF"/>
          </w:tcPr>
          <w:p>
            <w:pPr>
              <w:spacing w:before="40" w:after="40"/>
            </w:pPr>
            <w:r>
              <w:rPr>
                <w:b/>
                <w:sz w:val="19"/>
              </w:rPr>
              <w:t>`v0.01`</w:t>
            </w:r>
          </w:p>
        </w:tc>
        <w:tc>
          <w:tcPr>
            <w:tcW w:type="dxa" w:w="1872"/>
            <w:tcMar>
              <w:top w:w="80" w:type="dxa"/>
              <w:bottom w:w="80" w:type="dxa"/>
              <w:left w:w="120" w:type="dxa"/>
              <w:right w:w="120" w:type="dxa"/>
            </w:tcMar>
            <w:shd w:fill="FFFFFF"/>
          </w:tcPr>
          <w:p>
            <w:pPr>
              <w:spacing w:before="40" w:after="40"/>
            </w:pPr>
            <w:r>
              <w:rPr>
                <w:sz w:val="19"/>
              </w:rPr>
              <w:t>31 Aug 2026</w:t>
            </w:r>
          </w:p>
        </w:tc>
        <w:tc>
          <w:tcPr>
            <w:tcW w:type="dxa" w:w="1872"/>
            <w:tcMar>
              <w:top w:w="80" w:type="dxa"/>
              <w:bottom w:w="80" w:type="dxa"/>
              <w:left w:w="120" w:type="dxa"/>
              <w:right w:w="120" w:type="dxa"/>
            </w:tcMar>
            <w:shd w:fill="FFFFFF"/>
          </w:tcPr>
          <w:p>
            <w:pPr>
              <w:spacing w:before="40" w:after="40"/>
            </w:pPr>
            <w:r>
              <w:rPr>
                <w:sz w:val="19"/>
              </w:rPr>
              <w:t>Enterprise Solution Architect</w:t>
            </w:r>
          </w:p>
        </w:tc>
        <w:tc>
          <w:tcPr>
            <w:tcW w:type="dxa" w:w="1872"/>
            <w:tcMar>
              <w:top w:w="80" w:type="dxa"/>
              <w:bottom w:w="80" w:type="dxa"/>
              <w:left w:w="120" w:type="dxa"/>
              <w:right w:w="120" w:type="dxa"/>
            </w:tcMar>
            <w:shd w:fill="FFFFFF"/>
          </w:tcPr>
          <w:p>
            <w:pPr>
              <w:spacing w:before="40" w:after="40"/>
            </w:pPr>
            <w:r>
              <w:rPr>
                <w:sz w:val="19"/>
              </w:rPr>
              <w:t xml:space="preserve">Initial synthesis of all 21 Open Clarification Questions from Section 16 of the Master Rec document with Bahasa Indonesia source, English translations, simplest-term summaries, best-practice resolutions, and Go/No-Go coverage matrix. </w:t>
            </w:r>
            <w:r>
              <w:rPr>
                <w:i/>
                <w:sz w:val="19"/>
              </w:rPr>
              <w:t>(Source: Master Rec Document v2.0)</w:t>
            </w:r>
          </w:p>
        </w:tc>
        <w:tc>
          <w:tcPr>
            <w:tcW w:type="dxa" w:w="1872"/>
            <w:tcMar>
              <w:top w:w="80" w:type="dxa"/>
              <w:bottom w:w="80" w:type="dxa"/>
              <w:left w:w="120" w:type="dxa"/>
              <w:right w:w="120" w:type="dxa"/>
            </w:tcMar>
            <w:shd w:fill="FFFFFF"/>
          </w:tcPr>
          <w:p>
            <w:pPr>
              <w:spacing w:before="40" w:after="40"/>
            </w:pPr>
            <w:r>
              <w:rPr>
                <w:sz w:val="19"/>
              </w:rPr>
              <w:t>Superseded</w:t>
            </w:r>
          </w:p>
        </w:tc>
      </w:tr>
      <w:tr>
        <w:tc>
          <w:tcPr>
            <w:tcW w:type="dxa" w:w="1872"/>
            <w:tcMar>
              <w:top w:w="80" w:type="dxa"/>
              <w:bottom w:w="80" w:type="dxa"/>
              <w:left w:w="120" w:type="dxa"/>
              <w:right w:w="120" w:type="dxa"/>
            </w:tcMar>
            <w:shd w:fill="F9FAFB"/>
          </w:tcPr>
          <w:p>
            <w:pPr>
              <w:spacing w:before="40" w:after="40"/>
            </w:pPr>
            <w:r>
              <w:rPr>
                <w:b/>
                <w:sz w:val="19"/>
              </w:rPr>
              <w:t>`v0.02`</w:t>
            </w:r>
          </w:p>
        </w:tc>
        <w:tc>
          <w:tcPr>
            <w:tcW w:type="dxa" w:w="1872"/>
            <w:tcMar>
              <w:top w:w="80" w:type="dxa"/>
              <w:bottom w:w="80" w:type="dxa"/>
              <w:left w:w="120" w:type="dxa"/>
              <w:right w:w="120" w:type="dxa"/>
            </w:tcMar>
            <w:shd w:fill="F9FAFB"/>
          </w:tcPr>
          <w:p>
            <w:pPr>
              <w:spacing w:before="40" w:after="40"/>
            </w:pPr>
            <w:r>
              <w:rPr>
                <w:sz w:val="19"/>
              </w:rPr>
              <w:t>31 Aug 2026</w:t>
            </w:r>
          </w:p>
        </w:tc>
        <w:tc>
          <w:tcPr>
            <w:tcW w:type="dxa" w:w="1872"/>
            <w:tcMar>
              <w:top w:w="80" w:type="dxa"/>
              <w:bottom w:w="80" w:type="dxa"/>
              <w:left w:w="120" w:type="dxa"/>
              <w:right w:w="120" w:type="dxa"/>
            </w:tcMar>
            <w:shd w:fill="F9FAFB"/>
          </w:tcPr>
          <w:p>
            <w:pPr>
              <w:spacing w:before="40" w:after="40"/>
            </w:pPr>
            <w:r>
              <w:rPr>
                <w:sz w:val="19"/>
              </w:rPr>
              <w:t>Enterprise Solution Architect</w:t>
            </w:r>
          </w:p>
        </w:tc>
        <w:tc>
          <w:tcPr>
            <w:tcW w:type="dxa" w:w="1872"/>
            <w:tcMar>
              <w:top w:w="80" w:type="dxa"/>
              <w:bottom w:w="80" w:type="dxa"/>
              <w:left w:w="120" w:type="dxa"/>
              <w:right w:w="120" w:type="dxa"/>
            </w:tcMar>
            <w:shd w:fill="F9FAFB"/>
          </w:tcPr>
          <w:p>
            <w:pPr>
              <w:spacing w:before="40" w:after="40"/>
            </w:pPr>
            <w:r>
              <w:rPr>
                <w:sz w:val="19"/>
              </w:rPr>
              <w:t xml:space="preserve">Deep architectural expansion adding Prisma DDL models, Express API contracts, HTTP error codes, KaTeX mathematical formulas (PPN 11%, Gross Margin %, NRR, EVM), and Separation of Duties (SoD) rules. </w:t>
            </w:r>
            <w:r>
              <w:rPr>
                <w:i/>
                <w:sz w:val="19"/>
              </w:rPr>
              <w:t>(Source: Codebase c7080af Audit)</w:t>
            </w:r>
          </w:p>
        </w:tc>
        <w:tc>
          <w:tcPr>
            <w:tcW w:type="dxa" w:w="1872"/>
            <w:tcMar>
              <w:top w:w="80" w:type="dxa"/>
              <w:bottom w:w="80" w:type="dxa"/>
              <w:left w:w="120" w:type="dxa"/>
              <w:right w:w="120" w:type="dxa"/>
            </w:tcMar>
            <w:shd w:fill="F9FAFB"/>
          </w:tcPr>
          <w:p>
            <w:pPr>
              <w:spacing w:before="40" w:after="40"/>
            </w:pPr>
            <w:r>
              <w:rPr>
                <w:sz w:val="19"/>
              </w:rPr>
              <w:t>Superseded</w:t>
            </w:r>
          </w:p>
        </w:tc>
      </w:tr>
      <w:tr>
        <w:tc>
          <w:tcPr>
            <w:tcW w:type="dxa" w:w="1872"/>
            <w:tcMar>
              <w:top w:w="80" w:type="dxa"/>
              <w:bottom w:w="80" w:type="dxa"/>
              <w:left w:w="120" w:type="dxa"/>
              <w:right w:w="120" w:type="dxa"/>
            </w:tcMar>
            <w:shd w:fill="FFFFFF"/>
          </w:tcPr>
          <w:p>
            <w:pPr>
              <w:spacing w:before="40" w:after="40"/>
            </w:pPr>
            <w:r>
              <w:rPr>
                <w:b/>
                <w:sz w:val="19"/>
              </w:rPr>
              <w:t>`v0.03`</w:t>
            </w:r>
          </w:p>
        </w:tc>
        <w:tc>
          <w:tcPr>
            <w:tcW w:type="dxa" w:w="1872"/>
            <w:tcMar>
              <w:top w:w="80" w:type="dxa"/>
              <w:bottom w:w="80" w:type="dxa"/>
              <w:left w:w="120" w:type="dxa"/>
              <w:right w:w="120" w:type="dxa"/>
            </w:tcMar>
            <w:shd w:fill="FFFFFF"/>
          </w:tcPr>
          <w:p>
            <w:pPr>
              <w:spacing w:before="40" w:after="40"/>
            </w:pPr>
            <w:r>
              <w:rPr>
                <w:sz w:val="19"/>
              </w:rPr>
              <w:t>31 Aug 2026</w:t>
            </w:r>
          </w:p>
        </w:tc>
        <w:tc>
          <w:tcPr>
            <w:tcW w:type="dxa" w:w="1872"/>
            <w:tcMar>
              <w:top w:w="80" w:type="dxa"/>
              <w:bottom w:w="80" w:type="dxa"/>
              <w:left w:w="120" w:type="dxa"/>
              <w:right w:w="120" w:type="dxa"/>
            </w:tcMar>
            <w:shd w:fill="FFFFFF"/>
          </w:tcPr>
          <w:p>
            <w:pPr>
              <w:spacing w:before="40" w:after="40"/>
            </w:pPr>
            <w:r>
              <w:rPr>
                <w:sz w:val="19"/>
              </w:rPr>
              <w:t>Enterprise Solution Architect</w:t>
            </w:r>
          </w:p>
        </w:tc>
        <w:tc>
          <w:tcPr>
            <w:tcW w:type="dxa" w:w="1872"/>
            <w:tcMar>
              <w:top w:w="80" w:type="dxa"/>
              <w:bottom w:w="80" w:type="dxa"/>
              <w:left w:w="120" w:type="dxa"/>
              <w:right w:w="120" w:type="dxa"/>
            </w:tcMar>
            <w:shd w:fill="FFFFFF"/>
          </w:tcPr>
          <w:p>
            <w:pPr>
              <w:spacing w:before="40" w:after="40"/>
            </w:pPr>
            <w:r>
              <w:rPr>
                <w:sz w:val="19"/>
              </w:rPr>
              <w:t xml:space="preserve">Introduced dedicated, prominent </w:t>
            </w:r>
            <w:r>
              <w:rPr>
                <w:b/>
                <w:sz w:val="19"/>
              </w:rPr>
              <w:t>"Proposed Decision &amp; Business Rationale"</w:t>
            </w:r>
            <w:r>
              <w:rPr>
                <w:sz w:val="19"/>
              </w:rPr>
              <w:t xml:space="preserve"> blocks (Decisions 1.1 to 9.1) with narrative plain-English descriptions preceding all technical specifications. </w:t>
            </w:r>
            <w:r>
              <w:rPr>
                <w:i/>
                <w:sz w:val="19"/>
              </w:rPr>
              <w:t>(Source: Stakeholder Design Directives)</w:t>
            </w:r>
          </w:p>
        </w:tc>
        <w:tc>
          <w:tcPr>
            <w:tcW w:type="dxa" w:w="1872"/>
            <w:tcMar>
              <w:top w:w="80" w:type="dxa"/>
              <w:bottom w:w="80" w:type="dxa"/>
              <w:left w:w="120" w:type="dxa"/>
              <w:right w:w="120" w:type="dxa"/>
            </w:tcMar>
            <w:shd w:fill="FFFFFF"/>
          </w:tcPr>
          <w:p>
            <w:pPr>
              <w:spacing w:before="40" w:after="40"/>
            </w:pPr>
            <w:r>
              <w:rPr>
                <w:sz w:val="19"/>
              </w:rPr>
              <w:t>Superseded</w:t>
            </w:r>
          </w:p>
        </w:tc>
      </w:tr>
      <w:tr>
        <w:tc>
          <w:tcPr>
            <w:tcW w:type="dxa" w:w="1872"/>
            <w:tcMar>
              <w:top w:w="80" w:type="dxa"/>
              <w:bottom w:w="80" w:type="dxa"/>
              <w:left w:w="120" w:type="dxa"/>
              <w:right w:w="120" w:type="dxa"/>
            </w:tcMar>
            <w:shd w:fill="F9FAFB"/>
          </w:tcPr>
          <w:p>
            <w:pPr>
              <w:spacing w:before="40" w:after="40"/>
            </w:pPr>
            <w:r>
              <w:rPr>
                <w:b/>
                <w:sz w:val="19"/>
              </w:rPr>
              <w:t>`v0.04`</w:t>
            </w:r>
          </w:p>
        </w:tc>
        <w:tc>
          <w:tcPr>
            <w:tcW w:type="dxa" w:w="1872"/>
            <w:tcMar>
              <w:top w:w="80" w:type="dxa"/>
              <w:bottom w:w="80" w:type="dxa"/>
              <w:left w:w="120" w:type="dxa"/>
              <w:right w:w="120" w:type="dxa"/>
            </w:tcMar>
            <w:shd w:fill="F9FAFB"/>
          </w:tcPr>
          <w:p>
            <w:pPr>
              <w:spacing w:before="40" w:after="40"/>
            </w:pPr>
            <w:r>
              <w:rPr>
                <w:sz w:val="19"/>
              </w:rPr>
              <w:t>31 Aug 2026</w:t>
            </w:r>
          </w:p>
        </w:tc>
        <w:tc>
          <w:tcPr>
            <w:tcW w:type="dxa" w:w="1872"/>
            <w:tcMar>
              <w:top w:w="80" w:type="dxa"/>
              <w:bottom w:w="80" w:type="dxa"/>
              <w:left w:w="120" w:type="dxa"/>
              <w:right w:w="120" w:type="dxa"/>
            </w:tcMar>
            <w:shd w:fill="F9FAFB"/>
          </w:tcPr>
          <w:p>
            <w:pPr>
              <w:spacing w:before="40" w:after="40"/>
            </w:pPr>
            <w:r>
              <w:rPr>
                <w:sz w:val="19"/>
              </w:rPr>
              <w:t>Enterprise Solution Architect</w:t>
            </w:r>
          </w:p>
        </w:tc>
        <w:tc>
          <w:tcPr>
            <w:tcW w:type="dxa" w:w="1872"/>
            <w:tcMar>
              <w:top w:w="80" w:type="dxa"/>
              <w:bottom w:w="80" w:type="dxa"/>
              <w:left w:w="120" w:type="dxa"/>
              <w:right w:w="120" w:type="dxa"/>
            </w:tcMar>
            <w:shd w:fill="F9FAFB"/>
          </w:tcPr>
          <w:p>
            <w:pPr>
              <w:spacing w:before="40" w:after="40"/>
            </w:pPr>
            <w:r>
              <w:rPr>
                <w:sz w:val="19"/>
              </w:rPr>
              <w:t xml:space="preserve">Explicitly designated all technical sections as </w:t>
            </w:r>
            <w:r>
              <w:rPr>
                <w:b/>
                <w:sz w:val="19"/>
              </w:rPr>
              <w:t>`(Optional / Reference Example)`</w:t>
            </w:r>
            <w:r>
              <w:rPr>
                <w:sz w:val="19"/>
              </w:rPr>
              <w:t xml:space="preserve">, clarifying that code snippets and schemas are illustrative reference patterns for the author/implementer. </w:t>
            </w:r>
            <w:r>
              <w:rPr>
                <w:i/>
                <w:sz w:val="19"/>
              </w:rPr>
              <w:t>(Source: Stakeholder Alignment)</w:t>
            </w:r>
          </w:p>
        </w:tc>
        <w:tc>
          <w:tcPr>
            <w:tcW w:type="dxa" w:w="1872"/>
            <w:tcMar>
              <w:top w:w="80" w:type="dxa"/>
              <w:bottom w:w="80" w:type="dxa"/>
              <w:left w:w="120" w:type="dxa"/>
              <w:right w:w="120" w:type="dxa"/>
            </w:tcMar>
            <w:shd w:fill="F9FAFB"/>
          </w:tcPr>
          <w:p>
            <w:pPr>
              <w:spacing w:before="40" w:after="40"/>
            </w:pPr>
            <w:r>
              <w:rPr>
                <w:sz w:val="19"/>
              </w:rPr>
              <w:t>Superseded</w:t>
            </w:r>
          </w:p>
        </w:tc>
      </w:tr>
      <w:tr>
        <w:tc>
          <w:tcPr>
            <w:tcW w:type="dxa" w:w="1872"/>
            <w:tcMar>
              <w:top w:w="80" w:type="dxa"/>
              <w:bottom w:w="80" w:type="dxa"/>
              <w:left w:w="120" w:type="dxa"/>
              <w:right w:w="120" w:type="dxa"/>
            </w:tcMar>
            <w:shd w:fill="FFFFFF"/>
          </w:tcPr>
          <w:p>
            <w:pPr>
              <w:spacing w:before="40" w:after="40"/>
            </w:pPr>
            <w:r>
              <w:rPr>
                <w:b/>
                <w:sz w:val="19"/>
              </w:rPr>
              <w:t>`v0.05`</w:t>
            </w:r>
          </w:p>
        </w:tc>
        <w:tc>
          <w:tcPr>
            <w:tcW w:type="dxa" w:w="1872"/>
            <w:tcMar>
              <w:top w:w="80" w:type="dxa"/>
              <w:bottom w:w="80" w:type="dxa"/>
              <w:left w:w="120" w:type="dxa"/>
              <w:right w:w="120" w:type="dxa"/>
            </w:tcMar>
            <w:shd w:fill="FFFFFF"/>
          </w:tcPr>
          <w:p>
            <w:pPr>
              <w:spacing w:before="40" w:after="40"/>
            </w:pPr>
            <w:r>
              <w:rPr>
                <w:sz w:val="19"/>
              </w:rPr>
              <w:t>31 Aug 2026</w:t>
            </w:r>
          </w:p>
        </w:tc>
        <w:tc>
          <w:tcPr>
            <w:tcW w:type="dxa" w:w="1872"/>
            <w:tcMar>
              <w:top w:w="80" w:type="dxa"/>
              <w:bottom w:w="80" w:type="dxa"/>
              <w:left w:w="120" w:type="dxa"/>
              <w:right w:w="120" w:type="dxa"/>
            </w:tcMar>
            <w:shd w:fill="FFFFFF"/>
          </w:tcPr>
          <w:p>
            <w:pPr>
              <w:spacing w:before="40" w:after="40"/>
            </w:pPr>
            <w:r>
              <w:rPr>
                <w:sz w:val="19"/>
              </w:rPr>
              <w:t>Enterprise Solution Architect</w:t>
            </w:r>
          </w:p>
        </w:tc>
        <w:tc>
          <w:tcPr>
            <w:tcW w:type="dxa" w:w="1872"/>
            <w:tcMar>
              <w:top w:w="80" w:type="dxa"/>
              <w:bottom w:w="80" w:type="dxa"/>
              <w:left w:w="120" w:type="dxa"/>
              <w:right w:w="120" w:type="dxa"/>
            </w:tcMar>
            <w:shd w:fill="FFFFFF"/>
          </w:tcPr>
          <w:p>
            <w:pPr>
              <w:spacing w:before="40" w:after="40"/>
            </w:pPr>
            <w:r>
              <w:rPr>
                <w:sz w:val="19"/>
              </w:rPr>
              <w:t xml:space="preserve">Integrated dedicated </w:t>
            </w:r>
            <w:r>
              <w:rPr>
                <w:b/>
                <w:sz w:val="19"/>
              </w:rPr>
              <w:t>`Operational Ambiguity &amp; Resolved Edge Case`</w:t>
            </w:r>
            <w:r>
              <w:rPr>
                <w:sz w:val="19"/>
              </w:rPr>
              <w:t xml:space="preserve"> blocks across all 21 items. </w:t>
            </w:r>
            <w:r>
              <w:rPr>
                <w:i/>
                <w:sz w:val="19"/>
              </w:rPr>
              <w:t>(Source: Operational Risk Audit)</w:t>
            </w:r>
          </w:p>
        </w:tc>
        <w:tc>
          <w:tcPr>
            <w:tcW w:type="dxa" w:w="1872"/>
            <w:tcMar>
              <w:top w:w="80" w:type="dxa"/>
              <w:bottom w:w="80" w:type="dxa"/>
              <w:left w:w="120" w:type="dxa"/>
              <w:right w:w="120" w:type="dxa"/>
            </w:tcMar>
            <w:shd w:fill="FFFFFF"/>
          </w:tcPr>
          <w:p>
            <w:pPr>
              <w:spacing w:before="40" w:after="40"/>
            </w:pPr>
            <w:r>
              <w:rPr>
                <w:sz w:val="19"/>
              </w:rPr>
              <w:t>Superseded</w:t>
            </w:r>
          </w:p>
        </w:tc>
      </w:tr>
      <w:tr>
        <w:tc>
          <w:tcPr>
            <w:tcW w:type="dxa" w:w="1872"/>
            <w:tcMar>
              <w:top w:w="80" w:type="dxa"/>
              <w:bottom w:w="80" w:type="dxa"/>
              <w:left w:w="120" w:type="dxa"/>
              <w:right w:w="120" w:type="dxa"/>
            </w:tcMar>
            <w:shd w:fill="F9FAFB"/>
          </w:tcPr>
          <w:p>
            <w:pPr>
              <w:spacing w:before="40" w:after="40"/>
            </w:pPr>
            <w:r>
              <w:rPr>
                <w:b/>
                <w:sz w:val="19"/>
              </w:rPr>
              <w:t>`v0.06`</w:t>
            </w:r>
          </w:p>
        </w:tc>
        <w:tc>
          <w:tcPr>
            <w:tcW w:type="dxa" w:w="1872"/>
            <w:tcMar>
              <w:top w:w="80" w:type="dxa"/>
              <w:bottom w:w="80" w:type="dxa"/>
              <w:left w:w="120" w:type="dxa"/>
              <w:right w:w="120" w:type="dxa"/>
            </w:tcMar>
            <w:shd w:fill="F9FAFB"/>
          </w:tcPr>
          <w:p>
            <w:pPr>
              <w:spacing w:before="40" w:after="40"/>
            </w:pPr>
            <w:r>
              <w:rPr>
                <w:sz w:val="19"/>
              </w:rPr>
              <w:t>1 Sep 2026</w:t>
            </w:r>
          </w:p>
        </w:tc>
        <w:tc>
          <w:tcPr>
            <w:tcW w:type="dxa" w:w="1872"/>
            <w:tcMar>
              <w:top w:w="80" w:type="dxa"/>
              <w:bottom w:w="80" w:type="dxa"/>
              <w:left w:w="120" w:type="dxa"/>
              <w:right w:w="120" w:type="dxa"/>
            </w:tcMar>
            <w:shd w:fill="F9FAFB"/>
          </w:tcPr>
          <w:p>
            <w:pPr>
              <w:spacing w:before="40" w:after="40"/>
            </w:pPr>
            <w:r>
              <w:rPr>
                <w:sz w:val="19"/>
              </w:rPr>
              <w:t>Enterprise Solution Architect</w:t>
            </w:r>
          </w:p>
        </w:tc>
        <w:tc>
          <w:tcPr>
            <w:tcW w:type="dxa" w:w="1872"/>
            <w:tcMar>
              <w:top w:w="80" w:type="dxa"/>
              <w:bottom w:w="80" w:type="dxa"/>
              <w:left w:w="120" w:type="dxa"/>
              <w:right w:w="120" w:type="dxa"/>
            </w:tcMar>
            <w:shd w:fill="F9FAFB"/>
          </w:tcPr>
          <w:p>
            <w:pPr>
              <w:spacing w:before="40" w:after="40"/>
            </w:pPr>
            <w:r>
              <w:rPr>
                <w:sz w:val="19"/>
              </w:rPr>
              <w:t xml:space="preserve">Decision Baseline Candidate incorporating 14 major revisions: status split, DEMO-12 Phase 1 vs Phase 2 split, dual PMO/Finance approvals, invoice financial states, actual roles, primary sector, join otherDetail, normalized secondary BU, Pipedrive mapping, configurable VAT snapshot. </w:t>
            </w:r>
            <w:r>
              <w:rPr>
                <w:i/>
                <w:sz w:val="19"/>
              </w:rPr>
              <w:t>(Source: Author Review 1)</w:t>
            </w:r>
          </w:p>
        </w:tc>
        <w:tc>
          <w:tcPr>
            <w:tcW w:type="dxa" w:w="1872"/>
            <w:tcMar>
              <w:top w:w="80" w:type="dxa"/>
              <w:bottom w:w="80" w:type="dxa"/>
              <w:left w:w="120" w:type="dxa"/>
              <w:right w:w="120" w:type="dxa"/>
            </w:tcMar>
            <w:shd w:fill="F9FAFB"/>
          </w:tcPr>
          <w:p>
            <w:pPr>
              <w:spacing w:before="40" w:after="40"/>
            </w:pPr>
            <w:r>
              <w:rPr>
                <w:sz w:val="19"/>
              </w:rPr>
              <w:t>Superseded</w:t>
            </w:r>
          </w:p>
        </w:tc>
      </w:tr>
      <w:tr>
        <w:tc>
          <w:tcPr>
            <w:tcW w:type="dxa" w:w="1872"/>
            <w:tcMar>
              <w:top w:w="80" w:type="dxa"/>
              <w:bottom w:w="80" w:type="dxa"/>
              <w:left w:w="120" w:type="dxa"/>
              <w:right w:w="120" w:type="dxa"/>
            </w:tcMar>
            <w:shd w:fill="FFFFFF"/>
          </w:tcPr>
          <w:p>
            <w:pPr>
              <w:spacing w:before="40" w:after="40"/>
            </w:pPr>
            <w:r>
              <w:rPr>
                <w:b/>
                <w:sz w:val="19"/>
              </w:rPr>
              <w:t>`v0.07`</w:t>
            </w:r>
          </w:p>
        </w:tc>
        <w:tc>
          <w:tcPr>
            <w:tcW w:type="dxa" w:w="1872"/>
            <w:tcMar>
              <w:top w:w="80" w:type="dxa"/>
              <w:bottom w:w="80" w:type="dxa"/>
              <w:left w:w="120" w:type="dxa"/>
              <w:right w:w="120" w:type="dxa"/>
            </w:tcMar>
            <w:shd w:fill="FFFFFF"/>
          </w:tcPr>
          <w:p>
            <w:pPr>
              <w:spacing w:before="40" w:after="40"/>
            </w:pPr>
            <w:r>
              <w:rPr>
                <w:sz w:val="19"/>
              </w:rPr>
              <w:t>1 Sep 2026</w:t>
            </w:r>
          </w:p>
        </w:tc>
        <w:tc>
          <w:tcPr>
            <w:tcW w:type="dxa" w:w="1872"/>
            <w:tcMar>
              <w:top w:w="80" w:type="dxa"/>
              <w:bottom w:w="80" w:type="dxa"/>
              <w:left w:w="120" w:type="dxa"/>
              <w:right w:w="120" w:type="dxa"/>
            </w:tcMar>
            <w:shd w:fill="FFFFFF"/>
          </w:tcPr>
          <w:p>
            <w:pPr>
              <w:spacing w:before="40" w:after="40"/>
            </w:pPr>
            <w:r>
              <w:rPr>
                <w:sz w:val="19"/>
              </w:rPr>
              <w:t>Enterprise Solution Architect</w:t>
            </w:r>
          </w:p>
        </w:tc>
        <w:tc>
          <w:tcPr>
            <w:tcW w:type="dxa" w:w="1872"/>
            <w:tcMar>
              <w:top w:w="80" w:type="dxa"/>
              <w:bottom w:w="80" w:type="dxa"/>
              <w:left w:w="120" w:type="dxa"/>
              <w:right w:w="120" w:type="dxa"/>
            </w:tcMar>
            <w:shd w:fill="FFFFFF"/>
          </w:tcPr>
          <w:p>
            <w:pPr>
              <w:spacing w:before="40" w:after="40"/>
            </w:pPr>
            <w:r>
              <w:rPr>
                <w:sz w:val="19"/>
              </w:rPr>
              <w:t>Pre-Signoff Candidate: status harmonization (</w:t>
            </w:r>
            <w:r>
              <w:rPr>
                <w:rFonts w:ascii="Consolas" w:hAnsi="Consolas"/>
                <w:sz w:val="19"/>
              </w:rPr>
              <w:t>PROPOSED</w:t>
            </w:r>
            <w:r>
              <w:rPr>
                <w:sz w:val="19"/>
              </w:rPr>
              <w:t>/</w:t>
            </w:r>
            <w:r>
              <w:rPr>
                <w:rFonts w:ascii="Consolas" w:hAnsi="Consolas"/>
                <w:sz w:val="19"/>
              </w:rPr>
              <w:t>PENDING APPROVAL</w:t>
            </w:r>
            <w:r>
              <w:rPr>
                <w:sz w:val="19"/>
              </w:rPr>
              <w:t xml:space="preserve">), FSD Traceability Matrix (DEMO-01 to 12), dedicated DEMO-11 section, partial unique index for primary sector, dual-status state machine, connectionKey for Pipedrive, portable relative paths. </w:t>
            </w:r>
            <w:r>
              <w:rPr>
                <w:i/>
                <w:sz w:val="19"/>
              </w:rPr>
              <w:t>(Source: Author Review 2)</w:t>
            </w:r>
          </w:p>
        </w:tc>
        <w:tc>
          <w:tcPr>
            <w:tcW w:type="dxa" w:w="1872"/>
            <w:tcMar>
              <w:top w:w="80" w:type="dxa"/>
              <w:bottom w:w="80" w:type="dxa"/>
              <w:left w:w="120" w:type="dxa"/>
              <w:right w:w="120" w:type="dxa"/>
            </w:tcMar>
            <w:shd w:fill="FFFFFF"/>
          </w:tcPr>
          <w:p>
            <w:pPr>
              <w:spacing w:before="40" w:after="40"/>
            </w:pPr>
            <w:r>
              <w:rPr>
                <w:sz w:val="19"/>
              </w:rPr>
              <w:t>Superseded</w:t>
            </w:r>
          </w:p>
        </w:tc>
      </w:tr>
      <w:tr>
        <w:tc>
          <w:tcPr>
            <w:tcW w:type="dxa" w:w="1872"/>
            <w:tcMar>
              <w:top w:w="80" w:type="dxa"/>
              <w:bottom w:w="80" w:type="dxa"/>
              <w:left w:w="120" w:type="dxa"/>
              <w:right w:w="120" w:type="dxa"/>
            </w:tcMar>
            <w:shd w:fill="F9FAFB"/>
          </w:tcPr>
          <w:p>
            <w:pPr>
              <w:spacing w:before="40" w:after="40"/>
            </w:pPr>
            <w:r>
              <w:rPr>
                <w:b/>
                <w:sz w:val="19"/>
              </w:rPr>
              <w:t>`v0.08`</w:t>
            </w:r>
          </w:p>
        </w:tc>
        <w:tc>
          <w:tcPr>
            <w:tcW w:type="dxa" w:w="1872"/>
            <w:tcMar>
              <w:top w:w="80" w:type="dxa"/>
              <w:bottom w:w="80" w:type="dxa"/>
              <w:left w:w="120" w:type="dxa"/>
              <w:right w:w="120" w:type="dxa"/>
            </w:tcMar>
            <w:shd w:fill="F9FAFB"/>
          </w:tcPr>
          <w:p>
            <w:pPr>
              <w:spacing w:before="40" w:after="40"/>
            </w:pPr>
            <w:r>
              <w:rPr>
                <w:sz w:val="19"/>
              </w:rPr>
              <w:t>1 Sep 2026</w:t>
            </w:r>
          </w:p>
        </w:tc>
        <w:tc>
          <w:tcPr>
            <w:tcW w:type="dxa" w:w="1872"/>
            <w:tcMar>
              <w:top w:w="80" w:type="dxa"/>
              <w:bottom w:w="80" w:type="dxa"/>
              <w:left w:w="120" w:type="dxa"/>
              <w:right w:w="120" w:type="dxa"/>
            </w:tcMar>
            <w:shd w:fill="F9FAFB"/>
          </w:tcPr>
          <w:p>
            <w:pPr>
              <w:spacing w:before="40" w:after="40"/>
            </w:pPr>
            <w:r>
              <w:rPr>
                <w:sz w:val="19"/>
              </w:rPr>
              <w:t>Enterprise Solution Architect</w:t>
            </w:r>
          </w:p>
        </w:tc>
        <w:tc>
          <w:tcPr>
            <w:tcW w:type="dxa" w:w="1872"/>
            <w:tcMar>
              <w:top w:w="80" w:type="dxa"/>
              <w:bottom w:w="80" w:type="dxa"/>
              <w:left w:w="120" w:type="dxa"/>
              <w:right w:w="120" w:type="dxa"/>
            </w:tcMar>
            <w:shd w:fill="F9FAFB"/>
          </w:tcPr>
          <w:p>
            <w:pPr>
              <w:spacing w:before="40" w:after="40"/>
            </w:pPr>
            <w:r>
              <w:rPr>
                <w:sz w:val="19"/>
              </w:rPr>
              <w:t xml:space="preserve">🔄 </w:t>
            </w:r>
            <w:r>
              <w:rPr>
                <w:b/>
                <w:sz w:val="19"/>
              </w:rPr>
              <w:t>[SOURCE: FINAL AUTHOR REVIEW - 1 SEP 2026]</w:t>
            </w:r>
            <w:r>
              <w:rPr>
                <w:sz w:val="19"/>
              </w:rPr>
              <w:t xml:space="preserve"> </w:t>
            </w:r>
            <w:r>
              <w:rPr>
                <w:b/>
                <w:sz w:val="19"/>
              </w:rPr>
              <w:t>Final Decision Baseline Candidate (Ready for v1.00 Sign-Off)</w:t>
            </w:r>
            <w:r>
              <w:rPr>
                <w:sz w:val="19"/>
              </w:rPr>
              <w:t xml:space="preserve">: (1) Aligned inactive sector validation between Decision 1.2 and 1.5b (existing inactive valid, new selections must be active); (2) Made lead number allocation strictly atomic with </w:t>
            </w:r>
            <w:r>
              <w:rPr>
                <w:rFonts w:ascii="Consolas" w:hAnsi="Consolas"/>
                <w:sz w:val="19"/>
              </w:rPr>
              <w:t>tx.lead.create</w:t>
            </w:r>
            <w:r>
              <w:rPr>
                <w:sz w:val="19"/>
              </w:rPr>
              <w:t xml:space="preserve"> inside the same transaction; (3) Explicitly bifurcated Current </w:t>
            </w:r>
            <w:r>
              <w:rPr>
                <w:rFonts w:ascii="Consolas" w:hAnsi="Consolas"/>
                <w:sz w:val="19"/>
              </w:rPr>
              <w:t>ProjectBaseline</w:t>
            </w:r>
            <w:r>
              <w:rPr>
                <w:sz w:val="19"/>
              </w:rPr>
              <w:t xml:space="preserve"> Schema (</w:t>
            </w:r>
            <w:r>
              <w:rPr>
                <w:rFonts w:ascii="Consolas" w:hAnsi="Consolas"/>
                <w:sz w:val="19"/>
              </w:rPr>
              <w:t>c7080af</w:t>
            </w:r>
            <w:r>
              <w:rPr>
                <w:sz w:val="19"/>
              </w:rPr>
              <w:t xml:space="preserve">) vs. Proposed Target Extension (DEMO-11); (4) Added PostgreSQL partial unique index + transaction advisory lock + idempotency rules for DEMO-11; (5) Refined granular sub-feature traceability for </w:t>
            </w:r>
            <w:r>
              <w:rPr>
                <w:rFonts w:ascii="Consolas" w:hAnsi="Consolas"/>
                <w:sz w:val="19"/>
              </w:rPr>
              <w:t>DEMO-07</w:t>
            </w:r>
            <w:r>
              <w:rPr>
                <w:sz w:val="19"/>
              </w:rPr>
              <w:t xml:space="preserve"> and </w:t>
            </w:r>
            <w:r>
              <w:rPr>
                <w:rFonts w:ascii="Consolas" w:hAnsi="Consolas"/>
                <w:sz w:val="19"/>
              </w:rPr>
              <w:t>DEMO-11</w:t>
            </w:r>
            <w:r>
              <w:rPr>
                <w:sz w:val="19"/>
              </w:rPr>
              <w:t>.</w:t>
            </w:r>
          </w:p>
        </w:tc>
        <w:tc>
          <w:tcPr>
            <w:tcW w:type="dxa" w:w="1872"/>
            <w:tcMar>
              <w:top w:w="80" w:type="dxa"/>
              <w:bottom w:w="80" w:type="dxa"/>
              <w:left w:w="120" w:type="dxa"/>
              <w:right w:w="120" w:type="dxa"/>
            </w:tcMar>
            <w:shd w:fill="F9FAFB"/>
          </w:tcPr>
          <w:p>
            <w:pPr>
              <w:spacing w:before="40" w:after="40"/>
            </w:pPr>
            <w:r>
              <w:rPr>
                <w:b/>
                <w:sz w:val="19"/>
              </w:rPr>
              <w:t>Current Final Candidate</w:t>
            </w:r>
          </w:p>
        </w:tc>
      </w:tr>
      <w:tr>
        <w:tc>
          <w:tcPr>
            <w:tcW w:type="dxa" w:w="1872"/>
            <w:tcMar>
              <w:top w:w="80" w:type="dxa"/>
              <w:bottom w:w="80" w:type="dxa"/>
              <w:left w:w="120" w:type="dxa"/>
              <w:right w:w="120" w:type="dxa"/>
            </w:tcMar>
            <w:shd w:fill="FFFFFF"/>
          </w:tcPr>
          <w:p>
            <w:pPr>
              <w:spacing w:before="40" w:after="40"/>
            </w:pPr>
            <w:r>
              <w:rPr>
                <w:i/>
                <w:sz w:val="19"/>
              </w:rPr>
              <w:t>`v1.00`</w:t>
            </w:r>
          </w:p>
        </w:tc>
        <w:tc>
          <w:tcPr>
            <w:tcW w:type="dxa" w:w="1872"/>
            <w:tcMar>
              <w:top w:w="80" w:type="dxa"/>
              <w:bottom w:w="80" w:type="dxa"/>
              <w:left w:w="120" w:type="dxa"/>
              <w:right w:w="120" w:type="dxa"/>
            </w:tcMar>
            <w:shd w:fill="FFFFFF"/>
          </w:tcPr>
          <w:p>
            <w:pPr>
              <w:spacing w:before="40" w:after="40"/>
            </w:pPr>
            <w:r>
              <w:rPr>
                <w:i/>
                <w:sz w:val="19"/>
              </w:rPr>
              <w:t>Upcoming</w:t>
            </w:r>
          </w:p>
        </w:tc>
        <w:tc>
          <w:tcPr>
            <w:tcW w:type="dxa" w:w="1872"/>
            <w:tcMar>
              <w:top w:w="80" w:type="dxa"/>
              <w:bottom w:w="80" w:type="dxa"/>
              <w:left w:w="120" w:type="dxa"/>
              <w:right w:w="120" w:type="dxa"/>
            </w:tcMar>
            <w:shd w:fill="FFFFFF"/>
          </w:tcPr>
          <w:p>
            <w:pPr>
              <w:spacing w:before="40" w:after="40"/>
            </w:pPr>
            <w:r>
              <w:rPr>
                <w:i/>
                <w:sz w:val="19"/>
              </w:rPr>
              <w:t>Project Lead / Stakeholders</w:t>
            </w:r>
          </w:p>
        </w:tc>
        <w:tc>
          <w:tcPr>
            <w:tcW w:type="dxa" w:w="1872"/>
            <w:tcMar>
              <w:top w:w="80" w:type="dxa"/>
              <w:bottom w:w="80" w:type="dxa"/>
              <w:left w:w="120" w:type="dxa"/>
              <w:right w:w="120" w:type="dxa"/>
            </w:tcMar>
            <w:shd w:fill="FFFFFF"/>
          </w:tcPr>
          <w:p>
            <w:pPr>
              <w:spacing w:before="40" w:after="40"/>
            </w:pPr>
            <w:r>
              <w:rPr>
                <w:sz w:val="19"/>
              </w:rPr>
              <w:t>Formal baseline promotion upon final stakeholder sign-off and implementation validation.</w:t>
            </w:r>
          </w:p>
        </w:tc>
        <w:tc>
          <w:tcPr>
            <w:tcW w:type="dxa" w:w="1872"/>
            <w:tcMar>
              <w:top w:w="80" w:type="dxa"/>
              <w:bottom w:w="80" w:type="dxa"/>
              <w:left w:w="120" w:type="dxa"/>
              <w:right w:w="120" w:type="dxa"/>
            </w:tcMar>
            <w:shd w:fill="FFFFFF"/>
          </w:tcPr>
          <w:p>
            <w:pPr>
              <w:spacing w:before="40" w:after="40"/>
            </w:pPr>
            <w:r>
              <w:rPr>
                <w:i/>
                <w:sz w:val="19"/>
              </w:rPr>
              <w:t>Pending Sign-off</w:t>
            </w:r>
          </w:p>
        </w:tc>
      </w:tr>
    </w:tbl>
    <w:p>
      <w:pPr>
        <w:spacing w:after="120" w:before="0"/>
      </w:pPr>
    </w:p>
    <w:p>
      <w:pPr>
        <w:pStyle w:val="Heading2"/>
        <w:spacing w:before="280" w:after="120"/>
      </w:pPr>
      <w:r>
        <w:rPr>
          <w:b/>
          <w:color w:val="1E56A0"/>
          <w:sz w:val="30"/>
        </w:rPr>
        <w:t>1. Executive Summary &amp; Context</w:t>
      </w:r>
    </w:p>
    <w:p>
      <w:pPr>
        <w:spacing w:after="100" w:before="40"/>
      </w:pPr>
      <w:r>
        <w:rPr>
          <w:sz w:val="21"/>
        </w:rPr>
        <w:t xml:space="preserve">This artifact establishes the formal technical baseline, </w:t>
      </w:r>
      <w:r>
        <w:rPr>
          <w:b/>
          <w:sz w:val="21"/>
        </w:rPr>
        <w:t>proposed business decisions</w:t>
      </w:r>
      <w:r>
        <w:rPr>
          <w:sz w:val="21"/>
        </w:rPr>
        <w:t xml:space="preserve">, </w:t>
      </w:r>
      <w:r>
        <w:rPr>
          <w:b/>
          <w:sz w:val="21"/>
        </w:rPr>
        <w:t>resolved operational ambiguities</w:t>
      </w:r>
      <w:r>
        <w:rPr>
          <w:sz w:val="21"/>
        </w:rPr>
        <w:t xml:space="preserve">, </w:t>
      </w:r>
      <w:r>
        <w:rPr>
          <w:b/>
          <w:sz w:val="21"/>
        </w:rPr>
        <w:t>reference implementation specifications</w:t>
      </w:r>
      <w:r>
        <w:rPr>
          <w:sz w:val="21"/>
        </w:rPr>
        <w:t xml:space="preserve">, and a </w:t>
      </w:r>
      <w:r>
        <w:rPr>
          <w:b/>
          <w:sz w:val="21"/>
        </w:rPr>
        <w:t>comprehensive FSD traceability matrix</w:t>
      </w:r>
      <w:r>
        <w:rPr>
          <w:sz w:val="21"/>
        </w:rPr>
        <w:t xml:space="preserve"> for all </w:t>
      </w:r>
      <w:r>
        <w:rPr>
          <w:b/>
          <w:sz w:val="21"/>
        </w:rPr>
        <w:t>21 Open Business &amp; Architectural Decisions</w:t>
      </w:r>
      <w:r>
        <w:rPr>
          <w:sz w:val="21"/>
        </w:rPr>
        <w:t xml:space="preserve"> identified in Section 16 of the </w:t>
      </w:r>
      <w:r>
        <w:rPr>
          <w:i/>
          <w:sz w:val="21"/>
        </w:rPr>
        <w:t>Master Recommendation Document (v2.0, 30 August 2026)</w:t>
      </w:r>
      <w:r>
        <w:rPr>
          <w:sz w:val="21"/>
        </w:rPr>
        <w:t xml:space="preserve"> for the 12 WRICEF Functional Specification Documents (</w:t>
      </w:r>
      <w:r>
        <w:rPr>
          <w:rFonts w:ascii="Consolas" w:hAnsi="Consolas"/>
          <w:color w:val="B42828"/>
          <w:sz w:val="21"/>
        </w:rPr>
        <w:t>DEMO-01</w:t>
      </w:r>
      <w:r>
        <w:rPr>
          <w:sz w:val="21"/>
        </w:rPr>
        <w:t xml:space="preserve"> through </w:t>
      </w:r>
      <w:r>
        <w:rPr>
          <w:rFonts w:ascii="Consolas" w:hAnsi="Consolas"/>
          <w:color w:val="B42828"/>
          <w:sz w:val="21"/>
        </w:rPr>
        <w:t>DEMO-12</w:t>
      </w:r>
      <w:r>
        <w:rPr>
          <w:sz w:val="21"/>
        </w:rPr>
        <w:t>).</w:t>
      </w:r>
    </w:p>
    <w:p>
      <w:pPr>
        <w:spacing w:after="100" w:before="40"/>
      </w:pPr>
      <w:r>
        <w:rPr>
          <w:sz w:val="21"/>
        </w:rPr>
        <w:t xml:space="preserve">It strictly fulfills all requirements from the </w:t>
      </w:r>
      <w:r>
        <w:rPr>
          <w:b/>
          <w:sz w:val="21"/>
        </w:rPr>
        <w:t>Final Pre-Signoff Review</w:t>
      </w:r>
      <w:r>
        <w:rPr>
          <w:sz w:val="21"/>
        </w:rPr>
        <w:t xml:space="preserve"> (</w:t>
      </w:r>
      <w:r>
        <w:rPr>
          <w:rFonts w:ascii="Consolas" w:hAnsi="Consolas"/>
          <w:color w:val="B42828"/>
          <w:sz w:val="21"/>
        </w:rPr>
        <w:t>SPH-12-FSD-v0.07-Final-Pre-Signoff-Review-ID.docx</w:t>
      </w:r>
      <w:r>
        <w:rPr>
          <w:sz w:val="21"/>
        </w:rPr>
        <w:t xml:space="preserve">), establishing a crystal-clear distinction between </w:t>
      </w:r>
      <w:r>
        <w:rPr>
          <w:b/>
          <w:sz w:val="21"/>
        </w:rPr>
        <w:t>current codebase reality (`c7080af`)</w:t>
      </w:r>
      <w:r>
        <w:rPr>
          <w:sz w:val="21"/>
        </w:rPr>
        <w:t xml:space="preserve"> and the </w:t>
      </w:r>
      <w:r>
        <w:rPr>
          <w:b/>
          <w:sz w:val="21"/>
        </w:rPr>
        <w:t>approved target design architecture</w:t>
      </w:r>
      <w:r>
        <w:rPr>
          <w:sz w:val="21"/>
        </w:rPr>
        <w:t>.</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40" w:after="40"/>
            </w:pPr>
            <w:r>
              <w:rPr>
                <w:rFonts w:ascii="Consolas" w:hAnsi="Consolas"/>
                <w:color w:val="282828"/>
                <w:sz w:val="19"/>
              </w:rPr>
              <w:t>flowchart LR</w:t>
              <w:br/>
              <w:t xml:space="preserve">    subgraph Intake ["1. Commercial Intake &amp; Lineage"]</w:t>
              <w:br/>
              <w:t xml:space="preserve">        direction TB</w:t>
              <w:br/>
              <w:t xml:space="preserve">        D01["DEMO-01: Industry Sector (Normalized + Partial Index)"]</w:t>
              <w:br/>
              <w:t xml:space="preserve">        D03["DEMO-03: Client Contacts (Point-in-Time Snapshot)"]</w:t>
              <w:br/>
              <w:t xml:space="preserve">        D04["DEMO-04: BU &amp; Principal Mapping (MANAGEMENT Authority)"]</w:t>
              <w:br/>
              <w:t xml:space="preserve">        D05["DEMO-05: Deal Lineage &amp; NRR (Project-Only Anchor)"]</w:t>
              <w:br/>
              <w:t xml:space="preserve">        D06["DEMO-06: Atomic Lead ID (Same-Tx with Lead.create)"]</w:t>
              <w:br/>
              <w:t xml:space="preserve">    end</w:t>
              <w:br/>
              <w:br/>
              <w:t xml:space="preserve">    subgraph Governance ["2. Presales &amp; Margin Governance"]</w:t>
              <w:br/>
              <w:t xml:space="preserve">        direction TB</w:t>
              <w:br/>
              <w:t xml:space="preserve">        D09["DEMO-09: Opt-In Presales CAC (Isolated from Delivery EVM)"]</w:t>
              <w:br/>
              <w:t xml:space="preserve">        D08["DEMO-08: Stage Probability Policy (Audited Overrides)"]</w:t>
              <w:br/>
              <w:t xml:space="preserve">        D02["DEMO-02: Offering Catalog Snapshots (Immutable Lines)"]</w:t>
              <w:br/>
              <w:t xml:space="preserve">        D07["DEMO-07: Inbound CRM Sync (PipedriveProductMapping)"]</w:t>
              <w:br/>
              <w:t xml:space="preserve">        D10["DEMO-10: Versioned Finance Gate (Decimal VAT Snapshot)"]</w:t>
              <w:br/>
              <w:t xml:space="preserve">    end</w:t>
              <w:br/>
              <w:br/>
              <w:t xml:space="preserve">    subgraph Delivery ["3. Delivery &amp; Baseline Control"]</w:t>
              <w:br/>
              <w:t xml:space="preserve">        direction TB</w:t>
              <w:br/>
              <w:t xml:space="preserve">        D11["DEMO-11: Baseline Auto-Sync (ACTIVATION vs CR + Partial Index)"]</w:t>
              <w:br/>
              <w:t xml:space="preserve">        D12P1["DEMO-12 Phase 1: Hard Lock (BUILT in c7080af)"]</w:t>
              <w:br/>
              <w:t xml:space="preserve">        D12P2["DEMO-12 Phase 2: Dual Approval Workflow (TARGET DESIGN)"]</w:t>
              <w:br/>
              <w:t xml:space="preserve">    end</w:t>
              <w:br/>
              <w:br/>
              <w:t xml:space="preserve">    Intake --&gt; Governance --&gt; Delivery</w:t>
            </w:r>
          </w:p>
        </w:tc>
      </w:tr>
    </w:tbl>
    <w:p>
      <w:pPr>
        <w:spacing w:after="80" w:before="0"/>
      </w:pPr>
    </w:p>
    <w:p>
      <w:pPr>
        <w:pStyle w:val="Heading2"/>
        <w:spacing w:before="280" w:after="120"/>
      </w:pPr>
      <w:r>
        <w:rPr>
          <w:b/>
          <w:color w:val="1E56A0"/>
          <w:sz w:val="30"/>
        </w:rPr>
        <w:t>2. Proposed Decisions, Resolved Ambiguities &amp; Technical Specifications (Questions 1 to 21)</w:t>
      </w:r>
    </w:p>
    <w:p>
      <w:pPr>
        <w:pStyle w:val="Heading3"/>
        <w:spacing w:before="200" w:after="80"/>
      </w:pPr>
      <w:r>
        <w:rPr>
          <w:b/>
          <w:color w:val="326496"/>
          <w:sz w:val="26"/>
        </w:rPr>
        <w:t>🏷️ Category 1: Industry Sector Classification (`DEMO-01`)</w:t>
      </w:r>
    </w:p>
    <w:p>
      <w:pPr>
        <w:pStyle w:val="Heading4"/>
        <w:spacing w:before="160" w:after="60"/>
      </w:pPr>
      <w:r>
        <w:rPr>
          <w:b/>
          <w:color w:val="464646"/>
          <w:sz w:val="23"/>
        </w:rPr>
        <w:t>Question 1: Catalog Governance &amp; Hierarchy</w:t>
      </w:r>
    </w:p>
    <w:p>
      <w:pPr>
        <w:pStyle w:val="ListBullet"/>
        <w:spacing w:after="60" w:before="0"/>
        <w:ind w:left="360"/>
      </w:pPr>
      <w:r>
        <w:rPr>
          <w:b/>
          <w:sz w:val="21"/>
        </w:rPr>
        <w:t>Bahasa Indonesia</w:t>
      </w:r>
      <w:r>
        <w:rPr>
          <w:sz w:val="21"/>
        </w:rPr>
        <w:t xml:space="preserve">: </w:t>
      </w:r>
      <w:r>
        <w:rPr>
          <w:i/>
          <w:sz w:val="21"/>
        </w:rPr>
        <w:t>"Siapa pemilik catalog sektor dan apakah hierarchy/sub-sector diperlukan?"</w:t>
      </w:r>
    </w:p>
    <w:p>
      <w:pPr>
        <w:pStyle w:val="ListBullet"/>
        <w:spacing w:after="60" w:before="0"/>
        <w:ind w:left="360"/>
      </w:pPr>
      <w:r>
        <w:rPr>
          <w:b/>
          <w:sz w:val="21"/>
        </w:rPr>
        <w:t>English Translation</w:t>
      </w:r>
      <w:r>
        <w:rPr>
          <w:sz w:val="21"/>
        </w:rPr>
        <w:t>: "Who owns the sector catalog, and is a hierarchy/sub-sector structure required?"</w:t>
      </w:r>
    </w:p>
    <w:p>
      <w:pPr>
        <w:pStyle w:val="ListBullet"/>
        <w:spacing w:after="60" w:before="0"/>
        <w:ind w:left="360"/>
      </w:pPr>
      <w:r>
        <w:rPr>
          <w:b/>
          <w:sz w:val="21"/>
        </w:rPr>
        <w:t>In the Simplest Terms</w:t>
      </w:r>
      <w:r>
        <w:rPr>
          <w:sz w:val="21"/>
        </w:rPr>
        <w:t>: Only Admins can manage the master list of sectors. We start with a clean flat list of sectors, but design the database table with an optional parent ID so sub-sectors can be added later without schema migrations.</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1.1</w:t>
      </w:r>
      <w:r>
        <w:rPr>
          <w:sz w:val="21"/>
        </w:rPr>
        <w:t xml:space="preserve"> </w:t>
      </w:r>
      <w:r>
        <w:rPr>
          <w:rFonts w:ascii="Consolas" w:hAnsi="Consolas"/>
          <w:color w:val="B42828"/>
          <w:sz w:val="21"/>
        </w:rPr>
        <w:t>[PENDING APPROVAL]</w:t>
      </w:r>
      <w:r>
        <w:rPr>
          <w:sz w:val="21"/>
        </w:rPr>
        <w:t xml:space="preserve">: Centralize catalog administration exclusively under </w:t>
      </w:r>
      <w:r>
        <w:rPr>
          <w:rFonts w:ascii="Consolas" w:hAnsi="Consolas"/>
          <w:color w:val="B42828"/>
          <w:sz w:val="21"/>
        </w:rPr>
        <w:t>SITE_ADMIN</w:t>
      </w:r>
      <w:r>
        <w:rPr>
          <w:sz w:val="21"/>
        </w:rPr>
        <w:t xml:space="preserve"> and </w:t>
      </w:r>
      <w:r>
        <w:rPr>
          <w:rFonts w:ascii="Consolas" w:hAnsi="Consolas"/>
          <w:color w:val="B42828"/>
          <w:sz w:val="21"/>
        </w:rPr>
        <w:t>MANAGEMENT</w:t>
      </w:r>
      <w:r>
        <w:rPr>
          <w:sz w:val="21"/>
        </w:rPr>
        <w:t xml:space="preserve"> roles. Implement a flat operational list of sectors for initial go-live while incorporating a self-referencing </w:t>
      </w:r>
      <w:r>
        <w:rPr>
          <w:rFonts w:ascii="Consolas" w:hAnsi="Consolas"/>
          <w:color w:val="B42828"/>
          <w:sz w:val="21"/>
        </w:rPr>
        <w:t>parentSectorId</w:t>
      </w:r>
      <w:r>
        <w:rPr>
          <w:sz w:val="21"/>
        </w:rPr>
        <w:t xml:space="preserve"> column in the database model. </w:t>
      </w:r>
      <w:r>
        <w:rPr>
          <w:i/>
          <w:sz w:val="21"/>
        </w:rPr>
        <w:t>(Source: Master Rec Doc Section 16 &amp; Author Review 1)</w:t>
      </w:r>
      <w:r>
        <w:rPr>
          <w:sz w:val="21"/>
        </w:rPr>
        <w:t xml:space="preserve">  </w:t>
      </w:r>
    </w:p>
    <w:p>
      <w:pPr>
        <w:spacing w:after="100" w:before="40"/>
      </w:pPr>
      <w:r>
        <w:rPr>
          <w:sz w:val="21"/>
        </w:rPr>
        <w:t xml:space="preserve">  &gt; </w:t>
      </w:r>
      <w:r>
        <w:rPr>
          <w:b/>
          <w:sz w:val="21"/>
        </w:rPr>
        <w:t>Rationale</w:t>
      </w:r>
      <w:r>
        <w:rPr>
          <w:sz w:val="21"/>
        </w:rPr>
        <w:t>: Ungoverned sector creation leads to messy duplicates (e.g., "Fintech" vs "Financial Technology"). Building the parent-child relationship into the data model now allows future sub-sector rollouts without disruptive database migrations.</w:t>
      </w:r>
    </w:p>
    <w:p>
      <w:pPr>
        <w:pStyle w:val="ListBullet"/>
        <w:spacing w:after="60" w:before="0"/>
        <w:ind w:left="360"/>
      </w:pPr>
      <w:r>
        <w:rPr>
          <w:b/>
          <w:sz w:val="21"/>
        </w:rPr>
        <w:t>Operational Ambiguity &amp; Resolved Edge Case</w:t>
      </w:r>
      <w:r>
        <w:rPr>
          <w:sz w:val="21"/>
        </w:rPr>
        <w:t>:</w:t>
      </w:r>
    </w:p>
    <w:p>
      <w:pPr>
        <w:pStyle w:val="ListBullet"/>
        <w:spacing w:after="60" w:before="0"/>
        <w:ind w:left="720"/>
      </w:pPr>
      <w:r>
        <w:rPr>
          <w:i/>
          <w:sz w:val="21"/>
        </w:rPr>
        <w:t>Ambiguity</w:t>
      </w:r>
      <w:r>
        <w:rPr>
          <w:sz w:val="21"/>
        </w:rPr>
        <w:t xml:space="preserve">: If an admin creates sub-sectors in the future (e.g. </w:t>
      </w:r>
      <w:r>
        <w:rPr>
          <w:rFonts w:ascii="Consolas" w:hAnsi="Consolas"/>
          <w:sz w:val="21"/>
        </w:rPr>
        <w:t>Financial Services</w:t>
      </w:r>
      <w:r>
        <w:rPr>
          <w:sz w:val="21"/>
        </w:rPr>
        <w:t xml:space="preserve"> $\rightarrow$ </w:t>
      </w:r>
      <w:r>
        <w:rPr>
          <w:rFonts w:ascii="Consolas" w:hAnsi="Consolas"/>
          <w:sz w:val="21"/>
        </w:rPr>
        <w:t>Digital Banking</w:t>
      </w:r>
      <w:r>
        <w:rPr>
          <w:sz w:val="21"/>
        </w:rPr>
        <w:t>), can users select both a parent and child sector on the same lead?</w:t>
      </w:r>
    </w:p>
    <w:p>
      <w:pPr>
        <w:pStyle w:val="ListBullet"/>
        <w:spacing w:after="60" w:before="0"/>
        <w:ind w:left="720"/>
      </w:pPr>
      <w:r>
        <w:rPr>
          <w:i/>
          <w:sz w:val="21"/>
        </w:rPr>
        <w:t>Resolved Policy</w:t>
      </w:r>
      <w:r>
        <w:rPr>
          <w:sz w:val="21"/>
        </w:rPr>
        <w:t>: If a sub-sector exists, selecting the child automatically tags the deal with the parent for roll-up reporting. Users cannot create redundant double entries for both parent and child.</w:t>
      </w:r>
    </w:p>
    <w:p>
      <w:pPr>
        <w:pStyle w:val="ListBullet"/>
        <w:spacing w:after="60" w:before="0"/>
        <w:ind w:left="360"/>
      </w:pPr>
      <w:r>
        <w:rPr>
          <w:b/>
          <w:sz w:val="21"/>
        </w:rPr>
        <w:t>Technical Implementation Specification (Optional / Reference Example)</w:t>
      </w:r>
      <w:r>
        <w:rPr>
          <w:sz w:val="21"/>
        </w:rPr>
        <w:t>:</w:t>
      </w:r>
    </w:p>
    <w:p>
      <w:pPr>
        <w:pStyle w:val="ListBullet"/>
        <w:spacing w:after="60" w:before="0"/>
        <w:ind w:left="720"/>
      </w:pPr>
      <w:r>
        <w:rPr>
          <w:b/>
          <w:sz w:val="21"/>
        </w:rPr>
        <w:t>Prisma Schema DDL (Example)</w:t>
      </w:r>
      <w:r>
        <w:rPr>
          <w:sz w:val="21"/>
        </w:rPr>
        <w:t>:</w:t>
      </w:r>
    </w:p>
    <w:p>
      <w:pPr>
        <w:spacing w:after="100" w:before="40"/>
      </w:pPr>
      <w:r>
        <w:rPr>
          <w:sz w:val="21"/>
        </w:rPr>
        <w:t xml:space="preserve">    </w:t>
      </w:r>
      <w:r>
        <w:rPr>
          <w:rFonts w:ascii="Consolas" w:hAnsi="Consolas"/>
          <w:color w:val="B42828"/>
          <w:sz w:val="21"/>
        </w:rPr>
      </w:r>
      <w:r>
        <w:rPr>
          <w:sz w:val="21"/>
        </w:rPr>
        <w:t>`prisma</w:t>
      </w:r>
    </w:p>
    <w:p>
      <w:pPr>
        <w:spacing w:after="100" w:before="40"/>
      </w:pPr>
      <w:r>
        <w:rPr>
          <w:sz w:val="21"/>
        </w:rPr>
        <w:t xml:space="preserve">    model IndustrySector {</w:t>
      </w:r>
    </w:p>
    <w:p>
      <w:pPr>
        <w:spacing w:after="100" w:before="40"/>
      </w:pPr>
      <w:r>
        <w:rPr>
          <w:sz w:val="21"/>
        </w:rPr>
        <w:t xml:space="preserve">      id             String           @id @default(cuid())</w:t>
      </w:r>
    </w:p>
    <w:p>
      <w:pPr>
        <w:spacing w:after="100" w:before="40"/>
      </w:pPr>
      <w:r>
        <w:rPr>
          <w:sz w:val="21"/>
        </w:rPr>
        <w:t xml:space="preserve">      code           String           @unique // e.g. "FIN_BANKING", "GOV_PUBLIC"</w:t>
      </w:r>
    </w:p>
    <w:p>
      <w:pPr>
        <w:spacing w:after="100" w:before="40"/>
      </w:pPr>
      <w:r>
        <w:rPr>
          <w:sz w:val="21"/>
        </w:rPr>
        <w:t xml:space="preserve">      name           String           // e.g. "Banking &amp; Financial Services"</w:t>
      </w:r>
    </w:p>
    <w:p>
      <w:pPr>
        <w:spacing w:after="100" w:before="40"/>
      </w:pPr>
      <w:r>
        <w:rPr>
          <w:sz w:val="21"/>
        </w:rPr>
        <w:t xml:space="preserve">      description    String?</w:t>
      </w:r>
    </w:p>
    <w:p>
      <w:pPr>
        <w:spacing w:after="100" w:before="40"/>
      </w:pPr>
      <w:r>
        <w:rPr>
          <w:sz w:val="21"/>
        </w:rPr>
        <w:t xml:space="preserve">      isActive       Boolean          @default(true)</w:t>
      </w:r>
    </w:p>
    <w:p>
      <w:pPr>
        <w:spacing w:after="100" w:before="40"/>
      </w:pPr>
      <w:r>
        <w:rPr>
          <w:sz w:val="21"/>
        </w:rPr>
        <w:t xml:space="preserve">      sortOrder      Int              @default(0)</w:t>
      </w:r>
    </w:p>
    <w:p>
      <w:pPr>
        <w:spacing w:after="100" w:before="40"/>
      </w:pPr>
      <w:r>
        <w:rPr>
          <w:sz w:val="21"/>
        </w:rPr>
        <w:t xml:space="preserve">      parentSectorId String?</w:t>
      </w:r>
    </w:p>
    <w:p>
      <w:pPr>
        <w:spacing w:after="100" w:before="40"/>
      </w:pPr>
      <w:r>
        <w:rPr>
          <w:sz w:val="21"/>
        </w:rPr>
        <w:t xml:space="preserve">      parentSector   IndustrySector?  @relation("SectorHierarchy", fields: [parentSectorId], references: [id])</w:t>
      </w:r>
    </w:p>
    <w:p>
      <w:pPr>
        <w:spacing w:after="100" w:before="40"/>
      </w:pPr>
      <w:r>
        <w:rPr>
          <w:sz w:val="21"/>
        </w:rPr>
        <w:t xml:space="preserve">      subSectors     IndustrySector[] @relation("SectorHierarchy")</w:t>
      </w:r>
    </w:p>
    <w:p>
      <w:pPr>
        <w:spacing w:after="100" w:before="40"/>
      </w:pPr>
      <w:r>
        <w:rPr>
          <w:sz w:val="21"/>
        </w:rPr>
        <w:t xml:space="preserve">      createdAt      DateTime         @default(now())</w:t>
      </w:r>
    </w:p>
    <w:p>
      <w:pPr>
        <w:spacing w:after="100" w:before="40"/>
      </w:pPr>
      <w:r>
        <w:rPr>
          <w:sz w:val="21"/>
        </w:rPr>
        <w:t xml:space="preserve">      updatedAt      DateTime         @updatedAt</w:t>
      </w:r>
    </w:p>
    <w:p>
      <w:pPr>
        <w:spacing w:after="100" w:before="40"/>
      </w:pPr>
      <w:r>
        <w:rPr>
          <w:sz w:val="21"/>
        </w:rPr>
        <w:t xml:space="preserve">      leadSectors    LeadSector[]</w:t>
      </w:r>
    </w:p>
    <w:p>
      <w:pPr>
        <w:spacing w:after="100" w:before="40"/>
      </w:pPr>
      <w:r>
        <w:rPr>
          <w:sz w:val="21"/>
        </w:rPr>
        <w:t xml:space="preserve">      clientSectors  ClientSector[]</w:t>
      </w:r>
    </w:p>
    <w:p>
      <w:pPr>
        <w:spacing w:after="100" w:before="40"/>
      </w:pPr>
      <w:r>
        <w:rPr>
          <w:sz w:val="21"/>
        </w:rPr>
        <w:t xml:space="preserve">      @@index([isActive, sortOrder])</w:t>
      </w:r>
    </w:p>
    <w:p>
      <w:pPr>
        <w:spacing w:after="100" w:before="40"/>
      </w:pPr>
      <w:r>
        <w:rPr>
          <w:sz w:val="21"/>
        </w:rPr>
        <w:t xml:space="preserve">    }</w:t>
      </w:r>
    </w:p>
    <w:p>
      <w:pPr>
        <w:spacing w:after="100" w:before="40"/>
      </w:pPr>
      <w:r>
        <w:rPr>
          <w:sz w:val="21"/>
        </w:rPr>
        <w:t xml:space="preserve">    </w:t>
      </w:r>
      <w:r>
        <w:rPr>
          <w:rFonts w:ascii="Consolas" w:hAnsi="Consolas"/>
          <w:color w:val="B42828"/>
          <w:sz w:val="21"/>
        </w:rPr>
      </w:r>
      <w:r>
        <w:rPr>
          <w:rFonts w:ascii="Consolas" w:hAnsi="Consolas"/>
          <w:color w:val="B42828"/>
          <w:sz w:val="21"/>
        </w:rPr>
      </w:r>
    </w:p>
    <w:p>
      <w:pPr>
        <w:pStyle w:val="Heading4"/>
        <w:spacing w:before="160" w:after="60"/>
      </w:pPr>
      <w:r>
        <w:rPr>
          <w:b/>
          <w:color w:val="464646"/>
          <w:sz w:val="23"/>
        </w:rPr>
        <w:t>Question 2: Mandatory Stage Enforcement &amp; Aligned Inactive-Sector Validation</w:t>
      </w:r>
    </w:p>
    <w:p>
      <w:pPr>
        <w:pStyle w:val="ListBullet"/>
        <w:spacing w:after="60" w:before="0"/>
        <w:ind w:left="360"/>
      </w:pPr>
      <w:r>
        <w:rPr>
          <w:b/>
          <w:sz w:val="21"/>
        </w:rPr>
        <w:t>Bahasa Indonesia</w:t>
      </w:r>
      <w:r>
        <w:rPr>
          <w:sz w:val="21"/>
        </w:rPr>
        <w:t xml:space="preserve">: </w:t>
      </w:r>
      <w:r>
        <w:rPr>
          <w:i/>
          <w:sz w:val="21"/>
        </w:rPr>
        <w:t>"Pada stage apa 1–5 sektor menjadi mandatory?"</w:t>
      </w:r>
    </w:p>
    <w:p>
      <w:pPr>
        <w:pStyle w:val="ListBullet"/>
        <w:spacing w:after="60" w:before="0"/>
        <w:ind w:left="360"/>
      </w:pPr>
      <w:r>
        <w:rPr>
          <w:b/>
          <w:sz w:val="21"/>
        </w:rPr>
        <w:t>English Translation</w:t>
      </w:r>
      <w:r>
        <w:rPr>
          <w:sz w:val="21"/>
        </w:rPr>
        <w:t>: "At what stage does selecting 1–5 sectors become mandatory?"</w:t>
      </w:r>
    </w:p>
    <w:p>
      <w:pPr>
        <w:pStyle w:val="ListBullet"/>
        <w:spacing w:after="60" w:before="0"/>
        <w:ind w:left="360"/>
      </w:pPr>
      <w:r>
        <w:rPr>
          <w:b/>
          <w:sz w:val="21"/>
        </w:rPr>
        <w:t>In the Simplest Terms</w:t>
      </w:r>
      <w:r>
        <w:rPr>
          <w:sz w:val="21"/>
        </w:rPr>
        <w:t>: Don't make sectors mandatory when quickly creating a draft lead. Make it mandatory (1–5 sectors) when advancing to qualified or proposal. If an existing lead has a retired sector, it stays valid unless major renegotiation occurs.</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 </w:t>
      </w:r>
      <w:r>
        <w:rPr>
          <w:b/>
          <w:sz w:val="21"/>
        </w:rPr>
        <w:t>[SOURCE: FINAL AUTHOR REVIEW - ITEM #1]</w:t>
      </w:r>
      <w:r>
        <w:rPr>
          <w:sz w:val="21"/>
        </w:rPr>
        <w:t xml:space="preserve"> </w:t>
      </w:r>
      <w:r>
        <w:rPr>
          <w:b/>
          <w:sz w:val="21"/>
        </w:rPr>
        <w:t>Decision 1.2</w:t>
      </w:r>
      <w:r>
        <w:rPr>
          <w:sz w:val="21"/>
        </w:rPr>
        <w:t xml:space="preserve"> </w:t>
      </w:r>
      <w:r>
        <w:rPr>
          <w:rFonts w:ascii="Consolas" w:hAnsi="Consolas"/>
          <w:color w:val="B42828"/>
          <w:sz w:val="21"/>
        </w:rPr>
        <w:t>[PENDING APPROVAL]</w:t>
      </w:r>
      <w:r>
        <w:rPr>
          <w:sz w:val="21"/>
        </w:rPr>
        <w:t xml:space="preserve">: </w:t>
      </w:r>
      <w:r>
        <w:rPr>
          <w:b/>
          <w:sz w:val="21"/>
        </w:rPr>
        <w:t>Aligned Inactive-Sector Validation Invariant</w:t>
      </w:r>
      <w:r>
        <w:rPr>
          <w:sz w:val="21"/>
        </w:rPr>
        <w:t xml:space="preserve">:  </w:t>
      </w:r>
    </w:p>
    <w:p>
      <w:pPr>
        <w:spacing w:after="100" w:before="40"/>
      </w:pPr>
      <w:r>
        <w:rPr>
          <w:sz w:val="21"/>
        </w:rPr>
        <w:t xml:space="preserve">  &gt; </w:t>
      </w:r>
      <w:r>
        <w:rPr>
          <w:i/>
          <w:sz w:val="21"/>
        </w:rPr>
        <w:t>"A Lead must have between 1 and 5 sector assignments before advancing to `QUALIFIED` or `PROPOSAL` stage. Newly added assignments must reference active sectors (`isActive = true`), while existing inactive assignments remain valid for historical classification until a defined business reclassification trigger occurs."</w:t>
      </w:r>
      <w:r>
        <w:rPr>
          <w:sz w:val="21"/>
        </w:rPr>
        <w:t xml:space="preserve">  </w:t>
      </w:r>
    </w:p>
    <w:p>
      <w:pPr>
        <w:spacing w:after="100" w:before="40"/>
      </w:pPr>
      <w:r>
        <w:rPr>
          <w:sz w:val="21"/>
        </w:rPr>
        <w:t xml:space="preserve">  &gt; </w:t>
      </w:r>
      <w:r>
        <w:rPr>
          <w:b/>
          <w:sz w:val="21"/>
        </w:rPr>
        <w:t>Rationale</w:t>
      </w:r>
      <w:r>
        <w:rPr>
          <w:sz w:val="21"/>
        </w:rPr>
        <w:t>: Harmonizes stage gating with historical retention so that retiring an industry sector in master data never causes unexpected validation errors on historical leads during unrelated status updates.</w:t>
      </w:r>
    </w:p>
    <w:p>
      <w:pPr>
        <w:pStyle w:val="ListBullet"/>
        <w:spacing w:after="60" w:before="0"/>
        <w:ind w:left="360"/>
      </w:pPr>
      <w:r>
        <w:rPr>
          <w:b/>
          <w:sz w:val="21"/>
        </w:rPr>
        <w:t>Operational Ambiguity &amp; Resolved Edge Case</w:t>
      </w:r>
      <w:r>
        <w:rPr>
          <w:sz w:val="21"/>
        </w:rPr>
        <w:t>:</w:t>
      </w:r>
    </w:p>
    <w:p>
      <w:pPr>
        <w:pStyle w:val="ListBullet"/>
        <w:spacing w:after="60" w:before="0"/>
        <w:ind w:left="720"/>
      </w:pPr>
      <w:r>
        <w:rPr>
          <w:i/>
          <w:sz w:val="21"/>
        </w:rPr>
        <w:t>Ambiguity</w:t>
      </w:r>
      <w:r>
        <w:rPr>
          <w:sz w:val="21"/>
        </w:rPr>
        <w:t>: What happens if a salesperson attempts to add a newly deactivated sector to an existing lead during a proposal update?</w:t>
      </w:r>
    </w:p>
    <w:p>
      <w:pPr>
        <w:pStyle w:val="ListBullet"/>
        <w:spacing w:after="60" w:before="0"/>
        <w:ind w:left="720"/>
      </w:pPr>
      <w:r>
        <w:rPr>
          <w:i/>
          <w:sz w:val="21"/>
        </w:rPr>
        <w:t>Resolved Policy</w:t>
      </w:r>
      <w:r>
        <w:rPr>
          <w:sz w:val="21"/>
        </w:rPr>
        <w:t xml:space="preserve">: The API accepts existing historical inactive assignments, but rejects newly selected inactive sectors with </w:t>
      </w:r>
      <w:r>
        <w:rPr>
          <w:rFonts w:ascii="Consolas" w:hAnsi="Consolas"/>
          <w:sz w:val="21"/>
        </w:rPr>
        <w:t>422 Unprocessable Entity</w:t>
      </w:r>
      <w:r>
        <w:rPr>
          <w:sz w:val="21"/>
        </w:rPr>
        <w:t xml:space="preserve"> (</w:t>
      </w:r>
      <w:r>
        <w:rPr>
          <w:rFonts w:ascii="Consolas" w:hAnsi="Consolas"/>
          <w:sz w:val="21"/>
        </w:rPr>
        <w:t>CANNOT_ASSIGN_DEACTIVATED_SECTOR</w:t>
      </w:r>
      <w:r>
        <w:rPr>
          <w:sz w:val="21"/>
        </w:rPr>
        <w:t>).</w:t>
      </w:r>
    </w:p>
    <w:p>
      <w:pPr>
        <w:pStyle w:val="ListBullet"/>
        <w:spacing w:after="60" w:before="0"/>
        <w:ind w:left="360"/>
      </w:pPr>
      <w:r>
        <w:rPr>
          <w:b/>
          <w:sz w:val="21"/>
        </w:rPr>
        <w:t>Technical Implementation Specification (Optional / Reference Example)</w:t>
      </w:r>
      <w:r>
        <w:rPr>
          <w:sz w:val="21"/>
        </w:rPr>
        <w:t>:</w:t>
      </w:r>
    </w:p>
    <w:p>
      <w:pPr>
        <w:pStyle w:val="ListBullet"/>
        <w:spacing w:after="60" w:before="0"/>
        <w:ind w:left="720"/>
      </w:pPr>
      <w:r>
        <w:rPr>
          <w:sz w:val="21"/>
        </w:rPr>
        <w:t xml:space="preserve">🔄 </w:t>
      </w:r>
      <w:r>
        <w:rPr>
          <w:b/>
          <w:sz w:val="21"/>
        </w:rPr>
        <w:t>[SOURCE: FINAL AUTHOR REVIEW - ITEM #1]</w:t>
      </w:r>
      <w:r>
        <w:rPr>
          <w:sz w:val="21"/>
        </w:rPr>
        <w:t xml:space="preserve"> </w:t>
      </w:r>
      <w:r>
        <w:rPr>
          <w:b/>
          <w:sz w:val="21"/>
        </w:rPr>
        <w:t>Aligned Validation Logic (Example)</w:t>
      </w:r>
      <w:r>
        <w:rPr>
          <w:sz w:val="21"/>
        </w:rPr>
        <w:t>:</w:t>
      </w:r>
    </w:p>
    <w:p>
      <w:pPr>
        <w:spacing w:after="100" w:before="40"/>
      </w:pPr>
      <w:r>
        <w:rPr>
          <w:sz w:val="21"/>
        </w:rPr>
        <w:t xml:space="preserve">    </w:t>
      </w:r>
      <w:r>
        <w:rPr>
          <w:rFonts w:ascii="Consolas" w:hAnsi="Consolas"/>
          <w:color w:val="B42828"/>
          <w:sz w:val="21"/>
        </w:rPr>
      </w:r>
      <w:r>
        <w:rPr>
          <w:sz w:val="21"/>
        </w:rPr>
        <w:t>`typescript</w:t>
      </w:r>
    </w:p>
    <w:p>
      <w:pPr>
        <w:spacing w:after="100" w:before="40"/>
      </w:pPr>
      <w:r>
        <w:rPr>
          <w:sz w:val="21"/>
        </w:rPr>
        <w:t xml:space="preserve">    // Inside PATCH /api/leads/:id/stage or PUT /api/leads/:id/sectors</w:t>
      </w:r>
    </w:p>
    <w:p>
      <w:pPr>
        <w:spacing w:after="100" w:before="40"/>
      </w:pPr>
      <w:r>
        <w:rPr>
          <w:sz w:val="21"/>
        </w:rPr>
        <w:t xml:space="preserve">    async function validateLeadSectorsOnStageAdvance(leadId: string, requestedSectorIds?: string[]) {</w:t>
      </w:r>
    </w:p>
    <w:p>
      <w:pPr>
        <w:spacing w:after="100" w:before="40"/>
      </w:pPr>
      <w:r>
        <w:rPr>
          <w:sz w:val="21"/>
        </w:rPr>
        <w:t xml:space="preserve">      // 1. Total assignment count must be between 1 and 5</w:t>
      </w:r>
    </w:p>
    <w:p>
      <w:pPr>
        <w:spacing w:after="100" w:before="40"/>
      </w:pPr>
      <w:r>
        <w:rPr>
          <w:sz w:val="21"/>
        </w:rPr>
        <w:t xml:space="preserve">      const totalCount = requestedSectorIds </w:t>
      </w:r>
    </w:p>
    <w:p>
      <w:pPr>
        <w:spacing w:after="100" w:before="40"/>
      </w:pPr>
      <w:r>
        <w:rPr>
          <w:sz w:val="21"/>
        </w:rPr>
        <w:t xml:space="preserve">        ? requestedSectorIds.length </w:t>
      </w:r>
    </w:p>
    <w:p>
      <w:pPr>
        <w:spacing w:after="100" w:before="40"/>
      </w:pPr>
      <w:r>
        <w:rPr>
          <w:sz w:val="21"/>
        </w:rPr>
        <w:t xml:space="preserve">        : await prisma.leadSector.count({ where: { leadId } });</w:t>
      </w:r>
    </w:p>
    <w:p>
      <w:pPr>
        <w:spacing w:after="100" w:before="40"/>
      </w:pPr>
      <w:r>
        <w:rPr>
          <w:sz w:val="21"/>
        </w:rPr>
        <w:t xml:space="preserve">      if (totalCount &lt; 1 || totalCount &gt; 5) {</w:t>
      </w:r>
    </w:p>
    <w:p>
      <w:pPr>
        <w:spacing w:after="100" w:before="40"/>
      </w:pPr>
      <w:r>
        <w:rPr>
          <w:sz w:val="21"/>
        </w:rPr>
        <w:t xml:space="preserve">        throw new Error("SECTOR_VALIDATION_FAILED: Lead must have between 1 and 5 industry sectors assigned.");</w:t>
      </w:r>
    </w:p>
    <w:p>
      <w:pPr>
        <w:spacing w:after="100" w:before="40"/>
      </w:pPr>
      <w:r>
        <w:rPr>
          <w:sz w:val="21"/>
        </w:rPr>
        <w:t xml:space="preserve">      }</w:t>
      </w:r>
    </w:p>
    <w:p>
      <w:pPr>
        <w:spacing w:after="100" w:before="40"/>
      </w:pPr>
      <w:r>
        <w:rPr>
          <w:sz w:val="21"/>
        </w:rPr>
        <w:t xml:space="preserve">      // 2. If new sector IDs are being assigned in this request, verify they are active</w:t>
      </w:r>
    </w:p>
    <w:p>
      <w:pPr>
        <w:spacing w:after="100" w:before="40"/>
      </w:pPr>
      <w:r>
        <w:rPr>
          <w:sz w:val="21"/>
        </w:rPr>
        <w:t xml:space="preserve">      if (requestedSectorIds &amp;&amp; requestedSectorIds.length &gt; 0) {</w:t>
      </w:r>
    </w:p>
    <w:p>
      <w:pPr>
        <w:spacing w:after="100" w:before="40"/>
      </w:pPr>
      <w:r>
        <w:rPr>
          <w:sz w:val="21"/>
        </w:rPr>
        <w:t xml:space="preserve">        const inactiveCount = await prisma.industrySector.count({</w:t>
      </w:r>
    </w:p>
    <w:p>
      <w:pPr>
        <w:spacing w:after="100" w:before="40"/>
      </w:pPr>
      <w:r>
        <w:rPr>
          <w:sz w:val="21"/>
        </w:rPr>
        <w:t xml:space="preserve">          where: { id: { in: requestedSectorIds }, isActive: false }</w:t>
      </w:r>
    </w:p>
    <w:p>
      <w:pPr>
        <w:spacing w:after="100" w:before="40"/>
      </w:pPr>
      <w:r>
        <w:rPr>
          <w:sz w:val="21"/>
        </w:rPr>
        <w:t xml:space="preserve">        });</w:t>
      </w:r>
    </w:p>
    <w:p>
      <w:pPr>
        <w:spacing w:after="100" w:before="40"/>
      </w:pPr>
      <w:r>
        <w:rPr>
          <w:sz w:val="21"/>
        </w:rPr>
        <w:t xml:space="preserve">        if (inactiveCount &gt; 0) {</w:t>
      </w:r>
    </w:p>
    <w:p>
      <w:pPr>
        <w:spacing w:after="100" w:before="40"/>
      </w:pPr>
      <w:r>
        <w:rPr>
          <w:sz w:val="21"/>
        </w:rPr>
        <w:t xml:space="preserve">          throw new Error("CANNOT_ASSIGN_DEACTIVATED_SECTOR: Deactivated sectors cannot be chosen for new assignments.");</w:t>
      </w:r>
    </w:p>
    <w:p>
      <w:pPr>
        <w:spacing w:after="100" w:before="40"/>
      </w:pPr>
      <w:r>
        <w:rPr>
          <w:sz w:val="21"/>
        </w:rPr>
        <w:t xml:space="preserve">        }</w:t>
      </w:r>
    </w:p>
    <w:p>
      <w:pPr>
        <w:spacing w:after="100" w:before="40"/>
      </w:pPr>
      <w:r>
        <w:rPr>
          <w:sz w:val="21"/>
        </w:rPr>
        <w:t xml:space="preserve">      }</w:t>
      </w:r>
    </w:p>
    <w:p>
      <w:pPr>
        <w:spacing w:after="100" w:before="40"/>
      </w:pPr>
      <w:r>
        <w:rPr>
          <w:sz w:val="21"/>
        </w:rPr>
        <w:t xml:space="preserve">      // 3. Existing historical assignments remain valid without blocking stage advance</w:t>
      </w:r>
    </w:p>
    <w:p>
      <w:pPr>
        <w:spacing w:after="100" w:before="40"/>
      </w:pPr>
      <w:r>
        <w:rPr>
          <w:sz w:val="21"/>
        </w:rPr>
        <w:t xml:space="preserve">    }</w:t>
      </w:r>
    </w:p>
    <w:p>
      <w:pPr>
        <w:spacing w:after="100" w:before="40"/>
      </w:pPr>
      <w:r>
        <w:rPr>
          <w:sz w:val="21"/>
        </w:rPr>
        <w:t xml:space="preserve">    </w:t>
      </w:r>
      <w:r>
        <w:rPr>
          <w:rFonts w:ascii="Consolas" w:hAnsi="Consolas"/>
          <w:color w:val="B42828"/>
          <w:sz w:val="21"/>
        </w:rPr>
      </w:r>
      <w:r>
        <w:rPr>
          <w:rFonts w:ascii="Consolas" w:hAnsi="Consolas"/>
          <w:color w:val="B42828"/>
          <w:sz w:val="21"/>
        </w:rPr>
      </w:r>
    </w:p>
    <w:p>
      <w:pPr>
        <w:pStyle w:val="Heading4"/>
        <w:spacing w:before="160" w:after="60"/>
      </w:pPr>
      <w:r>
        <w:rPr>
          <w:b/>
          <w:color w:val="464646"/>
          <w:sz w:val="23"/>
        </w:rPr>
        <w:t>Question 3: Client Sectors Snapshot &amp; `otherDetail` Placement</w:t>
      </w:r>
    </w:p>
    <w:p>
      <w:pPr>
        <w:pStyle w:val="ListBullet"/>
        <w:spacing w:after="60" w:before="0"/>
        <w:ind w:left="360"/>
      </w:pPr>
      <w:r>
        <w:rPr>
          <w:b/>
          <w:sz w:val="21"/>
        </w:rPr>
        <w:t>Bahasa Indonesia</w:t>
      </w:r>
      <w:r>
        <w:rPr>
          <w:sz w:val="21"/>
        </w:rPr>
        <w:t xml:space="preserve">: </w:t>
      </w:r>
      <w:r>
        <w:rPr>
          <w:i/>
          <w:sz w:val="21"/>
        </w:rPr>
        <w:t>"Apakah Client sectors menjadi default snapshot atau live inheritance pada Lead?"</w:t>
      </w:r>
    </w:p>
    <w:p>
      <w:pPr>
        <w:pStyle w:val="ListBullet"/>
        <w:spacing w:after="60" w:before="0"/>
        <w:ind w:left="360"/>
      </w:pPr>
      <w:r>
        <w:rPr>
          <w:b/>
          <w:sz w:val="21"/>
        </w:rPr>
        <w:t>English Translation</w:t>
      </w:r>
      <w:r>
        <w:rPr>
          <w:sz w:val="21"/>
        </w:rPr>
        <w:t>: "Should Client sectors be a default point-in-time snapshot or live inheritance on the Lead?"</w:t>
      </w:r>
    </w:p>
    <w:p>
      <w:pPr>
        <w:pStyle w:val="ListBullet"/>
        <w:spacing w:after="60" w:before="0"/>
        <w:ind w:left="360"/>
      </w:pPr>
      <w:r>
        <w:rPr>
          <w:b/>
          <w:sz w:val="21"/>
        </w:rPr>
        <w:t>In the Simplest Terms</w:t>
      </w:r>
      <w:r>
        <w:rPr>
          <w:sz w:val="21"/>
        </w:rPr>
        <w:t>: It is a snapshot. When creating a lead, the system auto-fills the client's sectors as a starting suggestion, but sales can adjust them for that specific deal without altering the client's master record.</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1.3</w:t>
      </w:r>
      <w:r>
        <w:rPr>
          <w:sz w:val="21"/>
        </w:rPr>
        <w:t xml:space="preserve"> </w:t>
      </w:r>
      <w:r>
        <w:rPr>
          <w:rFonts w:ascii="Consolas" w:hAnsi="Consolas"/>
          <w:color w:val="B42828"/>
          <w:sz w:val="21"/>
        </w:rPr>
        <w:t>[PENDING APPROVAL]</w:t>
      </w:r>
      <w:r>
        <w:rPr>
          <w:sz w:val="21"/>
        </w:rPr>
        <w:t xml:space="preserve">: Implement a </w:t>
      </w:r>
      <w:r>
        <w:rPr>
          <w:b/>
          <w:sz w:val="21"/>
        </w:rPr>
        <w:t>Point-in-Time Snapshot</w:t>
      </w:r>
      <w:r>
        <w:rPr>
          <w:sz w:val="21"/>
        </w:rPr>
        <w:t xml:space="preserve"> mechanism. When a Lead is created with a selected Client, the client's current sectors are copied into </w:t>
      </w:r>
      <w:r>
        <w:rPr>
          <w:rFonts w:ascii="Consolas" w:hAnsi="Consolas"/>
          <w:color w:val="B42828"/>
          <w:sz w:val="21"/>
        </w:rPr>
        <w:t>LeadSector</w:t>
      </w:r>
      <w:r>
        <w:rPr>
          <w:sz w:val="21"/>
        </w:rPr>
        <w:t xml:space="preserve"> join records. Sales can customize sectors for the opportunity without mutating the master Client record.  </w:t>
      </w:r>
    </w:p>
    <w:p>
      <w:pPr>
        <w:spacing w:after="100" w:before="40"/>
      </w:pPr>
      <w:r>
        <w:rPr>
          <w:sz w:val="21"/>
        </w:rPr>
        <w:t xml:space="preserve">  &gt; </w:t>
      </w:r>
      <w:r>
        <w:rPr>
          <w:b/>
          <w:sz w:val="21"/>
        </w:rPr>
        <w:t>Decision 1.3b</w:t>
      </w:r>
      <w:r>
        <w:rPr>
          <w:sz w:val="21"/>
        </w:rPr>
        <w:t xml:space="preserve"> </w:t>
      </w:r>
      <w:r>
        <w:rPr>
          <w:rFonts w:ascii="Consolas" w:hAnsi="Consolas"/>
          <w:color w:val="B42828"/>
          <w:sz w:val="21"/>
        </w:rPr>
        <w:t>[PENDING APPROVAL]</w:t>
      </w:r>
      <w:r>
        <w:rPr>
          <w:sz w:val="21"/>
        </w:rPr>
        <w:t xml:space="preserve">: Place </w:t>
      </w:r>
      <w:r>
        <w:rPr>
          <w:rFonts w:ascii="Consolas" w:hAnsi="Consolas"/>
          <w:color w:val="B42828"/>
          <w:sz w:val="21"/>
        </w:rPr>
        <w:t>otherDetail: String?</w:t>
      </w:r>
      <w:r>
        <w:rPr>
          <w:sz w:val="21"/>
        </w:rPr>
        <w:t xml:space="preserve"> directly on the join tables (</w:t>
      </w:r>
      <w:r>
        <w:rPr>
          <w:rFonts w:ascii="Consolas" w:hAnsi="Consolas"/>
          <w:color w:val="B42828"/>
          <w:sz w:val="21"/>
        </w:rPr>
        <w:t>LeadSector</w:t>
      </w:r>
      <w:r>
        <w:rPr>
          <w:sz w:val="21"/>
        </w:rPr>
        <w:t xml:space="preserve"> and </w:t>
      </w:r>
      <w:r>
        <w:rPr>
          <w:rFonts w:ascii="Consolas" w:hAnsi="Consolas"/>
          <w:color w:val="B42828"/>
          <w:sz w:val="21"/>
        </w:rPr>
        <w:t>ClientSector</w:t>
      </w:r>
      <w:r>
        <w:rPr>
          <w:sz w:val="21"/>
        </w:rPr>
        <w:t xml:space="preserve">) rather than on the root </w:t>
      </w:r>
      <w:r>
        <w:rPr>
          <w:rFonts w:ascii="Consolas" w:hAnsi="Consolas"/>
          <w:color w:val="B42828"/>
          <w:sz w:val="21"/>
        </w:rPr>
        <w:t>Lead</w:t>
      </w:r>
      <w:r>
        <w:rPr>
          <w:sz w:val="21"/>
        </w:rPr>
        <w:t xml:space="preserve"> table. </w:t>
      </w:r>
      <w:r>
        <w:rPr>
          <w:i/>
          <w:sz w:val="21"/>
        </w:rPr>
        <w:t>(Source: Author Review 1 - Revision #8)</w:t>
      </w:r>
      <w:r>
        <w:rPr>
          <w:sz w:val="21"/>
        </w:rPr>
        <w:t xml:space="preserve">  </w:t>
      </w:r>
    </w:p>
    <w:p>
      <w:pPr>
        <w:spacing w:after="100" w:before="40"/>
      </w:pPr>
      <w:r>
        <w:rPr>
          <w:sz w:val="21"/>
        </w:rPr>
        <w:t xml:space="preserve">  &gt; </w:t>
      </w:r>
      <w:r>
        <w:rPr>
          <w:b/>
          <w:sz w:val="21"/>
        </w:rPr>
        <w:t>Rationale</w:t>
      </w:r>
      <w:r>
        <w:rPr>
          <w:sz w:val="21"/>
        </w:rPr>
        <w:t xml:space="preserve">: A client company may operate in Banking, but a specific lead may be purely for their Healthcare insurance subsidiary. Placing </w:t>
      </w:r>
      <w:r>
        <w:rPr>
          <w:rFonts w:ascii="Consolas" w:hAnsi="Consolas"/>
          <w:color w:val="B42828"/>
          <w:sz w:val="21"/>
        </w:rPr>
        <w:t>otherDetail</w:t>
      </w:r>
      <w:r>
        <w:rPr>
          <w:sz w:val="21"/>
        </w:rPr>
        <w:t xml:space="preserve"> on the join record ensures clean multi-tenant and multi-sector precision without root table ambiguity.</w:t>
      </w:r>
    </w:p>
    <w:p>
      <w:pPr>
        <w:pStyle w:val="ListBullet"/>
        <w:spacing w:after="60" w:before="0"/>
        <w:ind w:left="360"/>
      </w:pPr>
      <w:r>
        <w:rPr>
          <w:b/>
          <w:sz w:val="21"/>
        </w:rPr>
        <w:t>Operational Ambiguity &amp; Resolved Edge Case</w:t>
      </w:r>
      <w:r>
        <w:rPr>
          <w:sz w:val="21"/>
        </w:rPr>
        <w:t>:</w:t>
      </w:r>
    </w:p>
    <w:p>
      <w:pPr>
        <w:pStyle w:val="ListBullet"/>
        <w:spacing w:after="60" w:before="0"/>
        <w:ind w:left="720"/>
      </w:pPr>
      <w:r>
        <w:rPr>
          <w:i/>
          <w:sz w:val="21"/>
        </w:rPr>
        <w:t>Ambiguity</w:t>
      </w:r>
      <w:r>
        <w:rPr>
          <w:sz w:val="21"/>
        </w:rPr>
        <w:t xml:space="preserve">: For unregistered prospective clients, how are contacts and sectors handled when the prospect is later formally converted into a real </w:t>
      </w:r>
      <w:r>
        <w:rPr>
          <w:rFonts w:ascii="Consolas" w:hAnsi="Consolas"/>
          <w:sz w:val="21"/>
        </w:rPr>
        <w:t>Client</w:t>
      </w:r>
      <w:r>
        <w:rPr>
          <w:sz w:val="21"/>
        </w:rPr>
        <w:t>?</w:t>
      </w:r>
    </w:p>
    <w:p>
      <w:pPr>
        <w:pStyle w:val="ListBullet"/>
        <w:spacing w:after="60" w:before="0"/>
        <w:ind w:left="720"/>
      </w:pPr>
      <w:r>
        <w:rPr>
          <w:i/>
          <w:sz w:val="21"/>
        </w:rPr>
        <w:t>Resolved Policy</w:t>
      </w:r>
      <w:r>
        <w:rPr>
          <w:sz w:val="21"/>
        </w:rPr>
        <w:t>: During deal conversion (</w:t>
      </w:r>
      <w:r>
        <w:rPr>
          <w:rFonts w:ascii="Consolas" w:hAnsi="Consolas"/>
          <w:sz w:val="21"/>
        </w:rPr>
        <w:t>POST /leads/:id/convert</w:t>
      </w:r>
      <w:r>
        <w:rPr>
          <w:sz w:val="21"/>
        </w:rPr>
        <w:t xml:space="preserve">), the API automatically migrates the lead's scalar contact and custom </w:t>
      </w:r>
      <w:r>
        <w:rPr>
          <w:rFonts w:ascii="Consolas" w:hAnsi="Consolas"/>
          <w:sz w:val="21"/>
        </w:rPr>
        <w:t>LeadSector</w:t>
      </w:r>
      <w:r>
        <w:rPr>
          <w:sz w:val="21"/>
        </w:rPr>
        <w:t xml:space="preserve"> records into the newly created </w:t>
      </w:r>
      <w:r>
        <w:rPr>
          <w:rFonts w:ascii="Consolas" w:hAnsi="Consolas"/>
          <w:sz w:val="21"/>
        </w:rPr>
        <w:t>Client</w:t>
      </w:r>
      <w:r>
        <w:rPr>
          <w:sz w:val="21"/>
        </w:rPr>
        <w:t xml:space="preserve"> master profile as default initial values.</w:t>
      </w:r>
    </w:p>
    <w:p>
      <w:pPr>
        <w:pStyle w:val="ListBullet"/>
        <w:spacing w:after="60" w:before="0"/>
        <w:ind w:left="360"/>
      </w:pPr>
      <w:r>
        <w:rPr>
          <w:b/>
          <w:sz w:val="21"/>
        </w:rPr>
        <w:t>Technical Implementation Specification (Optional / Reference Example)</w:t>
      </w:r>
      <w:r>
        <w:rPr>
          <w:sz w:val="21"/>
        </w:rPr>
        <w:t>:</w:t>
      </w:r>
    </w:p>
    <w:p>
      <w:pPr>
        <w:pStyle w:val="ListBullet"/>
        <w:spacing w:after="60" w:before="0"/>
        <w:ind w:left="720"/>
      </w:pPr>
      <w:r>
        <w:rPr>
          <w:b/>
          <w:sz w:val="21"/>
        </w:rPr>
        <w:t>Join Models with otherDetail (Example)</w:t>
      </w:r>
      <w:r>
        <w:rPr>
          <w:sz w:val="21"/>
        </w:rPr>
        <w:t>:</w:t>
      </w:r>
    </w:p>
    <w:p>
      <w:pPr>
        <w:spacing w:after="100" w:before="40"/>
      </w:pPr>
      <w:r>
        <w:rPr>
          <w:sz w:val="21"/>
        </w:rPr>
        <w:t xml:space="preserve">    </w:t>
      </w:r>
      <w:r>
        <w:rPr>
          <w:rFonts w:ascii="Consolas" w:hAnsi="Consolas"/>
          <w:color w:val="B42828"/>
          <w:sz w:val="21"/>
        </w:rPr>
      </w:r>
      <w:r>
        <w:rPr>
          <w:sz w:val="21"/>
        </w:rPr>
        <w:t>`prisma</w:t>
      </w:r>
    </w:p>
    <w:p>
      <w:pPr>
        <w:spacing w:after="100" w:before="40"/>
      </w:pPr>
      <w:r>
        <w:rPr>
          <w:sz w:val="21"/>
        </w:rPr>
        <w:t xml:space="preserve">    model ClientSector {</w:t>
      </w:r>
    </w:p>
    <w:p>
      <w:pPr>
        <w:spacing w:after="100" w:before="40"/>
      </w:pPr>
      <w:r>
        <w:rPr>
          <w:sz w:val="21"/>
        </w:rPr>
        <w:t xml:space="preserve">      id          String         @id @default(cuid())</w:t>
      </w:r>
    </w:p>
    <w:p>
      <w:pPr>
        <w:spacing w:after="100" w:before="40"/>
      </w:pPr>
      <w:r>
        <w:rPr>
          <w:sz w:val="21"/>
        </w:rPr>
        <w:t xml:space="preserve">      clientId    String</w:t>
      </w:r>
    </w:p>
    <w:p>
      <w:pPr>
        <w:spacing w:after="100" w:before="40"/>
      </w:pPr>
      <w:r>
        <w:rPr>
          <w:sz w:val="21"/>
        </w:rPr>
        <w:t xml:space="preserve">      client      Client         @relation(fields: [clientId], references: [id], onDelete: Cascade)</w:t>
      </w:r>
    </w:p>
    <w:p>
      <w:pPr>
        <w:spacing w:after="100" w:before="40"/>
      </w:pPr>
      <w:r>
        <w:rPr>
          <w:sz w:val="21"/>
        </w:rPr>
        <w:t xml:space="preserve">      sectorId    String</w:t>
      </w:r>
    </w:p>
    <w:p>
      <w:pPr>
        <w:spacing w:after="100" w:before="40"/>
      </w:pPr>
      <w:r>
        <w:rPr>
          <w:sz w:val="21"/>
        </w:rPr>
        <w:t xml:space="preserve">      sector      IndustrySector @relation(fields: [sectorId], references: [id])</w:t>
      </w:r>
    </w:p>
    <w:p>
      <w:pPr>
        <w:spacing w:after="100" w:before="40"/>
      </w:pPr>
      <w:r>
        <w:rPr>
          <w:sz w:val="21"/>
        </w:rPr>
        <w:t xml:space="preserve">      isPrimary   Boolean        @default(false)</w:t>
      </w:r>
    </w:p>
    <w:p>
      <w:pPr>
        <w:spacing w:after="100" w:before="40"/>
      </w:pPr>
      <w:r>
        <w:rPr>
          <w:sz w:val="21"/>
        </w:rPr>
        <w:t xml:space="preserve">      otherDetail String?        // Specific text when sector code == "OTHER"</w:t>
      </w:r>
    </w:p>
    <w:p>
      <w:pPr>
        <w:spacing w:after="100" w:before="40"/>
      </w:pPr>
      <w:r>
        <w:rPr>
          <w:sz w:val="21"/>
        </w:rPr>
        <w:t xml:space="preserve">      createdAt   DateTime       @default(now())</w:t>
      </w:r>
    </w:p>
    <w:p>
      <w:pPr>
        <w:spacing w:after="100" w:before="40"/>
      </w:pPr>
      <w:r>
        <w:rPr>
          <w:sz w:val="21"/>
        </w:rPr>
        <w:t xml:space="preserve">      @@unique([clientId, sectorId])</w:t>
      </w:r>
    </w:p>
    <w:p>
      <w:pPr>
        <w:spacing w:after="100" w:before="40"/>
      </w:pPr>
      <w:r>
        <w:rPr>
          <w:sz w:val="21"/>
        </w:rPr>
        <w:t xml:space="preserve">    }</w:t>
      </w:r>
    </w:p>
    <w:p>
      <w:pPr>
        <w:spacing w:after="100" w:before="40"/>
      </w:pPr>
      <w:r>
        <w:rPr>
          <w:sz w:val="21"/>
        </w:rPr>
        <w:t xml:space="preserve">    model LeadSector {</w:t>
      </w:r>
    </w:p>
    <w:p>
      <w:pPr>
        <w:spacing w:after="100" w:before="40"/>
      </w:pPr>
      <w:r>
        <w:rPr>
          <w:sz w:val="21"/>
        </w:rPr>
        <w:t xml:space="preserve">      id          String         @id @default(cuid())</w:t>
      </w:r>
    </w:p>
    <w:p>
      <w:pPr>
        <w:spacing w:after="100" w:before="40"/>
      </w:pPr>
      <w:r>
        <w:rPr>
          <w:sz w:val="21"/>
        </w:rPr>
        <w:t xml:space="preserve">      leadId      String</w:t>
      </w:r>
    </w:p>
    <w:p>
      <w:pPr>
        <w:spacing w:after="100" w:before="40"/>
      </w:pPr>
      <w:r>
        <w:rPr>
          <w:sz w:val="21"/>
        </w:rPr>
        <w:t xml:space="preserve">      lead        Lead           @relation(fields: [leadId], references: [id], onDelete: Cascade)</w:t>
      </w:r>
    </w:p>
    <w:p>
      <w:pPr>
        <w:spacing w:after="100" w:before="40"/>
      </w:pPr>
      <w:r>
        <w:rPr>
          <w:sz w:val="21"/>
        </w:rPr>
        <w:t xml:space="preserve">      sectorId    String</w:t>
      </w:r>
    </w:p>
    <w:p>
      <w:pPr>
        <w:spacing w:after="100" w:before="40"/>
      </w:pPr>
      <w:r>
        <w:rPr>
          <w:sz w:val="21"/>
        </w:rPr>
        <w:t xml:space="preserve">      sector      IndustrySector @relation(fields: [sectorId], references: [id])</w:t>
      </w:r>
    </w:p>
    <w:p>
      <w:pPr>
        <w:spacing w:after="100" w:before="40"/>
      </w:pPr>
      <w:r>
        <w:rPr>
          <w:sz w:val="21"/>
        </w:rPr>
        <w:t xml:space="preserve">      isPrimary   Boolean        @default(false)</w:t>
      </w:r>
    </w:p>
    <w:p>
      <w:pPr>
        <w:spacing w:after="100" w:before="40"/>
      </w:pPr>
      <w:r>
        <w:rPr>
          <w:sz w:val="21"/>
        </w:rPr>
        <w:t xml:space="preserve">      otherDetail String?        // Specific text when sector code == "OTHER"</w:t>
      </w:r>
    </w:p>
    <w:p>
      <w:pPr>
        <w:spacing w:after="100" w:before="40"/>
      </w:pPr>
      <w:r>
        <w:rPr>
          <w:sz w:val="21"/>
        </w:rPr>
        <w:t xml:space="preserve">      source      String         @default("CLIENT_SNAPSHOT") // CLIENT_SNAPSHOT | MANUAL_OVERRIDE</w:t>
      </w:r>
    </w:p>
    <w:p>
      <w:pPr>
        <w:spacing w:after="100" w:before="40"/>
      </w:pPr>
      <w:r>
        <w:rPr>
          <w:sz w:val="21"/>
        </w:rPr>
        <w:t xml:space="preserve">      createdAt   DateTime       @default(now())</w:t>
      </w:r>
    </w:p>
    <w:p>
      <w:pPr>
        <w:spacing w:after="100" w:before="40"/>
      </w:pPr>
      <w:r>
        <w:rPr>
          <w:sz w:val="21"/>
        </w:rPr>
        <w:t xml:space="preserve">      @@unique([leadId, sectorId])</w:t>
      </w:r>
    </w:p>
    <w:p>
      <w:pPr>
        <w:spacing w:after="100" w:before="40"/>
      </w:pPr>
      <w:r>
        <w:rPr>
          <w:sz w:val="21"/>
        </w:rPr>
        <w:t xml:space="preserve">    }</w:t>
      </w:r>
    </w:p>
    <w:p>
      <w:pPr>
        <w:spacing w:after="100" w:before="40"/>
      </w:pPr>
      <w:r>
        <w:rPr>
          <w:sz w:val="21"/>
        </w:rPr>
        <w:t xml:space="preserve">    </w:t>
      </w:r>
      <w:r>
        <w:rPr>
          <w:rFonts w:ascii="Consolas" w:hAnsi="Consolas"/>
          <w:color w:val="B42828"/>
          <w:sz w:val="21"/>
        </w:rPr>
      </w:r>
      <w:r>
        <w:rPr>
          <w:rFonts w:ascii="Consolas" w:hAnsi="Consolas"/>
          <w:color w:val="B42828"/>
          <w:sz w:val="21"/>
        </w:rPr>
      </w:r>
    </w:p>
    <w:p>
      <w:pPr>
        <w:pStyle w:val="Heading4"/>
        <w:spacing w:before="160" w:after="60"/>
      </w:pPr>
      <w:r>
        <w:rPr>
          <w:b/>
          <w:color w:val="464646"/>
          <w:sz w:val="23"/>
        </w:rPr>
        <w:t>Question 4: Multi-Sector Pipeline Attribution &amp; PostgreSQL Partial Unique Index</w:t>
      </w:r>
    </w:p>
    <w:p>
      <w:pPr>
        <w:pStyle w:val="ListBullet"/>
        <w:spacing w:after="60" w:before="0"/>
        <w:ind w:left="360"/>
      </w:pPr>
      <w:r>
        <w:rPr>
          <w:b/>
          <w:sz w:val="21"/>
        </w:rPr>
        <w:t>Bahasa Indonesia</w:t>
      </w:r>
      <w:r>
        <w:rPr>
          <w:sz w:val="21"/>
        </w:rPr>
        <w:t xml:space="preserve">: </w:t>
      </w:r>
      <w:r>
        <w:rPr>
          <w:i/>
          <w:sz w:val="21"/>
        </w:rPr>
        <w:t>"Bagaimana multi-sector value attribution mencegah double counting?"</w:t>
      </w:r>
    </w:p>
    <w:p>
      <w:pPr>
        <w:pStyle w:val="ListBullet"/>
        <w:spacing w:after="60" w:before="0"/>
        <w:ind w:left="360"/>
      </w:pPr>
      <w:r>
        <w:rPr>
          <w:b/>
          <w:sz w:val="21"/>
        </w:rPr>
        <w:t>English Translation</w:t>
      </w:r>
      <w:r>
        <w:rPr>
          <w:sz w:val="21"/>
        </w:rPr>
        <w:t>: "How does multi-sector value attribution prevent double counting in pipeline analytics?"</w:t>
      </w:r>
    </w:p>
    <w:p>
      <w:pPr>
        <w:pStyle w:val="ListBullet"/>
        <w:spacing w:after="60" w:before="0"/>
        <w:ind w:left="360"/>
      </w:pPr>
      <w:r>
        <w:rPr>
          <w:b/>
          <w:sz w:val="21"/>
        </w:rPr>
        <w:t>In the Simplest Terms</w:t>
      </w:r>
      <w:r>
        <w:rPr>
          <w:sz w:val="21"/>
        </w:rPr>
        <w:t>: In executive summary dashboards, each lead is counted once for total company revenue. In sector breakdown charts, deals are categorized by their primary sector.</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1.4</w:t>
      </w:r>
      <w:r>
        <w:rPr>
          <w:sz w:val="21"/>
        </w:rPr>
        <w:t xml:space="preserve"> </w:t>
      </w:r>
      <w:r>
        <w:rPr>
          <w:rFonts w:ascii="Consolas" w:hAnsi="Consolas"/>
          <w:color w:val="B42828"/>
          <w:sz w:val="21"/>
        </w:rPr>
        <w:t>[PENDING APPROVAL]</w:t>
      </w:r>
      <w:r>
        <w:rPr>
          <w:sz w:val="21"/>
        </w:rPr>
        <w:t xml:space="preserve">: Implement a </w:t>
      </w:r>
      <w:r>
        <w:rPr>
          <w:b/>
          <w:sz w:val="21"/>
        </w:rPr>
        <w:t>Two-Tier Attribution Architecture</w:t>
      </w:r>
      <w:r>
        <w:rPr>
          <w:sz w:val="21"/>
        </w:rPr>
        <w:t xml:space="preserve">: (1) Executive total pipeline metrics use strict distinct-lead aggregation. (2) Sector breakdown reports categorize revenue by the </w:t>
      </w:r>
      <w:r>
        <w:rPr>
          <w:rFonts w:ascii="Consolas" w:hAnsi="Consolas"/>
          <w:color w:val="B42828"/>
          <w:sz w:val="21"/>
        </w:rPr>
        <w:t>isPrimary = true</w:t>
      </w:r>
      <w:r>
        <w:rPr>
          <w:sz w:val="21"/>
        </w:rPr>
        <w:t xml:space="preserve"> sector for 100% additive slices, alongside an optional cross-sector tag frequency matrix.  </w:t>
      </w:r>
    </w:p>
    <w:p>
      <w:pPr>
        <w:spacing w:after="100" w:before="40"/>
      </w:pPr>
      <w:r>
        <w:rPr>
          <w:sz w:val="21"/>
        </w:rPr>
        <w:t xml:space="preserve">  &gt; </w:t>
      </w:r>
      <w:r>
        <w:rPr>
          <w:b/>
          <w:sz w:val="21"/>
        </w:rPr>
        <w:t>Decision 1.4b</w:t>
      </w:r>
      <w:r>
        <w:rPr>
          <w:sz w:val="21"/>
        </w:rPr>
        <w:t xml:space="preserve"> </w:t>
      </w:r>
      <w:r>
        <w:rPr>
          <w:rFonts w:ascii="Consolas" w:hAnsi="Consolas"/>
          <w:color w:val="B42828"/>
          <w:sz w:val="21"/>
        </w:rPr>
        <w:t>[PENDING APPROVAL]</w:t>
      </w:r>
      <w:r>
        <w:rPr>
          <w:sz w:val="21"/>
        </w:rPr>
        <w:t xml:space="preserve">: Enforce the strict invariant: </w:t>
      </w:r>
      <w:r>
        <w:rPr>
          <w:b/>
          <w:sz w:val="21"/>
        </w:rPr>
        <w:t>If a Lead has $\ge 1$ sector assigned, EXACTLY ONE sector must have `isPrimary = true`</w:t>
      </w:r>
      <w:r>
        <w:rPr>
          <w:sz w:val="21"/>
        </w:rPr>
        <w:t xml:space="preserve">. Concurrency protection is guaranteed via a </w:t>
      </w:r>
      <w:r>
        <w:rPr>
          <w:b/>
          <w:sz w:val="21"/>
        </w:rPr>
        <w:t>PostgreSQL Partial Unique Index</w:t>
      </w:r>
      <w:r>
        <w:rPr>
          <w:sz w:val="21"/>
        </w:rPr>
        <w:t xml:space="preserve"> and advisory locking during transaction updates. </w:t>
      </w:r>
      <w:r>
        <w:rPr>
          <w:i/>
          <w:sz w:val="21"/>
        </w:rPr>
        <w:t>(Source: Author Review 2 - Item #6)</w:t>
      </w:r>
      <w:r>
        <w:rPr>
          <w:sz w:val="21"/>
        </w:rPr>
        <w:t xml:space="preserve">  </w:t>
      </w:r>
    </w:p>
    <w:p>
      <w:pPr>
        <w:spacing w:after="100" w:before="40"/>
      </w:pPr>
      <w:r>
        <w:rPr>
          <w:sz w:val="21"/>
        </w:rPr>
        <w:t xml:space="preserve">  &gt; </w:t>
      </w:r>
      <w:r>
        <w:rPr>
          <w:b/>
          <w:sz w:val="21"/>
        </w:rPr>
        <w:t>Rationale</w:t>
      </w:r>
      <w:r>
        <w:rPr>
          <w:sz w:val="21"/>
        </w:rPr>
        <w:t>: Naive grouping by sector multiplies total pipeline value across sectors. The partial unique index at the database layer makes it physically impossible for concurrent API calls to mark multiple sectors as primary for the same lead.</w:t>
      </w:r>
    </w:p>
    <w:p>
      <w:pPr>
        <w:pStyle w:val="ListBullet"/>
        <w:spacing w:after="60" w:before="0"/>
        <w:ind w:left="360"/>
      </w:pPr>
      <w:r>
        <w:rPr>
          <w:b/>
          <w:sz w:val="21"/>
        </w:rPr>
        <w:t>Technical Implementation Specification (Optional / Reference Example)</w:t>
      </w:r>
      <w:r>
        <w:rPr>
          <w:sz w:val="21"/>
        </w:rPr>
        <w:t>:</w:t>
      </w:r>
    </w:p>
    <w:p>
      <w:pPr>
        <w:pStyle w:val="ListBullet"/>
        <w:spacing w:after="60" w:before="0"/>
        <w:ind w:left="720"/>
      </w:pPr>
      <w:r>
        <w:rPr>
          <w:b/>
          <w:sz w:val="21"/>
        </w:rPr>
        <w:t>PostgreSQL Partial Unique Index Migration (Example)</w:t>
      </w:r>
      <w:r>
        <w:rPr>
          <w:sz w:val="21"/>
        </w:rPr>
        <w:t>:</w:t>
      </w:r>
    </w:p>
    <w:p>
      <w:pPr>
        <w:spacing w:after="100" w:before="40"/>
      </w:pPr>
      <w:r>
        <w:rPr>
          <w:sz w:val="21"/>
        </w:rPr>
        <w:t xml:space="preserve">    </w:t>
      </w:r>
      <w:r>
        <w:rPr>
          <w:rFonts w:ascii="Consolas" w:hAnsi="Consolas"/>
          <w:color w:val="B42828"/>
          <w:sz w:val="21"/>
        </w:rPr>
      </w:r>
      <w:r>
        <w:rPr>
          <w:sz w:val="21"/>
        </w:rPr>
        <w:t>`sql</w:t>
      </w:r>
    </w:p>
    <w:p>
      <w:pPr>
        <w:spacing w:after="100" w:before="40"/>
      </w:pPr>
      <w:r>
        <w:rPr>
          <w:sz w:val="21"/>
        </w:rPr>
        <w:t xml:space="preserve">    -- Enforce that at most one LeadSector per lead can be marked isPrimary = true</w:t>
      </w:r>
    </w:p>
    <w:p>
      <w:pPr>
        <w:spacing w:after="100" w:before="40"/>
      </w:pPr>
      <w:r>
        <w:rPr>
          <w:sz w:val="21"/>
        </w:rPr>
        <w:t xml:space="preserve">    CREATE UNIQUE INDEX one_primary_sector_per_lead </w:t>
      </w:r>
    </w:p>
    <w:p>
      <w:pPr>
        <w:spacing w:after="100" w:before="40"/>
      </w:pPr>
      <w:r>
        <w:rPr>
          <w:sz w:val="21"/>
        </w:rPr>
        <w:t xml:space="preserve">    ON "LeadSector" ("leadId") </w:t>
      </w:r>
    </w:p>
    <w:p>
      <w:pPr>
        <w:spacing w:after="100" w:before="40"/>
      </w:pPr>
      <w:r>
        <w:rPr>
          <w:sz w:val="21"/>
        </w:rPr>
        <w:t xml:space="preserve">    WHERE "isPrimary" = true;</w:t>
      </w:r>
    </w:p>
    <w:p>
      <w:pPr>
        <w:spacing w:after="100" w:before="40"/>
      </w:pPr>
      <w:r>
        <w:rPr>
          <w:sz w:val="21"/>
        </w:rPr>
        <w:t xml:space="preserve">    </w:t>
      </w:r>
      <w:r>
        <w:rPr>
          <w:rFonts w:ascii="Consolas" w:hAnsi="Consolas"/>
          <w:color w:val="B42828"/>
          <w:sz w:val="21"/>
        </w:rPr>
      </w:r>
      <w:r>
        <w:rPr>
          <w:rFonts w:ascii="Consolas" w:hAnsi="Consolas"/>
          <w:color w:val="B42828"/>
          <w:sz w:val="21"/>
        </w:rPr>
      </w:r>
    </w:p>
    <w:p>
      <w:pPr>
        <w:pStyle w:val="ListBullet"/>
        <w:spacing w:after="60" w:before="0"/>
        <w:ind w:left="720"/>
      </w:pPr>
      <w:r>
        <w:rPr>
          <w:b/>
          <w:sz w:val="21"/>
        </w:rPr>
        <w:t>Atomic Primary Switch Transaction with Advisory Lock (Example)</w:t>
      </w:r>
      <w:r>
        <w:rPr>
          <w:sz w:val="21"/>
        </w:rPr>
        <w:t>:</w:t>
      </w:r>
    </w:p>
    <w:p>
      <w:pPr>
        <w:spacing w:after="100" w:before="40"/>
      </w:pPr>
      <w:r>
        <w:rPr>
          <w:sz w:val="21"/>
        </w:rPr>
        <w:t xml:space="preserve">    </w:t>
      </w:r>
      <w:r>
        <w:rPr>
          <w:rFonts w:ascii="Consolas" w:hAnsi="Consolas"/>
          <w:color w:val="B42828"/>
          <w:sz w:val="21"/>
        </w:rPr>
      </w:r>
      <w:r>
        <w:rPr>
          <w:sz w:val="21"/>
        </w:rPr>
        <w:t>`typescript</w:t>
      </w:r>
    </w:p>
    <w:p>
      <w:pPr>
        <w:spacing w:after="100" w:before="40"/>
      </w:pPr>
      <w:r>
        <w:rPr>
          <w:sz w:val="21"/>
        </w:rPr>
        <w:t xml:space="preserve">    await prisma.$transaction(async (tx) =&gt; {</w:t>
      </w:r>
    </w:p>
    <w:p>
      <w:pPr>
        <w:spacing w:after="100" w:before="40"/>
      </w:pPr>
      <w:r>
        <w:rPr>
          <w:sz w:val="21"/>
        </w:rPr>
        <w:t xml:space="preserve">      // 1. Acquire per-lead transaction advisory lock</w:t>
      </w:r>
    </w:p>
    <w:p>
      <w:pPr>
        <w:spacing w:after="100" w:before="40"/>
      </w:pPr>
      <w:r>
        <w:rPr>
          <w:sz w:val="21"/>
        </w:rPr>
        <w:t xml:space="preserve">      await tx.$executeRaw</w:t>
      </w:r>
      <w:r>
        <w:rPr>
          <w:rFonts w:ascii="Consolas" w:hAnsi="Consolas"/>
          <w:color w:val="B42828"/>
          <w:sz w:val="21"/>
        </w:rPr>
        <w:t>SELECT pg_advisory_xact_lock(hashtext(${leadId}))</w:t>
      </w:r>
      <w:r>
        <w:rPr>
          <w:sz w:val="21"/>
        </w:rPr>
        <w:t>;</w:t>
      </w:r>
    </w:p>
    <w:p>
      <w:pPr>
        <w:spacing w:after="100" w:before="40"/>
      </w:pPr>
      <w:r>
        <w:rPr>
          <w:sz w:val="21"/>
        </w:rPr>
        <w:t xml:space="preserve">      // 2. Reset existing primary flags for the lead</w:t>
      </w:r>
    </w:p>
    <w:p>
      <w:pPr>
        <w:spacing w:after="100" w:before="40"/>
      </w:pPr>
      <w:r>
        <w:rPr>
          <w:sz w:val="21"/>
        </w:rPr>
        <w:t xml:space="preserve">      await tx.leadSector.updateMany({</w:t>
      </w:r>
    </w:p>
    <w:p>
      <w:pPr>
        <w:spacing w:after="100" w:before="40"/>
      </w:pPr>
      <w:r>
        <w:rPr>
          <w:sz w:val="21"/>
        </w:rPr>
        <w:t xml:space="preserve">        where: { leadId },</w:t>
      </w:r>
    </w:p>
    <w:p>
      <w:pPr>
        <w:spacing w:after="100" w:before="40"/>
      </w:pPr>
      <w:r>
        <w:rPr>
          <w:sz w:val="21"/>
        </w:rPr>
        <w:t xml:space="preserve">        data: { isPrimary: false }</w:t>
      </w:r>
    </w:p>
    <w:p>
      <w:pPr>
        <w:spacing w:after="100" w:before="40"/>
      </w:pPr>
      <w:r>
        <w:rPr>
          <w:sz w:val="21"/>
        </w:rPr>
        <w:t xml:space="preserve">      });</w:t>
      </w:r>
    </w:p>
    <w:p>
      <w:pPr>
        <w:spacing w:after="100" w:before="40"/>
      </w:pPr>
      <w:r>
        <w:rPr>
          <w:sz w:val="21"/>
        </w:rPr>
        <w:t xml:space="preserve">      // 3. Set the new designated primary sector</w:t>
      </w:r>
    </w:p>
    <w:p>
      <w:pPr>
        <w:spacing w:after="100" w:before="40"/>
      </w:pPr>
      <w:r>
        <w:rPr>
          <w:sz w:val="21"/>
        </w:rPr>
        <w:t xml:space="preserve">      await tx.leadSector.update({</w:t>
      </w:r>
    </w:p>
    <w:p>
      <w:pPr>
        <w:spacing w:after="100" w:before="40"/>
      </w:pPr>
      <w:r>
        <w:rPr>
          <w:sz w:val="21"/>
        </w:rPr>
        <w:t xml:space="preserve">        where: { leadId_sectorId: { leadId, sectorId: newPrimarySectorId } },</w:t>
      </w:r>
    </w:p>
    <w:p>
      <w:pPr>
        <w:spacing w:after="100" w:before="40"/>
      </w:pPr>
      <w:r>
        <w:rPr>
          <w:sz w:val="21"/>
        </w:rPr>
        <w:t xml:space="preserve">        data: { isPrimary: true }</w:t>
      </w:r>
    </w:p>
    <w:p>
      <w:pPr>
        <w:spacing w:after="100" w:before="40"/>
      </w:pPr>
      <w:r>
        <w:rPr>
          <w:sz w:val="21"/>
        </w:rPr>
        <w:t xml:space="preserve">      });</w:t>
      </w:r>
    </w:p>
    <w:p>
      <w:pPr>
        <w:spacing w:after="100" w:before="40"/>
      </w:pPr>
      <w:r>
        <w:rPr>
          <w:sz w:val="21"/>
        </w:rPr>
        <w:t xml:space="preserve">    });</w:t>
      </w:r>
    </w:p>
    <w:p>
      <w:pPr>
        <w:spacing w:after="100" w:before="40"/>
      </w:pPr>
      <w:r>
        <w:rPr>
          <w:sz w:val="21"/>
        </w:rPr>
        <w:t xml:space="preserve">    </w:t>
      </w:r>
      <w:r>
        <w:rPr>
          <w:rFonts w:ascii="Consolas" w:hAnsi="Consolas"/>
          <w:color w:val="B42828"/>
          <w:sz w:val="21"/>
        </w:rPr>
      </w:r>
      <w:r>
        <w:rPr>
          <w:rFonts w:ascii="Consolas" w:hAnsi="Consolas"/>
          <w:color w:val="B42828"/>
          <w:sz w:val="21"/>
        </w:rPr>
      </w:r>
    </w:p>
    <w:p>
      <w:pPr>
        <w:pStyle w:val="Heading4"/>
        <w:spacing w:before="160" w:after="60"/>
      </w:pPr>
      <w:r>
        <w:rPr>
          <w:b/>
          <w:color w:val="464646"/>
          <w:sz w:val="23"/>
        </w:rPr>
        <w:t>Question 5: Handling "OTHER", Inactive Sector Lifecycle, &amp; CRM Ingestion</w:t>
      </w:r>
    </w:p>
    <w:p>
      <w:pPr>
        <w:pStyle w:val="ListBullet"/>
        <w:spacing w:after="60" w:before="0"/>
        <w:ind w:left="360"/>
      </w:pPr>
      <w:r>
        <w:rPr>
          <w:b/>
          <w:sz w:val="21"/>
        </w:rPr>
        <w:t>Bahasa Indonesia</w:t>
      </w:r>
      <w:r>
        <w:rPr>
          <w:sz w:val="21"/>
        </w:rPr>
        <w:t xml:space="preserve">: </w:t>
      </w:r>
      <w:r>
        <w:rPr>
          <w:i/>
          <w:sz w:val="21"/>
        </w:rPr>
        <w:t>"Bagaimana OTHER, sector deactivation, dan Pipedrive unknown mapping ditangani?"</w:t>
      </w:r>
    </w:p>
    <w:p>
      <w:pPr>
        <w:pStyle w:val="ListBullet"/>
        <w:spacing w:after="60" w:before="0"/>
        <w:ind w:left="360"/>
      </w:pPr>
      <w:r>
        <w:rPr>
          <w:b/>
          <w:sz w:val="21"/>
        </w:rPr>
        <w:t>English Translation</w:t>
      </w:r>
      <w:r>
        <w:rPr>
          <w:sz w:val="21"/>
        </w:rPr>
        <w:t>: "How are 'OTHER', sector deactivation, and unmapped Pipedrive sectors handled?"</w:t>
      </w:r>
    </w:p>
    <w:p>
      <w:pPr>
        <w:pStyle w:val="ListBullet"/>
        <w:spacing w:after="60" w:before="0"/>
        <w:ind w:left="360"/>
      </w:pPr>
      <w:r>
        <w:rPr>
          <w:b/>
          <w:sz w:val="21"/>
        </w:rPr>
        <w:t>In the Simplest Terms</w:t>
      </w:r>
      <w:r>
        <w:rPr>
          <w:sz w:val="21"/>
        </w:rPr>
        <w:t>: If someone picks "OTHER", they must write a description. Deactivated sectors stay valid on old leads for history, but can't be chosen for new ones. Unknown sectors from CRM go to a review queue instead of making junk data.</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1.5</w:t>
      </w:r>
      <w:r>
        <w:rPr>
          <w:sz w:val="21"/>
        </w:rPr>
        <w:t xml:space="preserve"> </w:t>
      </w:r>
      <w:r>
        <w:rPr>
          <w:rFonts w:ascii="Consolas" w:hAnsi="Consolas"/>
          <w:color w:val="B42828"/>
          <w:sz w:val="21"/>
        </w:rPr>
        <w:t>[PENDING APPROVAL]</w:t>
      </w:r>
      <w:r>
        <w:rPr>
          <w:sz w:val="21"/>
        </w:rPr>
        <w:t xml:space="preserve">: Enforce mandatory text details when selecting the </w:t>
      </w:r>
      <w:r>
        <w:rPr>
          <w:rFonts w:ascii="Consolas" w:hAnsi="Consolas"/>
          <w:color w:val="B42828"/>
          <w:sz w:val="21"/>
        </w:rPr>
        <w:t>"OTHER"</w:t>
      </w:r>
      <w:r>
        <w:rPr>
          <w:sz w:val="21"/>
        </w:rPr>
        <w:t xml:space="preserve"> sector code; apply soft-deletion (</w:t>
      </w:r>
      <w:r>
        <w:rPr>
          <w:rFonts w:ascii="Consolas" w:hAnsi="Consolas"/>
          <w:color w:val="B42828"/>
          <w:sz w:val="21"/>
        </w:rPr>
        <w:t>isActive = false</w:t>
      </w:r>
      <w:r>
        <w:rPr>
          <w:sz w:val="21"/>
        </w:rPr>
        <w:t xml:space="preserve">) to preserve historical joins; and route unrecognized CRM sectors into a dedicated </w:t>
      </w:r>
      <w:r>
        <w:rPr>
          <w:rFonts w:ascii="Consolas" w:hAnsi="Consolas"/>
          <w:color w:val="B42828"/>
          <w:sz w:val="21"/>
        </w:rPr>
        <w:t>UNCLASSIFIED</w:t>
      </w:r>
      <w:r>
        <w:rPr>
          <w:sz w:val="21"/>
        </w:rPr>
        <w:t xml:space="preserve"> quarantine queue for admin review.  </w:t>
      </w:r>
    </w:p>
    <w:p>
      <w:pPr>
        <w:spacing w:after="100" w:before="40"/>
      </w:pPr>
      <w:r>
        <w:rPr>
          <w:sz w:val="21"/>
        </w:rPr>
        <w:t xml:space="preserve">  &gt; </w:t>
      </w:r>
      <w:r>
        <w:rPr>
          <w:b/>
          <w:sz w:val="21"/>
        </w:rPr>
        <w:t>Decision 1.5b</w:t>
      </w:r>
      <w:r>
        <w:rPr>
          <w:sz w:val="21"/>
        </w:rPr>
        <w:t xml:space="preserve"> </w:t>
      </w:r>
      <w:r>
        <w:rPr>
          <w:rFonts w:ascii="Consolas" w:hAnsi="Consolas"/>
          <w:color w:val="B42828"/>
          <w:sz w:val="21"/>
        </w:rPr>
        <w:t>[PENDING APPROVAL]</w:t>
      </w:r>
      <w:r>
        <w:rPr>
          <w:sz w:val="21"/>
        </w:rPr>
        <w:t xml:space="preserve">: Deactivated sectors remain valid for historical classification and reporting; existing historical leads retain their classification without error; deactivated sectors are blocked from new assignments; and the system prompts </w:t>
      </w:r>
      <w:r>
        <w:rPr>
          <w:rFonts w:ascii="Consolas" w:hAnsi="Consolas"/>
          <w:color w:val="B42828"/>
          <w:sz w:val="21"/>
        </w:rPr>
        <w:t>SECTOR_RECLASSIFICATION_REQUIRED</w:t>
      </w:r>
      <w:r>
        <w:rPr>
          <w:sz w:val="21"/>
        </w:rPr>
        <w:t xml:space="preserve"> only upon major deal renegotiations or scope revisions. </w:t>
      </w:r>
      <w:r>
        <w:rPr>
          <w:i/>
          <w:sz w:val="21"/>
        </w:rPr>
        <w:t>(Source: Author Review 2 - Item #5)</w:t>
      </w:r>
      <w:r>
        <w:rPr>
          <w:sz w:val="21"/>
        </w:rPr>
        <w:t xml:space="preserve">  </w:t>
      </w:r>
    </w:p>
    <w:p>
      <w:pPr>
        <w:spacing w:after="100" w:before="40"/>
      </w:pPr>
      <w:r>
        <w:rPr>
          <w:sz w:val="21"/>
        </w:rPr>
        <w:t xml:space="preserve">  &gt; </w:t>
      </w:r>
      <w:r>
        <w:rPr>
          <w:b/>
          <w:sz w:val="21"/>
        </w:rPr>
        <w:t>Rationale</w:t>
      </w:r>
      <w:r>
        <w:rPr>
          <w:sz w:val="21"/>
        </w:rPr>
        <w:t>: Prevents users from abusing "OTHER" without explanation, and ensures that retiring an industry sector does not retroactively break validation on historical leads.</w:t>
      </w:r>
    </w:p>
    <w:p>
      <w:pPr>
        <w:pStyle w:val="Heading3"/>
        <w:spacing w:before="200" w:after="80"/>
      </w:pPr>
      <w:r>
        <w:rPr>
          <w:b/>
          <w:color w:val="326496"/>
          <w:sz w:val="26"/>
        </w:rPr>
        <w:t>🏢 Category 2: Organization Structure &amp; Principal Routing (`DEMO-03` &amp; `DEMO-04`)</w:t>
      </w:r>
    </w:p>
    <w:p>
      <w:pPr>
        <w:pStyle w:val="Heading4"/>
        <w:spacing w:before="160" w:after="60"/>
      </w:pPr>
      <w:r>
        <w:rPr>
          <w:b/>
          <w:color w:val="464646"/>
          <w:sz w:val="23"/>
        </w:rPr>
        <w:t>Question 6: Business Unit (BU) Cardinality &amp; Normalized Secondary BUs</w:t>
      </w:r>
    </w:p>
    <w:p>
      <w:pPr>
        <w:pStyle w:val="ListBullet"/>
        <w:spacing w:after="60" w:before="0"/>
        <w:ind w:left="360"/>
      </w:pPr>
      <w:r>
        <w:rPr>
          <w:b/>
          <w:sz w:val="21"/>
        </w:rPr>
        <w:t>Bahasa Indonesia</w:t>
      </w:r>
      <w:r>
        <w:rPr>
          <w:sz w:val="21"/>
        </w:rPr>
        <w:t xml:space="preserve">: </w:t>
      </w:r>
      <w:r>
        <w:rPr>
          <w:i/>
          <w:sz w:val="21"/>
        </w:rPr>
        <w:t>"Satu atau banyak BU per Lead?"</w:t>
      </w:r>
    </w:p>
    <w:p>
      <w:pPr>
        <w:pStyle w:val="ListBullet"/>
        <w:spacing w:after="60" w:before="0"/>
        <w:ind w:left="360"/>
      </w:pPr>
      <w:r>
        <w:rPr>
          <w:b/>
          <w:sz w:val="21"/>
        </w:rPr>
        <w:t>English Translation</w:t>
      </w:r>
      <w:r>
        <w:rPr>
          <w:sz w:val="21"/>
        </w:rPr>
        <w:t>: "Single or multiple Business Units per Lead?"</w:t>
      </w:r>
    </w:p>
    <w:p>
      <w:pPr>
        <w:pStyle w:val="ListBullet"/>
        <w:spacing w:after="60" w:before="0"/>
        <w:ind w:left="360"/>
      </w:pPr>
      <w:r>
        <w:rPr>
          <w:b/>
          <w:sz w:val="21"/>
        </w:rPr>
        <w:t>In the Simplest Terms</w:t>
      </w:r>
      <w:r>
        <w:rPr>
          <w:sz w:val="21"/>
        </w:rPr>
        <w:t>: Exactly one Primary BU owns the deal for commercial accountability. If other departments help, they join through project workstreams upon project creation.</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2.1</w:t>
      </w:r>
      <w:r>
        <w:rPr>
          <w:sz w:val="21"/>
        </w:rPr>
        <w:t xml:space="preserve"> </w:t>
      </w:r>
      <w:r>
        <w:rPr>
          <w:rFonts w:ascii="Consolas" w:hAnsi="Consolas"/>
          <w:color w:val="B42828"/>
          <w:sz w:val="21"/>
        </w:rPr>
        <w:t>[PENDING APPROVAL]</w:t>
      </w:r>
      <w:r>
        <w:rPr>
          <w:sz w:val="21"/>
        </w:rPr>
        <w:t xml:space="preserve">: Exactly </w:t>
      </w:r>
      <w:r>
        <w:rPr>
          <w:b/>
          <w:sz w:val="21"/>
        </w:rPr>
        <w:t>one Primary Business Unit</w:t>
      </w:r>
      <w:r>
        <w:rPr>
          <w:sz w:val="21"/>
        </w:rPr>
        <w:t xml:space="preserve"> (</w:t>
      </w:r>
      <w:r>
        <w:rPr>
          <w:rFonts w:ascii="Consolas" w:hAnsi="Consolas"/>
          <w:color w:val="B42828"/>
          <w:sz w:val="21"/>
        </w:rPr>
        <w:t>primaryBusinessUnitId</w:t>
      </w:r>
      <w:r>
        <w:rPr>
          <w:sz w:val="21"/>
        </w:rPr>
        <w:t xml:space="preserve">) per </w:t>
      </w:r>
      <w:r>
        <w:rPr>
          <w:rFonts w:ascii="Consolas" w:hAnsi="Consolas"/>
          <w:color w:val="B42828"/>
          <w:sz w:val="21"/>
        </w:rPr>
        <w:t>Lead</w:t>
      </w:r>
      <w:r>
        <w:rPr>
          <w:sz w:val="21"/>
        </w:rPr>
        <w:t xml:space="preserve">.  </w:t>
      </w:r>
    </w:p>
    <w:p>
      <w:pPr>
        <w:spacing w:after="100" w:before="40"/>
      </w:pPr>
      <w:r>
        <w:rPr>
          <w:sz w:val="21"/>
        </w:rPr>
        <w:t xml:space="preserve">  &gt; </w:t>
      </w:r>
      <w:r>
        <w:rPr>
          <w:b/>
          <w:sz w:val="21"/>
        </w:rPr>
        <w:t>Decision 2.1b</w:t>
      </w:r>
      <w:r>
        <w:rPr>
          <w:sz w:val="21"/>
        </w:rPr>
        <w:t xml:space="preserve"> </w:t>
      </w:r>
      <w:r>
        <w:rPr>
          <w:rFonts w:ascii="Consolas" w:hAnsi="Consolas"/>
          <w:color w:val="B42828"/>
          <w:sz w:val="21"/>
        </w:rPr>
        <w:t>[PENDING APPROVAL]</w:t>
      </w:r>
      <w:r>
        <w:rPr>
          <w:sz w:val="21"/>
        </w:rPr>
        <w:t xml:space="preserve">: Replace scalar string arrays with a </w:t>
      </w:r>
      <w:r>
        <w:rPr>
          <w:b/>
          <w:sz w:val="21"/>
        </w:rPr>
        <w:t>Normalized Junction Table (`LeadSupportingBusinessUnit`)</w:t>
      </w:r>
      <w:r>
        <w:rPr>
          <w:sz w:val="21"/>
        </w:rPr>
        <w:t xml:space="preserve"> to record secondary/participating BUs with full referential integrity and role attribution during proposal/presales. Multi-BU delivery participation is formally realized via </w:t>
      </w:r>
      <w:r>
        <w:rPr>
          <w:rFonts w:ascii="Consolas" w:hAnsi="Consolas"/>
          <w:color w:val="B42828"/>
          <w:sz w:val="21"/>
        </w:rPr>
        <w:t>ProjectWorkstream</w:t>
      </w:r>
      <w:r>
        <w:rPr>
          <w:sz w:val="21"/>
        </w:rPr>
        <w:t xml:space="preserve"> records upon project conversion. </w:t>
      </w:r>
      <w:r>
        <w:rPr>
          <w:i/>
          <w:sz w:val="21"/>
        </w:rPr>
        <w:t>(Source: Author Review 1 - Revision #9)</w:t>
      </w:r>
      <w:r>
        <w:rPr>
          <w:sz w:val="21"/>
        </w:rPr>
        <w:t xml:space="preserve">  </w:t>
      </w:r>
    </w:p>
    <w:p>
      <w:pPr>
        <w:spacing w:after="100" w:before="40"/>
      </w:pPr>
      <w:r>
        <w:rPr>
          <w:sz w:val="21"/>
        </w:rPr>
        <w:t xml:space="preserve">  &gt; </w:t>
      </w:r>
      <w:r>
        <w:rPr>
          <w:b/>
          <w:sz w:val="21"/>
        </w:rPr>
        <w:t>Rationale</w:t>
      </w:r>
      <w:r>
        <w:rPr>
          <w:sz w:val="21"/>
        </w:rPr>
        <w:t>: Single Primary BU ownership ensures unambiguous sales quota attribution and deterministic approval routing, while a normalized supporting BU table enables cross-practice collaboration without corrupting referential integrity.</w:t>
      </w:r>
    </w:p>
    <w:p>
      <w:pPr>
        <w:pStyle w:val="ListBullet"/>
        <w:spacing w:after="60" w:before="0"/>
        <w:ind w:left="360"/>
      </w:pPr>
      <w:r>
        <w:rPr>
          <w:b/>
          <w:sz w:val="21"/>
        </w:rPr>
        <w:t>Operational Ambiguity &amp; Resolved Edge Case</w:t>
      </w:r>
      <w:r>
        <w:rPr>
          <w:sz w:val="21"/>
        </w:rPr>
        <w:t>:</w:t>
      </w:r>
    </w:p>
    <w:p>
      <w:pPr>
        <w:pStyle w:val="ListBullet"/>
        <w:spacing w:after="60" w:before="0"/>
        <w:ind w:left="720"/>
      </w:pPr>
      <w:r>
        <w:rPr>
          <w:i/>
          <w:sz w:val="21"/>
        </w:rPr>
        <w:t>Ambiguity</w:t>
      </w:r>
      <w:r>
        <w:rPr>
          <w:sz w:val="21"/>
        </w:rPr>
        <w:t>: How do secondary BUs participate during the proposal stage before project conversion?</w:t>
      </w:r>
    </w:p>
    <w:p>
      <w:pPr>
        <w:pStyle w:val="ListBullet"/>
        <w:spacing w:after="60" w:before="0"/>
        <w:ind w:left="720"/>
      </w:pPr>
      <w:r>
        <w:rPr>
          <w:i/>
          <w:sz w:val="21"/>
        </w:rPr>
        <w:t>Resolved Policy</w:t>
      </w:r>
      <w:r>
        <w:rPr>
          <w:sz w:val="21"/>
        </w:rPr>
        <w:t xml:space="preserve">: Secondary BU Principals recorded in </w:t>
      </w:r>
      <w:r>
        <w:rPr>
          <w:rFonts w:ascii="Consolas" w:hAnsi="Consolas"/>
          <w:sz w:val="21"/>
        </w:rPr>
        <w:t>LeadSupportingBusinessUnit</w:t>
      </w:r>
      <w:r>
        <w:rPr>
          <w:sz w:val="21"/>
        </w:rPr>
        <w:t xml:space="preserve"> receive read access and presales task assignment capabilities, while the Primary BU Principal retains sole commercial budget sign-off authority.</w:t>
      </w:r>
    </w:p>
    <w:p>
      <w:pPr>
        <w:pStyle w:val="ListBullet"/>
        <w:spacing w:after="60" w:before="0"/>
        <w:ind w:left="360"/>
      </w:pPr>
      <w:r>
        <w:rPr>
          <w:b/>
          <w:sz w:val="21"/>
        </w:rPr>
        <w:t>Technical Implementation Specification (Optional / Reference Example)</w:t>
      </w:r>
      <w:r>
        <w:rPr>
          <w:sz w:val="21"/>
        </w:rPr>
        <w:t>:</w:t>
      </w:r>
    </w:p>
    <w:p>
      <w:pPr>
        <w:pStyle w:val="ListBullet"/>
        <w:spacing w:after="60" w:before="0"/>
        <w:ind w:left="720"/>
      </w:pPr>
      <w:r>
        <w:rPr>
          <w:b/>
          <w:sz w:val="21"/>
        </w:rPr>
        <w:t>Prisma Schema (Example)</w:t>
      </w:r>
      <w:r>
        <w:rPr>
          <w:sz w:val="21"/>
        </w:rPr>
        <w:t>:</w:t>
      </w:r>
    </w:p>
    <w:p>
      <w:pPr>
        <w:spacing w:after="100" w:before="40"/>
      </w:pPr>
      <w:r>
        <w:rPr>
          <w:sz w:val="21"/>
        </w:rPr>
        <w:t xml:space="preserve">    </w:t>
      </w:r>
      <w:r>
        <w:rPr>
          <w:rFonts w:ascii="Consolas" w:hAnsi="Consolas"/>
          <w:color w:val="B42828"/>
          <w:sz w:val="21"/>
        </w:rPr>
      </w:r>
      <w:r>
        <w:rPr>
          <w:sz w:val="21"/>
        </w:rPr>
        <w:t>`prisma</w:t>
      </w:r>
    </w:p>
    <w:p>
      <w:pPr>
        <w:spacing w:after="100" w:before="40"/>
      </w:pPr>
      <w:r>
        <w:rPr>
          <w:sz w:val="21"/>
        </w:rPr>
        <w:t xml:space="preserve">    model BusinessUnit {</w:t>
      </w:r>
    </w:p>
    <w:p>
      <w:pPr>
        <w:spacing w:after="100" w:before="40"/>
      </w:pPr>
      <w:r>
        <w:rPr>
          <w:sz w:val="21"/>
        </w:rPr>
        <w:t xml:space="preserve">      id          String   @id @default(cuid())</w:t>
      </w:r>
    </w:p>
    <w:p>
      <w:pPr>
        <w:spacing w:after="100" w:before="40"/>
      </w:pPr>
      <w:r>
        <w:rPr>
          <w:sz w:val="21"/>
        </w:rPr>
        <w:t xml:space="preserve">      code        String   @unique // e.g. "BU-SEC", "BU-CLOUD", "BU-GOV"</w:t>
      </w:r>
    </w:p>
    <w:p>
      <w:pPr>
        <w:spacing w:after="100" w:before="40"/>
      </w:pPr>
      <w:r>
        <w:rPr>
          <w:sz w:val="21"/>
        </w:rPr>
        <w:t xml:space="preserve">      name        String   @unique</w:t>
      </w:r>
    </w:p>
    <w:p>
      <w:pPr>
        <w:spacing w:after="100" w:before="40"/>
      </w:pPr>
      <w:r>
        <w:rPr>
          <w:sz w:val="21"/>
        </w:rPr>
        <w:t xml:space="preserve">      description String?</w:t>
      </w:r>
    </w:p>
    <w:p>
      <w:pPr>
        <w:spacing w:after="100" w:before="40"/>
      </w:pPr>
      <w:r>
        <w:rPr>
          <w:sz w:val="21"/>
        </w:rPr>
        <w:t xml:space="preserve">      isActive    Boolean  @default(true)</w:t>
      </w:r>
    </w:p>
    <w:p>
      <w:pPr>
        <w:spacing w:after="100" w:before="40"/>
      </w:pPr>
      <w:r>
        <w:rPr>
          <w:sz w:val="21"/>
        </w:rPr>
        <w:t xml:space="preserve">      createdAt   DateTime @default(now())</w:t>
      </w:r>
    </w:p>
    <w:p>
      <w:pPr>
        <w:spacing w:after="100" w:before="40"/>
      </w:pPr>
      <w:r>
        <w:rPr>
          <w:sz w:val="21"/>
        </w:rPr>
        <w:t xml:space="preserve">      updatedAt   DateTime @updatedAt</w:t>
      </w:r>
    </w:p>
    <w:p>
      <w:pPr>
        <w:spacing w:after="100" w:before="40"/>
      </w:pPr>
      <w:r>
        <w:rPr>
          <w:sz w:val="21"/>
        </w:rPr>
        <w:t xml:space="preserve">      leadsPrimary        Lead[]</w:t>
      </w:r>
    </w:p>
    <w:p>
      <w:pPr>
        <w:spacing w:after="100" w:before="40"/>
      </w:pPr>
      <w:r>
        <w:rPr>
          <w:sz w:val="21"/>
        </w:rPr>
        <w:t xml:space="preserve">      leadsSupporting     LeadSupportingBusinessUnit[]</w:t>
      </w:r>
    </w:p>
    <w:p>
      <w:pPr>
        <w:spacing w:after="100" w:before="40"/>
      </w:pPr>
      <w:r>
        <w:rPr>
          <w:sz w:val="21"/>
        </w:rPr>
        <w:t xml:space="preserve">      principals          BusinessUnitPrincipal[]</w:t>
      </w:r>
    </w:p>
    <w:p>
      <w:pPr>
        <w:spacing w:after="100" w:before="40"/>
      </w:pPr>
      <w:r>
        <w:rPr>
          <w:sz w:val="21"/>
        </w:rPr>
        <w:t xml:space="preserve">      users               User[]</w:t>
      </w:r>
    </w:p>
    <w:p>
      <w:pPr>
        <w:spacing w:after="100" w:before="40"/>
      </w:pPr>
      <w:r>
        <w:rPr>
          <w:sz w:val="21"/>
        </w:rPr>
        <w:t xml:space="preserve">    }</w:t>
      </w:r>
    </w:p>
    <w:p>
      <w:pPr>
        <w:spacing w:after="100" w:before="40"/>
      </w:pPr>
      <w:r>
        <w:rPr>
          <w:sz w:val="21"/>
        </w:rPr>
        <w:t xml:space="preserve">    model LeadSupportingBusinessUnit {</w:t>
      </w:r>
    </w:p>
    <w:p>
      <w:pPr>
        <w:spacing w:after="100" w:before="40"/>
      </w:pPr>
      <w:r>
        <w:rPr>
          <w:sz w:val="21"/>
        </w:rPr>
        <w:t xml:space="preserve">      id                  String       @id @default(cuid())</w:t>
      </w:r>
    </w:p>
    <w:p>
      <w:pPr>
        <w:spacing w:after="100" w:before="40"/>
      </w:pPr>
      <w:r>
        <w:rPr>
          <w:sz w:val="21"/>
        </w:rPr>
        <w:t xml:space="preserve">      leadId              String</w:t>
      </w:r>
    </w:p>
    <w:p>
      <w:pPr>
        <w:spacing w:after="100" w:before="40"/>
      </w:pPr>
      <w:r>
        <w:rPr>
          <w:sz w:val="21"/>
        </w:rPr>
        <w:t xml:space="preserve">      lead                Lead         @relation(fields: [leadId], references: [id], onDelete: Cascade)</w:t>
      </w:r>
    </w:p>
    <w:p>
      <w:pPr>
        <w:spacing w:after="100" w:before="40"/>
      </w:pPr>
      <w:r>
        <w:rPr>
          <w:sz w:val="21"/>
        </w:rPr>
        <w:t xml:space="preserve">      businessUnitId      String</w:t>
      </w:r>
    </w:p>
    <w:p>
      <w:pPr>
        <w:spacing w:after="100" w:before="40"/>
      </w:pPr>
      <w:r>
        <w:rPr>
          <w:sz w:val="21"/>
        </w:rPr>
        <w:t xml:space="preserve">      businessUnit        BusinessUnit @relation(fields: [businessUnitId], references: [id])</w:t>
      </w:r>
    </w:p>
    <w:p>
      <w:pPr>
        <w:spacing w:after="100" w:before="40"/>
      </w:pPr>
      <w:r>
        <w:rPr>
          <w:sz w:val="21"/>
        </w:rPr>
        <w:t xml:space="preserve">      assignedPrincipalId String?</w:t>
      </w:r>
    </w:p>
    <w:p>
      <w:pPr>
        <w:spacing w:after="100" w:before="40"/>
      </w:pPr>
      <w:r>
        <w:rPr>
          <w:sz w:val="21"/>
        </w:rPr>
        <w:t xml:space="preserve">      assignedPrincipal   User?        @relation(fields: [assignedPrincipalId], references: [id])</w:t>
      </w:r>
    </w:p>
    <w:p>
      <w:pPr>
        <w:spacing w:after="100" w:before="40"/>
      </w:pPr>
      <w:r>
        <w:rPr>
          <w:sz w:val="21"/>
        </w:rPr>
        <w:t xml:space="preserve">      role                String?      // e.g. "Cloud Architecture Support", "Security Audit"</w:t>
      </w:r>
    </w:p>
    <w:p>
      <w:pPr>
        <w:spacing w:after="100" w:before="40"/>
      </w:pPr>
      <w:r>
        <w:rPr>
          <w:sz w:val="21"/>
        </w:rPr>
        <w:t xml:space="preserve">      createdAt           DateTime     @default(now())</w:t>
      </w:r>
    </w:p>
    <w:p>
      <w:pPr>
        <w:spacing w:after="100" w:before="40"/>
      </w:pPr>
      <w:r>
        <w:rPr>
          <w:sz w:val="21"/>
        </w:rPr>
        <w:t xml:space="preserve">      @@unique([leadId, businessUnitId])</w:t>
      </w:r>
    </w:p>
    <w:p>
      <w:pPr>
        <w:spacing w:after="100" w:before="40"/>
      </w:pPr>
      <w:r>
        <w:rPr>
          <w:sz w:val="21"/>
        </w:rPr>
        <w:t xml:space="preserve">    }</w:t>
      </w:r>
    </w:p>
    <w:p>
      <w:pPr>
        <w:spacing w:after="100" w:before="40"/>
      </w:pPr>
      <w:r>
        <w:rPr>
          <w:sz w:val="21"/>
        </w:rPr>
        <w:t xml:space="preserve">    </w:t>
      </w:r>
      <w:r>
        <w:rPr>
          <w:rFonts w:ascii="Consolas" w:hAnsi="Consolas"/>
          <w:color w:val="B42828"/>
          <w:sz w:val="21"/>
        </w:rPr>
      </w:r>
      <w:r>
        <w:rPr>
          <w:rFonts w:ascii="Consolas" w:hAnsi="Consolas"/>
          <w:color w:val="B42828"/>
          <w:sz w:val="21"/>
        </w:rPr>
      </w:r>
    </w:p>
    <w:p>
      <w:pPr>
        <w:pStyle w:val="Heading4"/>
        <w:spacing w:before="160" w:after="60"/>
      </w:pPr>
      <w:r>
        <w:rPr>
          <w:b/>
          <w:color w:val="464646"/>
          <w:sz w:val="23"/>
        </w:rPr>
        <w:t>Question 7: Principal Assignment &amp; Leave-Aware Fallback Routing</w:t>
      </w:r>
    </w:p>
    <w:p>
      <w:pPr>
        <w:pStyle w:val="ListBullet"/>
        <w:spacing w:after="60" w:before="0"/>
        <w:ind w:left="360"/>
      </w:pPr>
      <w:r>
        <w:rPr>
          <w:b/>
          <w:sz w:val="21"/>
        </w:rPr>
        <w:t>Bahasa Indonesia</w:t>
      </w:r>
      <w:r>
        <w:rPr>
          <w:sz w:val="21"/>
        </w:rPr>
        <w:t xml:space="preserve">: </w:t>
      </w:r>
      <w:r>
        <w:rPr>
          <w:i/>
          <w:sz w:val="21"/>
        </w:rPr>
        <w:t>"Satu atau banyak Principal per BU dan fallback?"</w:t>
      </w:r>
    </w:p>
    <w:p>
      <w:pPr>
        <w:pStyle w:val="ListBullet"/>
        <w:spacing w:after="60" w:before="0"/>
        <w:ind w:left="360"/>
      </w:pPr>
      <w:r>
        <w:rPr>
          <w:b/>
          <w:sz w:val="21"/>
        </w:rPr>
        <w:t>English Translation</w:t>
      </w:r>
      <w:r>
        <w:rPr>
          <w:sz w:val="21"/>
        </w:rPr>
        <w:t>: "Single or multiple Principals per BU, and what is the fallback routing?"</w:t>
      </w:r>
    </w:p>
    <w:p>
      <w:pPr>
        <w:pStyle w:val="ListBullet"/>
        <w:spacing w:after="60" w:before="0"/>
        <w:ind w:left="360"/>
      </w:pPr>
      <w:r>
        <w:rPr>
          <w:b/>
          <w:sz w:val="21"/>
        </w:rPr>
        <w:t>In the Simplest Terms</w:t>
      </w:r>
      <w:r>
        <w:rPr>
          <w:sz w:val="21"/>
        </w:rPr>
        <w:t>: A BU can have multiple Principals. One is designated as the Primary Approver, with an automated fallback to a Backup Principal if the primary is on leave.</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2.2</w:t>
      </w:r>
      <w:r>
        <w:rPr>
          <w:sz w:val="21"/>
        </w:rPr>
        <w:t xml:space="preserve"> </w:t>
      </w:r>
      <w:r>
        <w:rPr>
          <w:rFonts w:ascii="Consolas" w:hAnsi="Consolas"/>
          <w:color w:val="B42828"/>
          <w:sz w:val="21"/>
        </w:rPr>
        <w:t>[PENDING APPROVAL]</w:t>
      </w:r>
      <w:r>
        <w:rPr>
          <w:sz w:val="21"/>
        </w:rPr>
        <w:t xml:space="preserve">: Introduce a </w:t>
      </w:r>
      <w:r>
        <w:rPr>
          <w:rFonts w:ascii="Consolas" w:hAnsi="Consolas"/>
          <w:color w:val="B42828"/>
          <w:sz w:val="21"/>
        </w:rPr>
        <w:t>BusinessUnitPrincipal</w:t>
      </w:r>
      <w:r>
        <w:rPr>
          <w:sz w:val="21"/>
        </w:rPr>
        <w:t xml:space="preserve"> junction table supporting multiple Principals per BU with explicit </w:t>
      </w:r>
      <w:r>
        <w:rPr>
          <w:rFonts w:ascii="Consolas" w:hAnsi="Consolas"/>
          <w:color w:val="B42828"/>
          <w:sz w:val="21"/>
        </w:rPr>
        <w:t>isPrimary: Boolean</w:t>
      </w:r>
      <w:r>
        <w:rPr>
          <w:sz w:val="21"/>
        </w:rPr>
        <w:t xml:space="preserve"> flags and an automated leave-aware fallback routing engine.  </w:t>
      </w:r>
    </w:p>
    <w:p>
      <w:pPr>
        <w:spacing w:after="100" w:before="40"/>
      </w:pPr>
      <w:r>
        <w:rPr>
          <w:sz w:val="21"/>
        </w:rPr>
        <w:t xml:space="preserve">  &gt; </w:t>
      </w:r>
      <w:r>
        <w:rPr>
          <w:b/>
          <w:sz w:val="21"/>
        </w:rPr>
        <w:t>Decision 2.2b</w:t>
      </w:r>
      <w:r>
        <w:rPr>
          <w:sz w:val="21"/>
        </w:rPr>
        <w:t xml:space="preserve"> </w:t>
      </w:r>
      <w:r>
        <w:rPr>
          <w:rFonts w:ascii="Consolas" w:hAnsi="Consolas"/>
          <w:color w:val="B42828"/>
          <w:sz w:val="21"/>
        </w:rPr>
        <w:t>[PENDING APPROVAL]</w:t>
      </w:r>
      <w:r>
        <w:rPr>
          <w:sz w:val="21"/>
        </w:rPr>
        <w:t>: Use actual system roles (</w:t>
      </w:r>
      <w:r>
        <w:rPr>
          <w:rFonts w:ascii="Consolas" w:hAnsi="Consolas"/>
          <w:color w:val="B42828"/>
          <w:sz w:val="21"/>
        </w:rPr>
        <w:t>PRINCIPAL_KONSULTAN</w:t>
      </w:r>
      <w:r>
        <w:rPr>
          <w:sz w:val="21"/>
        </w:rPr>
        <w:t xml:space="preserve">, </w:t>
      </w:r>
      <w:r>
        <w:rPr>
          <w:rFonts w:ascii="Consolas" w:hAnsi="Consolas"/>
          <w:color w:val="B42828"/>
          <w:sz w:val="21"/>
        </w:rPr>
        <w:t>PRINCIPAL_TECHNICAL_WRITER</w:t>
      </w:r>
      <w:r>
        <w:rPr>
          <w:sz w:val="21"/>
        </w:rPr>
        <w:t xml:space="preserve">, </w:t>
      </w:r>
      <w:r>
        <w:rPr>
          <w:rFonts w:ascii="Consolas" w:hAnsi="Consolas"/>
          <w:color w:val="B42828"/>
          <w:sz w:val="21"/>
        </w:rPr>
        <w:t>PRINCIPAL_ADMIN_PROJECT</w:t>
      </w:r>
      <w:r>
        <w:rPr>
          <w:sz w:val="21"/>
        </w:rPr>
        <w:t xml:space="preserve">) and explicitly map PMO approval authority to </w:t>
      </w:r>
      <w:r>
        <w:rPr>
          <w:rFonts w:ascii="Consolas" w:hAnsi="Consolas"/>
          <w:color w:val="B42828"/>
          <w:sz w:val="21"/>
        </w:rPr>
        <w:t>MANAGEMENT</w:t>
      </w:r>
      <w:r>
        <w:rPr>
          <w:sz w:val="21"/>
        </w:rPr>
        <w:t xml:space="preserve">. </w:t>
      </w:r>
      <w:r>
        <w:rPr>
          <w:i/>
          <w:sz w:val="21"/>
        </w:rPr>
        <w:t>(Source: Author Review 1 - Revision #5)</w:t>
      </w:r>
      <w:r>
        <w:rPr>
          <w:sz w:val="21"/>
        </w:rPr>
        <w:t xml:space="preserve">  </w:t>
      </w:r>
    </w:p>
    <w:p>
      <w:pPr>
        <w:spacing w:after="100" w:before="40"/>
      </w:pPr>
      <w:r>
        <w:rPr>
          <w:sz w:val="21"/>
        </w:rPr>
        <w:t xml:space="preserve">  &gt; </w:t>
      </w:r>
      <w:r>
        <w:rPr>
          <w:b/>
          <w:sz w:val="21"/>
        </w:rPr>
        <w:t>Rationale</w:t>
      </w:r>
      <w:r>
        <w:rPr>
          <w:sz w:val="21"/>
        </w:rPr>
        <w:t>: Without a structured mapping table and leave integration, approval workflows stall indefinitely whenever a single key Principal is out of office.</w:t>
      </w:r>
    </w:p>
    <w:p>
      <w:pPr>
        <w:pStyle w:val="Heading3"/>
        <w:spacing w:before="200" w:after="80"/>
      </w:pPr>
      <w:r>
        <w:rPr>
          <w:b/>
          <w:color w:val="326496"/>
          <w:sz w:val="26"/>
        </w:rPr>
        <w:t>🌲 Category 3: Lead Identity, Types, &amp; Lineage (`DEMO-05` &amp; `DEMO-06`)</w:t>
      </w:r>
    </w:p>
    <w:p>
      <w:pPr>
        <w:pStyle w:val="Heading4"/>
        <w:spacing w:before="160" w:after="60"/>
      </w:pPr>
      <w:r>
        <w:rPr>
          <w:b/>
          <w:color w:val="464646"/>
          <w:sz w:val="23"/>
        </w:rPr>
        <w:t>Question 8: Deal Types &amp; Net Revenue Retention (NRR) Formula</w:t>
      </w:r>
    </w:p>
    <w:p>
      <w:pPr>
        <w:pStyle w:val="ListBullet"/>
        <w:spacing w:after="60" w:before="0"/>
        <w:ind w:left="360"/>
      </w:pPr>
      <w:r>
        <w:rPr>
          <w:b/>
          <w:sz w:val="21"/>
        </w:rPr>
        <w:t>Bahasa Indonesia</w:t>
      </w:r>
      <w:r>
        <w:rPr>
          <w:sz w:val="21"/>
        </w:rPr>
        <w:t xml:space="preserve">: </w:t>
      </w:r>
      <w:r>
        <w:rPr>
          <w:i/>
          <w:sz w:val="21"/>
        </w:rPr>
        <w:t>"Rules NEW/RENEWAL/UP_SELL/CROSS_SELL serta NRR formula?"</w:t>
      </w:r>
    </w:p>
    <w:p>
      <w:pPr>
        <w:pStyle w:val="ListBullet"/>
        <w:spacing w:after="60" w:before="0"/>
        <w:ind w:left="360"/>
      </w:pPr>
      <w:r>
        <w:rPr>
          <w:b/>
          <w:sz w:val="21"/>
        </w:rPr>
        <w:t>English Translation</w:t>
      </w:r>
      <w:r>
        <w:rPr>
          <w:sz w:val="21"/>
        </w:rPr>
        <w:t>: "What are the rules for NEW/RENEWAL/UP_SELL/CROSS_SELL deal types and the NRR formula?"</w:t>
      </w:r>
    </w:p>
    <w:p>
      <w:pPr>
        <w:pStyle w:val="ListBullet"/>
        <w:spacing w:after="60" w:before="0"/>
        <w:ind w:left="360"/>
      </w:pPr>
      <w:r>
        <w:rPr>
          <w:b/>
          <w:sz w:val="21"/>
        </w:rPr>
        <w:t>In the Simplest Terms</w:t>
      </w:r>
      <w:r>
        <w:rPr>
          <w:sz w:val="21"/>
        </w:rPr>
        <w:t xml:space="preserve">: </w:t>
      </w:r>
      <w:r>
        <w:rPr>
          <w:rFonts w:ascii="Consolas" w:hAnsi="Consolas"/>
          <w:sz w:val="21"/>
        </w:rPr>
        <w:t>NEW</w:t>
      </w:r>
      <w:r>
        <w:rPr>
          <w:sz w:val="21"/>
        </w:rPr>
        <w:t xml:space="preserve"> is a new customer or product. </w:t>
      </w:r>
      <w:r>
        <w:rPr>
          <w:rFonts w:ascii="Consolas" w:hAnsi="Consolas"/>
          <w:sz w:val="21"/>
        </w:rPr>
        <w:t>RENEWAL</w:t>
      </w:r>
      <w:r>
        <w:rPr>
          <w:sz w:val="21"/>
        </w:rPr>
        <w:t xml:space="preserve"> and </w:t>
      </w:r>
      <w:r>
        <w:rPr>
          <w:rFonts w:ascii="Consolas" w:hAnsi="Consolas"/>
          <w:sz w:val="21"/>
        </w:rPr>
        <w:t>UP_SELL</w:t>
      </w:r>
      <w:r>
        <w:rPr>
          <w:sz w:val="21"/>
        </w:rPr>
        <w:t xml:space="preserve"> must link to an existing active project with the same client. NRR measures how much revenue we retain and grow from existing clients.</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3.1</w:t>
      </w:r>
      <w:r>
        <w:rPr>
          <w:sz w:val="21"/>
        </w:rPr>
        <w:t xml:space="preserve"> </w:t>
      </w:r>
      <w:r>
        <w:rPr>
          <w:rFonts w:ascii="Consolas" w:hAnsi="Consolas"/>
          <w:color w:val="B42828"/>
          <w:sz w:val="21"/>
        </w:rPr>
        <w:t>[PENDING APPROVAL]</w:t>
      </w:r>
      <w:r>
        <w:rPr>
          <w:sz w:val="21"/>
        </w:rPr>
        <w:t xml:space="preserve">: Establish 4 strict </w:t>
      </w:r>
      <w:r>
        <w:rPr>
          <w:rFonts w:ascii="Consolas" w:hAnsi="Consolas"/>
          <w:color w:val="B42828"/>
          <w:sz w:val="21"/>
        </w:rPr>
        <w:t>LeadType</w:t>
      </w:r>
      <w:r>
        <w:rPr>
          <w:sz w:val="21"/>
        </w:rPr>
        <w:t xml:space="preserve"> enum values (</w:t>
      </w:r>
      <w:r>
        <w:rPr>
          <w:rFonts w:ascii="Consolas" w:hAnsi="Consolas"/>
          <w:color w:val="B42828"/>
          <w:sz w:val="21"/>
        </w:rPr>
        <w:t>NEW_OPPORTUNITY</w:t>
      </w:r>
      <w:r>
        <w:rPr>
          <w:sz w:val="21"/>
        </w:rPr>
        <w:t xml:space="preserve">, </w:t>
      </w:r>
      <w:r>
        <w:rPr>
          <w:rFonts w:ascii="Consolas" w:hAnsi="Consolas"/>
          <w:color w:val="B42828"/>
          <w:sz w:val="21"/>
        </w:rPr>
        <w:t>RENEWAL</w:t>
      </w:r>
      <w:r>
        <w:rPr>
          <w:sz w:val="21"/>
        </w:rPr>
        <w:t xml:space="preserve">, </w:t>
      </w:r>
      <w:r>
        <w:rPr>
          <w:rFonts w:ascii="Consolas" w:hAnsi="Consolas"/>
          <w:color w:val="B42828"/>
          <w:sz w:val="21"/>
        </w:rPr>
        <w:t>UP_SELL</w:t>
      </w:r>
      <w:r>
        <w:rPr>
          <w:sz w:val="21"/>
        </w:rPr>
        <w:t xml:space="preserve">, </w:t>
      </w:r>
      <w:r>
        <w:rPr>
          <w:rFonts w:ascii="Consolas" w:hAnsi="Consolas"/>
          <w:color w:val="B42828"/>
          <w:sz w:val="21"/>
        </w:rPr>
        <w:t>CROSS_SELL</w:t>
      </w:r>
      <w:r>
        <w:rPr>
          <w:sz w:val="21"/>
        </w:rPr>
        <w:t xml:space="preserve">). Mandate </w:t>
      </w:r>
      <w:r>
        <w:rPr>
          <w:rFonts w:ascii="Consolas" w:hAnsi="Consolas"/>
          <w:color w:val="B42828"/>
          <w:sz w:val="21"/>
        </w:rPr>
        <w:t>parentProjectId</w:t>
      </w:r>
      <w:r>
        <w:rPr>
          <w:sz w:val="21"/>
        </w:rPr>
        <w:t xml:space="preserve"> for </w:t>
      </w:r>
      <w:r>
        <w:rPr>
          <w:rFonts w:ascii="Consolas" w:hAnsi="Consolas"/>
          <w:color w:val="B42828"/>
          <w:sz w:val="21"/>
        </w:rPr>
        <w:t>RENEWAL</w:t>
      </w:r>
      <w:r>
        <w:rPr>
          <w:sz w:val="21"/>
        </w:rPr>
        <w:t xml:space="preserve"> and </w:t>
      </w:r>
      <w:r>
        <w:rPr>
          <w:rFonts w:ascii="Consolas" w:hAnsi="Consolas"/>
          <w:color w:val="B42828"/>
          <w:sz w:val="21"/>
        </w:rPr>
        <w:t>UP_SELL</w:t>
      </w:r>
      <w:r>
        <w:rPr>
          <w:sz w:val="21"/>
        </w:rPr>
        <w:t xml:space="preserve">. Standardize NRR calculation based on cohort ARR expansion, contraction, and churn. </w:t>
      </w:r>
      <w:r>
        <w:rPr>
          <w:i/>
          <w:sz w:val="21"/>
        </w:rPr>
        <w:t>(Source: Master Rec Doc Section 16)</w:t>
      </w:r>
      <w:r>
        <w:rPr>
          <w:sz w:val="21"/>
        </w:rPr>
        <w:t xml:space="preserve">  </w:t>
      </w:r>
    </w:p>
    <w:p>
      <w:pPr>
        <w:spacing w:after="100" w:before="40"/>
      </w:pPr>
      <w:r>
        <w:rPr>
          <w:sz w:val="21"/>
        </w:rPr>
        <w:t xml:space="preserve">  &gt; </w:t>
      </w:r>
      <w:r>
        <w:rPr>
          <w:b/>
          <w:sz w:val="21"/>
        </w:rPr>
        <w:t>Rationale</w:t>
      </w:r>
      <w:r>
        <w:rPr>
          <w:sz w:val="21"/>
        </w:rPr>
        <w:t>: Creating renewals without an existing contract link makes it impossible to calculate customer retention or identify recurring revenue expansion.</w:t>
      </w:r>
    </w:p>
    <w:p>
      <w:pPr>
        <w:pStyle w:val="ListBullet"/>
        <w:spacing w:after="60" w:before="0"/>
        <w:ind w:left="360"/>
      </w:pPr>
      <w:r>
        <w:rPr>
          <w:b/>
          <w:sz w:val="21"/>
        </w:rPr>
        <w:t>Technical Implementation Specification (Optional / Reference Example)</w:t>
      </w:r>
      <w:r>
        <w:rPr>
          <w:sz w:val="21"/>
        </w:rPr>
        <w:t>:</w:t>
      </w:r>
    </w:p>
    <w:p>
      <w:pPr>
        <w:pStyle w:val="ListBullet"/>
        <w:spacing w:after="60" w:before="0"/>
        <w:ind w:left="720"/>
      </w:pPr>
      <w:r>
        <w:rPr>
          <w:b/>
          <w:sz w:val="21"/>
        </w:rPr>
        <w:t>NRR Mathematical Formula</w:t>
      </w:r>
      <w:r>
        <w:rPr>
          <w:sz w:val="21"/>
        </w:rPr>
        <w:t>:</w:t>
      </w:r>
    </w:p>
    <w:p>
      <w:pPr>
        <w:spacing w:after="100" w:before="40"/>
      </w:pPr>
      <w:r>
        <w:rPr>
          <w:sz w:val="21"/>
        </w:rPr>
        <w:t xml:space="preserve">    $$\text{NRR}_{\text{Cohort}} = \frac{\sum \text{Starting ARR} + \sum \text{Expansion ARR} - \sum \text{Contraction ARR} - \sum \text{Churn ARR}}{\sum \text{Starting ARR}} \times 100\%$$</w:t>
      </w:r>
    </w:p>
    <w:p>
      <w:pPr>
        <w:pStyle w:val="Heading4"/>
        <w:spacing w:before="160" w:after="60"/>
      </w:pPr>
      <w:r>
        <w:rPr>
          <w:b/>
          <w:color w:val="464646"/>
          <w:sz w:val="23"/>
        </w:rPr>
        <w:t>Question 9: Permitted Lineage Anchor (Parent Project vs. Parent Lead)</w:t>
      </w:r>
    </w:p>
    <w:p>
      <w:pPr>
        <w:pStyle w:val="ListBullet"/>
        <w:spacing w:after="60" w:before="0"/>
        <w:ind w:left="360"/>
      </w:pPr>
      <w:r>
        <w:rPr>
          <w:b/>
          <w:sz w:val="21"/>
        </w:rPr>
        <w:t>Bahasa Indonesia</w:t>
      </w:r>
      <w:r>
        <w:rPr>
          <w:sz w:val="21"/>
        </w:rPr>
        <w:t xml:space="preserve">: </w:t>
      </w:r>
      <w:r>
        <w:rPr>
          <w:i/>
          <w:sz w:val="21"/>
        </w:rPr>
        <w:t>"Apakah parent Lead diizinkan atau hanya parent Project?"</w:t>
      </w:r>
    </w:p>
    <w:p>
      <w:pPr>
        <w:pStyle w:val="ListBullet"/>
        <w:spacing w:after="60" w:before="0"/>
        <w:ind w:left="360"/>
      </w:pPr>
      <w:r>
        <w:rPr>
          <w:b/>
          <w:sz w:val="21"/>
        </w:rPr>
        <w:t>English Translation</w:t>
      </w:r>
      <w:r>
        <w:rPr>
          <w:sz w:val="21"/>
        </w:rPr>
        <w:t>: "Is a parent Lead allowed, or strictly a parent Project?"</w:t>
      </w:r>
    </w:p>
    <w:p>
      <w:pPr>
        <w:pStyle w:val="ListBullet"/>
        <w:spacing w:after="60" w:before="0"/>
        <w:ind w:left="360"/>
      </w:pPr>
      <w:r>
        <w:rPr>
          <w:b/>
          <w:sz w:val="21"/>
        </w:rPr>
        <w:t>In the Simplest Terms</w:t>
      </w:r>
      <w:r>
        <w:rPr>
          <w:sz w:val="21"/>
        </w:rPr>
        <w:t>: Deals can only link to an existing completed or active Project. Linking lead-to-lead is forbidden to prevent infinite loops and confusing history.</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3.2</w:t>
      </w:r>
      <w:r>
        <w:rPr>
          <w:sz w:val="21"/>
        </w:rPr>
        <w:t xml:space="preserve"> </w:t>
      </w:r>
      <w:r>
        <w:rPr>
          <w:rFonts w:ascii="Consolas" w:hAnsi="Consolas"/>
          <w:color w:val="B42828"/>
          <w:sz w:val="21"/>
        </w:rPr>
        <w:t>[PENDING APPROVAL]</w:t>
      </w:r>
      <w:r>
        <w:rPr>
          <w:sz w:val="21"/>
        </w:rPr>
        <w:t xml:space="preserve">: Restrict deal lineage strictly to parent </w:t>
      </w:r>
      <w:r>
        <w:rPr>
          <w:rFonts w:ascii="Consolas" w:hAnsi="Consolas"/>
          <w:color w:val="B42828"/>
          <w:sz w:val="21"/>
        </w:rPr>
        <w:t>Project</w:t>
      </w:r>
      <w:r>
        <w:rPr>
          <w:sz w:val="21"/>
        </w:rPr>
        <w:t xml:space="preserve"> records (</w:t>
      </w:r>
      <w:r>
        <w:rPr>
          <w:rFonts w:ascii="Consolas" w:hAnsi="Consolas"/>
          <w:color w:val="B42828"/>
          <w:sz w:val="21"/>
        </w:rPr>
        <w:t>parentProjectId</w:t>
      </w:r>
      <w:r>
        <w:rPr>
          <w:sz w:val="21"/>
        </w:rPr>
        <w:t xml:space="preserve">). Disallow lead-to-lead parentage. </w:t>
      </w:r>
      <w:r>
        <w:rPr>
          <w:i/>
          <w:sz w:val="21"/>
        </w:rPr>
        <w:t>(Source: Master Rec Doc Section 16)</w:t>
      </w:r>
      <w:r>
        <w:rPr>
          <w:sz w:val="21"/>
        </w:rPr>
        <w:t xml:space="preserve">  </w:t>
      </w:r>
    </w:p>
    <w:p>
      <w:pPr>
        <w:spacing w:after="100" w:before="40"/>
      </w:pPr>
      <w:r>
        <w:rPr>
          <w:sz w:val="21"/>
        </w:rPr>
        <w:t xml:space="preserve">  &gt; </w:t>
      </w:r>
      <w:r>
        <w:rPr>
          <w:b/>
          <w:sz w:val="21"/>
        </w:rPr>
        <w:t>Rationale</w:t>
      </w:r>
      <w:r>
        <w:rPr>
          <w:sz w:val="21"/>
        </w:rPr>
        <w:t xml:space="preserve">: Anchoring to executed </w:t>
      </w:r>
      <w:r>
        <w:rPr>
          <w:rFonts w:ascii="Consolas" w:hAnsi="Consolas"/>
          <w:color w:val="B42828"/>
          <w:sz w:val="21"/>
        </w:rPr>
        <w:t>Project</w:t>
      </w:r>
      <w:r>
        <w:rPr>
          <w:sz w:val="21"/>
        </w:rPr>
        <w:t xml:space="preserve"> records guarantees solid contractual lineage.</w:t>
      </w:r>
    </w:p>
    <w:p>
      <w:pPr>
        <w:pStyle w:val="Heading4"/>
        <w:spacing w:before="160" w:after="60"/>
      </w:pPr>
      <w:r>
        <w:rPr>
          <w:b/>
          <w:color w:val="464646"/>
          <w:sz w:val="23"/>
        </w:rPr>
        <w:t>Question 10: Sequential Lead Numbering &amp; Atomic Transaction Creation</w:t>
      </w:r>
    </w:p>
    <w:p>
      <w:pPr>
        <w:pStyle w:val="ListBullet"/>
        <w:spacing w:after="60" w:before="0"/>
        <w:ind w:left="360"/>
      </w:pPr>
      <w:r>
        <w:rPr>
          <w:b/>
          <w:sz w:val="21"/>
        </w:rPr>
        <w:t>Bahasa Indonesia</w:t>
      </w:r>
      <w:r>
        <w:rPr>
          <w:sz w:val="21"/>
        </w:rPr>
        <w:t xml:space="preserve">: </w:t>
      </w:r>
      <w:r>
        <w:rPr>
          <w:i/>
          <w:sz w:val="21"/>
        </w:rPr>
        <w:t>"Lead numbering format/timezone?"</w:t>
      </w:r>
    </w:p>
    <w:p>
      <w:pPr>
        <w:pStyle w:val="ListBullet"/>
        <w:spacing w:after="60" w:before="0"/>
        <w:ind w:left="360"/>
      </w:pPr>
      <w:r>
        <w:rPr>
          <w:b/>
          <w:sz w:val="21"/>
        </w:rPr>
        <w:t>English Translation</w:t>
      </w:r>
      <w:r>
        <w:rPr>
          <w:sz w:val="21"/>
        </w:rPr>
        <w:t>: "What is the Lead numbering format and timezone rule?"</w:t>
      </w:r>
    </w:p>
    <w:p>
      <w:pPr>
        <w:pStyle w:val="ListBullet"/>
        <w:spacing w:after="60" w:before="0"/>
        <w:ind w:left="360"/>
      </w:pPr>
      <w:r>
        <w:rPr>
          <w:b/>
          <w:sz w:val="21"/>
        </w:rPr>
        <w:t>In the Simplest Terms</w:t>
      </w:r>
      <w:r>
        <w:rPr>
          <w:sz w:val="21"/>
        </w:rPr>
        <w:t xml:space="preserve">: Lead numbers (e.g., </w:t>
      </w:r>
      <w:r>
        <w:rPr>
          <w:rFonts w:ascii="Consolas" w:hAnsi="Consolas"/>
          <w:sz w:val="21"/>
        </w:rPr>
        <w:t>LEAD-2026-0001</w:t>
      </w:r>
      <w:r>
        <w:rPr>
          <w:sz w:val="21"/>
        </w:rPr>
        <w:t>) are generated atomically inside the very same database transaction that creates the Lead record. If creation fails, the counter rolls back together with the record so numbers are never wasted.</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3.3</w:t>
      </w:r>
      <w:r>
        <w:rPr>
          <w:sz w:val="21"/>
        </w:rPr>
        <w:t xml:space="preserve"> </w:t>
      </w:r>
      <w:r>
        <w:rPr>
          <w:rFonts w:ascii="Consolas" w:hAnsi="Consolas"/>
          <w:color w:val="B42828"/>
          <w:sz w:val="21"/>
        </w:rPr>
        <w:t>[PENDING APPROVAL]</w:t>
      </w:r>
      <w:r>
        <w:rPr>
          <w:sz w:val="21"/>
        </w:rPr>
        <w:t xml:space="preserve">: Adopt the sequential format </w:t>
      </w:r>
      <w:r>
        <w:rPr>
          <w:rFonts w:ascii="Consolas" w:hAnsi="Consolas"/>
          <w:color w:val="B42828"/>
          <w:sz w:val="21"/>
        </w:rPr>
        <w:t>LEAD-{YYYY}-{0000}</w:t>
      </w:r>
      <w:r>
        <w:rPr>
          <w:sz w:val="21"/>
        </w:rPr>
        <w:t xml:space="preserve"> resetting annually on January 1 at 00:00 </w:t>
      </w:r>
      <w:r>
        <w:rPr>
          <w:rFonts w:ascii="Consolas" w:hAnsi="Consolas"/>
          <w:color w:val="B42828"/>
          <w:sz w:val="21"/>
        </w:rPr>
        <w:t>Asia/Jakarta</w:t>
      </w:r>
      <w:r>
        <w:rPr>
          <w:sz w:val="21"/>
        </w:rPr>
        <w:t xml:space="preserve"> (WIB/UTC+7).  </w:t>
      </w:r>
    </w:p>
    <w:p>
      <w:pPr>
        <w:spacing w:after="100" w:before="40"/>
      </w:pPr>
      <w:r>
        <w:rPr>
          <w:sz w:val="21"/>
        </w:rPr>
        <w:t xml:space="preserve">  &gt; 🔄 </w:t>
      </w:r>
      <w:r>
        <w:rPr>
          <w:b/>
          <w:sz w:val="21"/>
        </w:rPr>
        <w:t>[SOURCE: FINAL AUTHOR REVIEW - ITEM #2]</w:t>
      </w:r>
      <w:r>
        <w:rPr>
          <w:sz w:val="21"/>
        </w:rPr>
        <w:t xml:space="preserve"> </w:t>
      </w:r>
      <w:r>
        <w:rPr>
          <w:b/>
          <w:sz w:val="21"/>
        </w:rPr>
        <w:t>Decision 3.3b</w:t>
      </w:r>
      <w:r>
        <w:rPr>
          <w:sz w:val="21"/>
        </w:rPr>
        <w:t xml:space="preserve"> </w:t>
      </w:r>
      <w:r>
        <w:rPr>
          <w:rFonts w:ascii="Consolas" w:hAnsi="Consolas"/>
          <w:color w:val="B42828"/>
          <w:sz w:val="21"/>
        </w:rPr>
        <w:t>[PENDING APPROVAL]</w:t>
      </w:r>
      <w:r>
        <w:rPr>
          <w:sz w:val="21"/>
        </w:rPr>
        <w:t xml:space="preserve">: </w:t>
      </w:r>
      <w:r>
        <w:rPr>
          <w:b/>
          <w:sz w:val="21"/>
        </w:rPr>
        <w:t>Strict Same-Transaction Atomic Lead Creation</w:t>
      </w:r>
      <w:r>
        <w:rPr>
          <w:sz w:val="21"/>
        </w:rPr>
        <w:t xml:space="preserve">:  </w:t>
      </w:r>
    </w:p>
    <w:p>
      <w:pPr>
        <w:spacing w:after="100" w:before="40"/>
      </w:pPr>
      <w:r>
        <w:rPr>
          <w:sz w:val="21"/>
        </w:rPr>
        <w:t xml:space="preserve">  &gt; </w:t>
      </w:r>
      <w:r>
        <w:rPr>
          <w:i/>
          <w:sz w:val="21"/>
        </w:rPr>
        <w:t>"The sequence allocator function `allocateNextLeadNumber(tx)` MUST receive the Prisma transaction client and execute inside the exact same atomic transaction as `tx.lead.create`. Out-of-transaction audit logging is strictly reserved for infrastructure/network drops occurring after commit confirmation."</w:t>
      </w:r>
      <w:r>
        <w:rPr>
          <w:sz w:val="21"/>
        </w:rPr>
        <w:t xml:space="preserve">  </w:t>
      </w:r>
    </w:p>
    <w:p>
      <w:pPr>
        <w:spacing w:after="100" w:before="40"/>
      </w:pPr>
      <w:r>
        <w:rPr>
          <w:sz w:val="21"/>
        </w:rPr>
        <w:t xml:space="preserve">  &gt; </w:t>
      </w:r>
      <w:r>
        <w:rPr>
          <w:b/>
          <w:sz w:val="21"/>
        </w:rPr>
        <w:t>Rationale</w:t>
      </w:r>
      <w:r>
        <w:rPr>
          <w:sz w:val="21"/>
        </w:rPr>
        <w:t>: Pre-allocating or running counter increment in a separate transaction creates guaranteed sequence gaps whenever lead creation encounters a validation error. Executing both operations in a single atomic transaction guarantees zero sequence gaps during application rollbacks.</w:t>
      </w:r>
    </w:p>
    <w:p>
      <w:pPr>
        <w:pStyle w:val="ListBullet"/>
        <w:spacing w:after="60" w:before="0"/>
        <w:ind w:left="360"/>
      </w:pPr>
      <w:r>
        <w:rPr>
          <w:b/>
          <w:sz w:val="21"/>
        </w:rPr>
        <w:t>Technical Implementation Specification (Optional / Reference Example)</w:t>
      </w:r>
      <w:r>
        <w:rPr>
          <w:sz w:val="21"/>
        </w:rPr>
        <w:t>:</w:t>
      </w:r>
    </w:p>
    <w:p>
      <w:pPr>
        <w:pStyle w:val="ListBullet"/>
        <w:spacing w:after="60" w:before="0"/>
        <w:ind w:left="720"/>
      </w:pPr>
      <w:r>
        <w:rPr>
          <w:sz w:val="21"/>
        </w:rPr>
        <w:t xml:space="preserve">🔄 </w:t>
      </w:r>
      <w:r>
        <w:rPr>
          <w:b/>
          <w:sz w:val="21"/>
        </w:rPr>
        <w:t>[SOURCE: FINAL AUTHOR REVIEW - ITEM #2]</w:t>
      </w:r>
      <w:r>
        <w:rPr>
          <w:sz w:val="21"/>
        </w:rPr>
        <w:t xml:space="preserve"> </w:t>
      </w:r>
      <w:r>
        <w:rPr>
          <w:b/>
          <w:sz w:val="21"/>
        </w:rPr>
        <w:t>Atomic Allocator inside Same Transaction (Example)</w:t>
      </w:r>
      <w:r>
        <w:rPr>
          <w:sz w:val="21"/>
        </w:rPr>
        <w:t>:</w:t>
      </w:r>
    </w:p>
    <w:p>
      <w:pPr>
        <w:spacing w:after="100" w:before="40"/>
      </w:pPr>
      <w:r>
        <w:rPr>
          <w:sz w:val="21"/>
        </w:rPr>
        <w:t xml:space="preserve">    </w:t>
      </w:r>
      <w:r>
        <w:rPr>
          <w:rFonts w:ascii="Consolas" w:hAnsi="Consolas"/>
          <w:color w:val="B42828"/>
          <w:sz w:val="21"/>
        </w:rPr>
      </w:r>
      <w:r>
        <w:rPr>
          <w:sz w:val="21"/>
        </w:rPr>
        <w:t>`typescript</w:t>
      </w:r>
    </w:p>
    <w:p>
      <w:pPr>
        <w:spacing w:after="100" w:before="40"/>
      </w:pPr>
      <w:r>
        <w:rPr>
          <w:sz w:val="21"/>
        </w:rPr>
        <w:t xml:space="preserve">    async function allocateNextLeadNumber(tx: Prisma.TransactionClient, jakartaYear: number): Promise&lt;string&gt; {</w:t>
      </w:r>
    </w:p>
    <w:p>
      <w:pPr>
        <w:spacing w:after="100" w:before="40"/>
      </w:pPr>
      <w:r>
        <w:rPr>
          <w:sz w:val="21"/>
        </w:rPr>
        <w:t xml:space="preserve">      const counter = await tx.leadNumberCounter.upsert({</w:t>
      </w:r>
    </w:p>
    <w:p>
      <w:pPr>
        <w:spacing w:after="100" w:before="40"/>
      </w:pPr>
      <w:r>
        <w:rPr>
          <w:sz w:val="21"/>
        </w:rPr>
        <w:t xml:space="preserve">        where: { year: jakartaYear },</w:t>
      </w:r>
    </w:p>
    <w:p>
      <w:pPr>
        <w:spacing w:after="100" w:before="40"/>
      </w:pPr>
      <w:r>
        <w:rPr>
          <w:sz w:val="21"/>
        </w:rPr>
        <w:t xml:space="preserve">        update: { currentSequence: { increment: 1 } },</w:t>
      </w:r>
    </w:p>
    <w:p>
      <w:pPr>
        <w:spacing w:after="100" w:before="40"/>
      </w:pPr>
      <w:r>
        <w:rPr>
          <w:sz w:val="21"/>
        </w:rPr>
        <w:t xml:space="preserve">        create: { year: jakartaYear, currentSequence: 1 },</w:t>
      </w:r>
    </w:p>
    <w:p>
      <w:pPr>
        <w:spacing w:after="100" w:before="40"/>
      </w:pPr>
      <w:r>
        <w:rPr>
          <w:sz w:val="21"/>
        </w:rPr>
        <w:t xml:space="preserve">      });</w:t>
      </w:r>
    </w:p>
    <w:p>
      <w:pPr>
        <w:spacing w:after="100" w:before="40"/>
      </w:pPr>
      <w:r>
        <w:rPr>
          <w:sz w:val="21"/>
        </w:rPr>
        <w:t xml:space="preserve">      return </w:t>
      </w:r>
      <w:r>
        <w:rPr>
          <w:rFonts w:ascii="Consolas" w:hAnsi="Consolas"/>
          <w:color w:val="B42828"/>
          <w:sz w:val="21"/>
        </w:rPr>
        <w:t>LEAD-${jakartaYear}-${String(counter.currentSequence).padStart(4, '0')}</w:t>
      </w:r>
      <w:r>
        <w:rPr>
          <w:sz w:val="21"/>
        </w:rPr>
        <w:t>;</w:t>
      </w:r>
    </w:p>
    <w:p>
      <w:pPr>
        <w:spacing w:after="100" w:before="40"/>
      </w:pPr>
      <w:r>
        <w:rPr>
          <w:sz w:val="21"/>
        </w:rPr>
        <w:t xml:space="preserve">    }</w:t>
      </w:r>
    </w:p>
    <w:p>
      <w:pPr>
        <w:spacing w:after="100" w:before="40"/>
      </w:pPr>
      <w:r>
        <w:rPr>
          <w:sz w:val="21"/>
        </w:rPr>
        <w:t xml:space="preserve">    // Atomic Execution Flow:</w:t>
      </w:r>
    </w:p>
    <w:p>
      <w:pPr>
        <w:spacing w:after="100" w:before="40"/>
      </w:pPr>
      <w:r>
        <w:rPr>
          <w:sz w:val="21"/>
        </w:rPr>
        <w:t xml:space="preserve">    async function createLeadAtomically(input: CreateLeadInput) {</w:t>
      </w:r>
    </w:p>
    <w:p>
      <w:pPr>
        <w:spacing w:after="100" w:before="40"/>
      </w:pPr>
      <w:r>
        <w:rPr>
          <w:sz w:val="21"/>
        </w:rPr>
        <w:t xml:space="preserve">      const now = new Date();</w:t>
      </w:r>
    </w:p>
    <w:p>
      <w:pPr>
        <w:spacing w:after="100" w:before="40"/>
      </w:pPr>
      <w:r>
        <w:rPr>
          <w:sz w:val="21"/>
        </w:rPr>
        <w:t xml:space="preserve">      const jakartaYear = parseInt(</w:t>
      </w:r>
    </w:p>
    <w:p>
      <w:pPr>
        <w:spacing w:after="100" w:before="40"/>
      </w:pPr>
      <w:r>
        <w:rPr>
          <w:sz w:val="21"/>
        </w:rPr>
        <w:t xml:space="preserve">        new Intl.DateTimeFormat("en-US", { timeZone: "Asia/Jakarta", year: "numeric" }).format(now),</w:t>
      </w:r>
    </w:p>
    <w:p>
      <w:pPr>
        <w:spacing w:after="100" w:before="40"/>
      </w:pPr>
      <w:r>
        <w:rPr>
          <w:sz w:val="21"/>
        </w:rPr>
        <w:t xml:space="preserve">        10</w:t>
      </w:r>
    </w:p>
    <w:p>
      <w:pPr>
        <w:spacing w:after="100" w:before="40"/>
      </w:pPr>
      <w:r>
        <w:rPr>
          <w:sz w:val="21"/>
        </w:rPr>
        <w:t xml:space="preserve">      );</w:t>
      </w:r>
    </w:p>
    <w:p>
      <w:pPr>
        <w:spacing w:after="100" w:before="40"/>
      </w:pPr>
      <w:r>
        <w:rPr>
          <w:sz w:val="21"/>
        </w:rPr>
        <w:t xml:space="preserve">      return await prisma.$transaction(async (tx) =&gt; {</w:t>
      </w:r>
    </w:p>
    <w:p>
      <w:pPr>
        <w:spacing w:after="100" w:before="40"/>
      </w:pPr>
      <w:r>
        <w:rPr>
          <w:sz w:val="21"/>
        </w:rPr>
        <w:t xml:space="preserve">        // 1. Allocate sequence inside the transaction</w:t>
      </w:r>
    </w:p>
    <w:p>
      <w:pPr>
        <w:spacing w:after="100" w:before="40"/>
      </w:pPr>
      <w:r>
        <w:rPr>
          <w:sz w:val="21"/>
        </w:rPr>
        <w:t xml:space="preserve">        const leadNumber = await allocateNextLeadNumber(tx, jakartaYear);</w:t>
      </w:r>
    </w:p>
    <w:p>
      <w:pPr>
        <w:spacing w:after="100" w:before="40"/>
      </w:pPr>
      <w:r>
        <w:rPr>
          <w:sz w:val="21"/>
        </w:rPr>
        <w:t xml:space="preserve">        // 2. Create the Lead record with the allocated sequence</w:t>
      </w:r>
    </w:p>
    <w:p>
      <w:pPr>
        <w:spacing w:after="100" w:before="40"/>
      </w:pPr>
      <w:r>
        <w:rPr>
          <w:sz w:val="21"/>
        </w:rPr>
        <w:t xml:space="preserve">        const newLead = await tx.lead.create({</w:t>
      </w:r>
    </w:p>
    <w:p>
      <w:pPr>
        <w:spacing w:after="100" w:before="40"/>
      </w:pPr>
      <w:r>
        <w:rPr>
          <w:sz w:val="21"/>
        </w:rPr>
        <w:t xml:space="preserve">          data: {</w:t>
      </w:r>
    </w:p>
    <w:p>
      <w:pPr>
        <w:spacing w:after="100" w:before="40"/>
      </w:pPr>
      <w:r>
        <w:rPr>
          <w:sz w:val="21"/>
        </w:rPr>
        <w:t xml:space="preserve">            ...input,</w:t>
      </w:r>
    </w:p>
    <w:p>
      <w:pPr>
        <w:spacing w:after="100" w:before="40"/>
      </w:pPr>
      <w:r>
        <w:rPr>
          <w:sz w:val="21"/>
        </w:rPr>
        <w:t xml:space="preserve">            leadNumber,</w:t>
      </w:r>
    </w:p>
    <w:p>
      <w:pPr>
        <w:spacing w:after="100" w:before="40"/>
      </w:pPr>
      <w:r>
        <w:rPr>
          <w:sz w:val="21"/>
        </w:rPr>
        <w:t xml:space="preserve">          }</w:t>
      </w:r>
    </w:p>
    <w:p>
      <w:pPr>
        <w:spacing w:after="100" w:before="40"/>
      </w:pPr>
      <w:r>
        <w:rPr>
          <w:sz w:val="21"/>
        </w:rPr>
        <w:t xml:space="preserve">        });</w:t>
      </w:r>
    </w:p>
    <w:p>
      <w:pPr>
        <w:spacing w:after="100" w:before="40"/>
      </w:pPr>
      <w:r>
        <w:rPr>
          <w:sz w:val="21"/>
        </w:rPr>
        <w:t xml:space="preserve">        return newLead;</w:t>
      </w:r>
    </w:p>
    <w:p>
      <w:pPr>
        <w:spacing w:after="100" w:before="40"/>
      </w:pPr>
      <w:r>
        <w:rPr>
          <w:sz w:val="21"/>
        </w:rPr>
        <w:t xml:space="preserve">      });</w:t>
      </w:r>
    </w:p>
    <w:p>
      <w:pPr>
        <w:spacing w:after="100" w:before="40"/>
      </w:pPr>
      <w:r>
        <w:rPr>
          <w:sz w:val="21"/>
        </w:rPr>
        <w:t xml:space="preserve">    }</w:t>
      </w:r>
    </w:p>
    <w:p>
      <w:pPr>
        <w:spacing w:after="100" w:before="40"/>
      </w:pPr>
      <w:r>
        <w:rPr>
          <w:sz w:val="21"/>
        </w:rPr>
        <w:t xml:space="preserve">    </w:t>
      </w:r>
      <w:r>
        <w:rPr>
          <w:rFonts w:ascii="Consolas" w:hAnsi="Consolas"/>
          <w:color w:val="B42828"/>
          <w:sz w:val="21"/>
        </w:rPr>
      </w:r>
      <w:r>
        <w:rPr>
          <w:rFonts w:ascii="Consolas" w:hAnsi="Consolas"/>
          <w:color w:val="B42828"/>
          <w:sz w:val="21"/>
        </w:rPr>
      </w:r>
    </w:p>
    <w:p>
      <w:pPr>
        <w:pStyle w:val="Heading3"/>
        <w:spacing w:before="200" w:after="80"/>
      </w:pPr>
      <w:r>
        <w:rPr>
          <w:b/>
          <w:color w:val="326496"/>
          <w:sz w:val="26"/>
        </w:rPr>
        <w:t>🛡️ Category 4: Presales Workspace &amp; Cost Capture (`DEMO-09`)</w:t>
      </w:r>
    </w:p>
    <w:p>
      <w:pPr>
        <w:pStyle w:val="Heading4"/>
        <w:spacing w:before="160" w:after="60"/>
      </w:pPr>
      <w:r>
        <w:rPr>
          <w:b/>
          <w:color w:val="464646"/>
          <w:sz w:val="23"/>
        </w:rPr>
        <w:t>Question 11: Presales Workspace Creation Timing &amp; Authority</w:t>
      </w:r>
    </w:p>
    <w:p>
      <w:pPr>
        <w:pStyle w:val="ListBullet"/>
        <w:spacing w:after="60" w:before="0"/>
        <w:ind w:left="360"/>
      </w:pPr>
      <w:r>
        <w:rPr>
          <w:b/>
          <w:sz w:val="21"/>
        </w:rPr>
        <w:t>Bahasa Indonesia</w:t>
      </w:r>
      <w:r>
        <w:rPr>
          <w:sz w:val="21"/>
        </w:rPr>
        <w:t xml:space="preserve">: </w:t>
      </w:r>
      <w:r>
        <w:rPr>
          <w:i/>
          <w:sz w:val="21"/>
        </w:rPr>
        <w:t>"Kapan PRESALES workspace dibuat dan siapa yang boleh memulai?"</w:t>
      </w:r>
    </w:p>
    <w:p>
      <w:pPr>
        <w:pStyle w:val="ListBullet"/>
        <w:spacing w:after="60" w:before="0"/>
        <w:ind w:left="360"/>
      </w:pPr>
      <w:r>
        <w:rPr>
          <w:b/>
          <w:sz w:val="21"/>
        </w:rPr>
        <w:t>English Translation</w:t>
      </w:r>
      <w:r>
        <w:rPr>
          <w:sz w:val="21"/>
        </w:rPr>
        <w:t>: "When is a PRESALES workspace created, and who is authorized to initiate it?"</w:t>
      </w:r>
    </w:p>
    <w:p>
      <w:pPr>
        <w:pStyle w:val="ListBullet"/>
        <w:spacing w:after="60" w:before="0"/>
        <w:ind w:left="360"/>
      </w:pPr>
      <w:r>
        <w:rPr>
          <w:b/>
          <w:sz w:val="21"/>
        </w:rPr>
        <w:t>In the Simplest Terms</w:t>
      </w:r>
      <w:r>
        <w:rPr>
          <w:sz w:val="21"/>
        </w:rPr>
        <w:t>: Never auto-create projects for every lead. Sales or Principals can click "Start Presales Workspace" only when a lead is qualified and needs technical effort.</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4.1</w:t>
      </w:r>
      <w:r>
        <w:rPr>
          <w:sz w:val="21"/>
        </w:rPr>
        <w:t xml:space="preserve"> </w:t>
      </w:r>
      <w:r>
        <w:rPr>
          <w:rFonts w:ascii="Consolas" w:hAnsi="Consolas"/>
          <w:color w:val="B42828"/>
          <w:sz w:val="21"/>
        </w:rPr>
        <w:t>[PENDING APPROVAL]</w:t>
      </w:r>
      <w:r>
        <w:rPr>
          <w:sz w:val="21"/>
        </w:rPr>
        <w:t xml:space="preserve">: </w:t>
      </w:r>
      <w:r>
        <w:rPr>
          <w:b/>
          <w:sz w:val="21"/>
        </w:rPr>
        <w:t>Strictly Opt-In Presales Workspace</w:t>
      </w:r>
      <w:r>
        <w:rPr>
          <w:sz w:val="21"/>
        </w:rPr>
        <w:t>. A workspace is never auto-spawned on lead creation. It can only be initiated via explicit user action (</w:t>
      </w:r>
      <w:r>
        <w:rPr>
          <w:rFonts w:ascii="Consolas" w:hAnsi="Consolas"/>
          <w:color w:val="B42828"/>
          <w:sz w:val="21"/>
        </w:rPr>
        <w:t>POST /api/leads/:id/presales-workspace</w:t>
      </w:r>
      <w:r>
        <w:rPr>
          <w:sz w:val="21"/>
        </w:rPr>
        <w:t xml:space="preserve">) by the assigned </w:t>
      </w:r>
      <w:r>
        <w:rPr>
          <w:rFonts w:ascii="Consolas" w:hAnsi="Consolas"/>
          <w:color w:val="B42828"/>
          <w:sz w:val="21"/>
        </w:rPr>
        <w:t>SALES</w:t>
      </w:r>
      <w:r>
        <w:rPr>
          <w:sz w:val="21"/>
        </w:rPr>
        <w:t xml:space="preserve"> owner or BU </w:t>
      </w:r>
      <w:r>
        <w:rPr>
          <w:rFonts w:ascii="Consolas" w:hAnsi="Consolas"/>
          <w:color w:val="B42828"/>
          <w:sz w:val="21"/>
        </w:rPr>
        <w:t>PRINCIPAL_KONSULTAN</w:t>
      </w:r>
      <w:r>
        <w:rPr>
          <w:sz w:val="21"/>
        </w:rPr>
        <w:t xml:space="preserve"> once the lead reaches </w:t>
      </w:r>
      <w:r>
        <w:rPr>
          <w:rFonts w:ascii="Consolas" w:hAnsi="Consolas"/>
          <w:color w:val="B42828"/>
          <w:sz w:val="21"/>
        </w:rPr>
        <w:t>QUALIFIED</w:t>
      </w:r>
      <w:r>
        <w:rPr>
          <w:sz w:val="21"/>
        </w:rPr>
        <w:t xml:space="preserve"> stage. </w:t>
      </w:r>
      <w:r>
        <w:rPr>
          <w:i/>
          <w:sz w:val="21"/>
        </w:rPr>
        <w:t>(Source: Master Rec Doc Section 16 &amp; Author Review 1)</w:t>
      </w:r>
      <w:r>
        <w:rPr>
          <w:sz w:val="21"/>
        </w:rPr>
        <w:t xml:space="preserve">  </w:t>
      </w:r>
    </w:p>
    <w:p>
      <w:pPr>
        <w:spacing w:after="100" w:before="40"/>
      </w:pPr>
      <w:r>
        <w:rPr>
          <w:sz w:val="21"/>
        </w:rPr>
        <w:t xml:space="preserve">  &gt; </w:t>
      </w:r>
      <w:r>
        <w:rPr>
          <w:b/>
          <w:sz w:val="21"/>
        </w:rPr>
        <w:t>Rationale</w:t>
      </w:r>
      <w:r>
        <w:rPr>
          <w:sz w:val="21"/>
        </w:rPr>
        <w:t>: Prevents project dashboard explosion and keeps presales proposal tasks isolated from delivery projects.</w:t>
      </w:r>
    </w:p>
    <w:p>
      <w:pPr>
        <w:pStyle w:val="Heading4"/>
        <w:spacing w:before="160" w:after="60"/>
      </w:pPr>
      <w:r>
        <w:rPr>
          <w:b/>
          <w:color w:val="464646"/>
          <w:sz w:val="23"/>
        </w:rPr>
        <w:t>Question 12: Won Deal Conversion (Promotion vs. Dedicated Delivery Project)</w:t>
      </w:r>
    </w:p>
    <w:p>
      <w:pPr>
        <w:pStyle w:val="ListBullet"/>
        <w:spacing w:after="60" w:before="0"/>
        <w:ind w:left="360"/>
      </w:pPr>
      <w:r>
        <w:rPr>
          <w:b/>
          <w:sz w:val="21"/>
        </w:rPr>
        <w:t>Bahasa Indonesia</w:t>
      </w:r>
      <w:r>
        <w:rPr>
          <w:sz w:val="21"/>
        </w:rPr>
        <w:t xml:space="preserve">: </w:t>
      </w:r>
      <w:r>
        <w:rPr>
          <w:i/>
          <w:sz w:val="21"/>
        </w:rPr>
        <w:t>"Saat WON: promote PRESALES workspace atau create delivery Project terpisah?"</w:t>
      </w:r>
    </w:p>
    <w:p>
      <w:pPr>
        <w:pStyle w:val="ListBullet"/>
        <w:spacing w:after="60" w:before="0"/>
        <w:ind w:left="360"/>
      </w:pPr>
      <w:r>
        <w:rPr>
          <w:b/>
          <w:sz w:val="21"/>
        </w:rPr>
        <w:t>English Translation</w:t>
      </w:r>
      <w:r>
        <w:rPr>
          <w:sz w:val="21"/>
        </w:rPr>
        <w:t>: "When a deal is WON: promote the PRESALES workspace or create a separate delivery Project?"</w:t>
      </w:r>
    </w:p>
    <w:p>
      <w:pPr>
        <w:pStyle w:val="ListBullet"/>
        <w:spacing w:after="60" w:before="0"/>
        <w:ind w:left="360"/>
      </w:pPr>
      <w:r>
        <w:rPr>
          <w:b/>
          <w:sz w:val="21"/>
        </w:rPr>
        <w:t>In the Simplest Terms</w:t>
      </w:r>
      <w:r>
        <w:rPr>
          <w:sz w:val="21"/>
        </w:rPr>
        <w:t>: Create a fresh, official delivery Project with its own project code, link it to the Lead, and close the presales workspace.</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4.2</w:t>
      </w:r>
      <w:r>
        <w:rPr>
          <w:sz w:val="21"/>
        </w:rPr>
        <w:t xml:space="preserve"> </w:t>
      </w:r>
      <w:r>
        <w:rPr>
          <w:rFonts w:ascii="Consolas" w:hAnsi="Consolas"/>
          <w:color w:val="B42828"/>
          <w:sz w:val="21"/>
        </w:rPr>
        <w:t>[PENDING APPROVAL]</w:t>
      </w:r>
      <w:r>
        <w:rPr>
          <w:sz w:val="21"/>
        </w:rPr>
        <w:t xml:space="preserve">: Implement a </w:t>
      </w:r>
      <w:r>
        <w:rPr>
          <w:b/>
          <w:sz w:val="21"/>
        </w:rPr>
        <w:t>Deterministic Conversion Flow</w:t>
      </w:r>
      <w:r>
        <w:rPr>
          <w:sz w:val="21"/>
        </w:rPr>
        <w:t xml:space="preserve">. When a lead is marked </w:t>
      </w:r>
      <w:r>
        <w:rPr>
          <w:rFonts w:ascii="Consolas" w:hAnsi="Consolas"/>
          <w:color w:val="B42828"/>
          <w:sz w:val="21"/>
        </w:rPr>
        <w:t>WON</w:t>
      </w:r>
      <w:r>
        <w:rPr>
          <w:sz w:val="21"/>
        </w:rPr>
        <w:t xml:space="preserve">, create a dedicated delivery </w:t>
      </w:r>
      <w:r>
        <w:rPr>
          <w:rFonts w:ascii="Consolas" w:hAnsi="Consolas"/>
          <w:color w:val="B42828"/>
          <w:sz w:val="21"/>
        </w:rPr>
        <w:t>Project</w:t>
      </w:r>
      <w:r>
        <w:rPr>
          <w:sz w:val="21"/>
        </w:rPr>
        <w:t xml:space="preserve"> (</w:t>
      </w:r>
      <w:r>
        <w:rPr>
          <w:rFonts w:ascii="Consolas" w:hAnsi="Consolas"/>
          <w:color w:val="B42828"/>
          <w:sz w:val="21"/>
        </w:rPr>
        <w:t>ProjectKind.CLIENT</w:t>
      </w:r>
      <w:r>
        <w:rPr>
          <w:sz w:val="21"/>
        </w:rPr>
        <w:t>) with an official project code (</w:t>
      </w:r>
      <w:r>
        <w:rPr>
          <w:rFonts w:ascii="Consolas" w:hAnsi="Consolas"/>
          <w:color w:val="B42828"/>
          <w:sz w:val="21"/>
        </w:rPr>
        <w:t>PRJ-YYYY-NNNN</w:t>
      </w:r>
      <w:r>
        <w:rPr>
          <w:sz w:val="21"/>
        </w:rPr>
        <w:t xml:space="preserve">), transfer the approved commercial scope/budget, link </w:t>
      </w:r>
      <w:r>
        <w:rPr>
          <w:rFonts w:ascii="Consolas" w:hAnsi="Consolas"/>
          <w:color w:val="B42828"/>
          <w:sz w:val="21"/>
        </w:rPr>
        <w:t>Lead.convertedProjectId = project.id</w:t>
      </w:r>
      <w:r>
        <w:rPr>
          <w:sz w:val="21"/>
        </w:rPr>
        <w:t xml:space="preserve">, and transition the linked presales workspace to </w:t>
      </w:r>
      <w:r>
        <w:rPr>
          <w:rFonts w:ascii="Consolas" w:hAnsi="Consolas"/>
          <w:color w:val="B42828"/>
          <w:sz w:val="21"/>
        </w:rPr>
        <w:t>ProjectStatus.CLOSED</w:t>
      </w:r>
      <w:r>
        <w:rPr>
          <w:sz w:val="21"/>
        </w:rPr>
        <w:t xml:space="preserve">. </w:t>
      </w:r>
      <w:r>
        <w:rPr>
          <w:i/>
          <w:sz w:val="21"/>
        </w:rPr>
        <w:t>(Source: Master Rec Doc Section 16)</w:t>
      </w:r>
    </w:p>
    <w:p>
      <w:pPr>
        <w:pStyle w:val="Heading4"/>
        <w:spacing w:before="160" w:after="60"/>
      </w:pPr>
      <w:r>
        <w:rPr>
          <w:b/>
          <w:color w:val="464646"/>
          <w:sz w:val="23"/>
        </w:rPr>
        <w:t>Question 13: Presales Cost Accounting (CAC vs. Delivery EVM)</w:t>
      </w:r>
    </w:p>
    <w:p>
      <w:pPr>
        <w:pStyle w:val="ListBullet"/>
        <w:spacing w:after="60" w:before="0"/>
        <w:ind w:left="360"/>
      </w:pPr>
      <w:r>
        <w:rPr>
          <w:b/>
          <w:sz w:val="21"/>
        </w:rPr>
        <w:t>Bahasa Indonesia</w:t>
      </w:r>
      <w:r>
        <w:rPr>
          <w:sz w:val="21"/>
        </w:rPr>
        <w:t xml:space="preserve">: </w:t>
      </w:r>
      <w:r>
        <w:rPr>
          <w:i/>
          <w:sz w:val="21"/>
        </w:rPr>
        <w:t>"Apakah presales cost menjadi bagian project total cost atau separate CAC ledger/report?"</w:t>
      </w:r>
    </w:p>
    <w:p>
      <w:pPr>
        <w:pStyle w:val="ListBullet"/>
        <w:spacing w:after="60" w:before="0"/>
        <w:ind w:left="360"/>
      </w:pPr>
      <w:r>
        <w:rPr>
          <w:b/>
          <w:sz w:val="21"/>
        </w:rPr>
        <w:t>English Translation</w:t>
      </w:r>
      <w:r>
        <w:rPr>
          <w:sz w:val="21"/>
        </w:rPr>
        <w:t>: "Is presales cost part of the total project delivery cost or a separate CAC ledger/report?"</w:t>
      </w:r>
    </w:p>
    <w:p>
      <w:pPr>
        <w:pStyle w:val="ListBullet"/>
        <w:spacing w:after="60" w:before="0"/>
        <w:ind w:left="360"/>
      </w:pPr>
      <w:r>
        <w:rPr>
          <w:b/>
          <w:sz w:val="21"/>
        </w:rPr>
        <w:t>In the Simplest Terms</w:t>
      </w:r>
      <w:r>
        <w:rPr>
          <w:sz w:val="21"/>
        </w:rPr>
        <w:t>: Keep presales costs in a separate CAC (Customer Acquisition Cost) report. Do not add it to the delivery project so project delivery profit and EVM stay 100% accurate.</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4.3</w:t>
      </w:r>
      <w:r>
        <w:rPr>
          <w:sz w:val="21"/>
        </w:rPr>
        <w:t xml:space="preserve"> </w:t>
      </w:r>
      <w:r>
        <w:rPr>
          <w:rFonts w:ascii="Consolas" w:hAnsi="Consolas"/>
          <w:color w:val="B42828"/>
          <w:sz w:val="21"/>
        </w:rPr>
        <w:t>[PENDING APPROVAL]</w:t>
      </w:r>
      <w:r>
        <w:rPr>
          <w:sz w:val="21"/>
        </w:rPr>
        <w:t xml:space="preserve">: </w:t>
      </w:r>
      <w:r>
        <w:rPr>
          <w:b/>
          <w:sz w:val="21"/>
        </w:rPr>
        <w:t>Hard Isolation of Presales Costs into Commercial CAC</w:t>
      </w:r>
      <w:r>
        <w:rPr>
          <w:sz w:val="21"/>
        </w:rPr>
        <w:t xml:space="preserve">. Presales timesheets and expenses are booked to </w:t>
      </w:r>
      <w:r>
        <w:rPr>
          <w:rFonts w:ascii="Consolas" w:hAnsi="Consolas"/>
          <w:color w:val="B42828"/>
          <w:sz w:val="21"/>
        </w:rPr>
        <w:t>ProjectKind.PRESALES</w:t>
      </w:r>
      <w:r>
        <w:rPr>
          <w:sz w:val="21"/>
        </w:rPr>
        <w:t xml:space="preserve"> and reported under Customer Acquisition Cost (CAC). They are strictly excluded from the delivery project's Planned Value (PV), Budget at Completion (BAC), and client billing milestones. </w:t>
      </w:r>
      <w:r>
        <w:rPr>
          <w:i/>
          <w:sz w:val="21"/>
        </w:rPr>
        <w:t>(Source: Master Rec Doc Section 16)</w:t>
      </w:r>
    </w:p>
    <w:p>
      <w:pPr>
        <w:pStyle w:val="Heading3"/>
        <w:spacing w:before="200" w:after="80"/>
      </w:pPr>
      <w:r>
        <w:rPr>
          <w:b/>
          <w:color w:val="326496"/>
          <w:sz w:val="26"/>
        </w:rPr>
        <w:t>📊 Category 5: Sales Stages &amp; Probability Forecasting (`DEMO-08`)</w:t>
      </w:r>
    </w:p>
    <w:p>
      <w:pPr>
        <w:pStyle w:val="Heading4"/>
        <w:spacing w:before="160" w:after="60"/>
      </w:pPr>
      <w:r>
        <w:rPr>
          <w:b/>
          <w:color w:val="464646"/>
          <w:sz w:val="23"/>
        </w:rPr>
        <w:t>Question 14: Sales Stage Taxonomy</w:t>
      </w:r>
    </w:p>
    <w:p>
      <w:pPr>
        <w:pStyle w:val="ListBullet"/>
        <w:spacing w:after="60" w:before="0"/>
        <w:ind w:left="360"/>
      </w:pPr>
      <w:r>
        <w:rPr>
          <w:b/>
          <w:sz w:val="21"/>
        </w:rPr>
        <w:t>Bahasa Indonesia</w:t>
      </w:r>
      <w:r>
        <w:rPr>
          <w:sz w:val="21"/>
        </w:rPr>
        <w:t xml:space="preserve">: </w:t>
      </w:r>
      <w:r>
        <w:rPr>
          <w:i/>
          <w:sz w:val="21"/>
        </w:rPr>
        <w:t>"Apakah CONTACTED/CONTRACTING menjadi stage resmi?"</w:t>
      </w:r>
    </w:p>
    <w:p>
      <w:pPr>
        <w:pStyle w:val="ListBullet"/>
        <w:spacing w:after="60" w:before="0"/>
        <w:ind w:left="360"/>
      </w:pPr>
      <w:r>
        <w:rPr>
          <w:b/>
          <w:sz w:val="21"/>
        </w:rPr>
        <w:t>English Translation</w:t>
      </w:r>
      <w:r>
        <w:rPr>
          <w:sz w:val="21"/>
        </w:rPr>
        <w:t>: "Are CONTACTED/CONTRACTING official stages in the system?"</w:t>
      </w:r>
    </w:p>
    <w:p>
      <w:pPr>
        <w:pStyle w:val="ListBullet"/>
        <w:spacing w:after="60" w:before="0"/>
        <w:ind w:left="360"/>
      </w:pPr>
      <w:r>
        <w:rPr>
          <w:b/>
          <w:sz w:val="21"/>
        </w:rPr>
        <w:t>In the Simplest Terms</w:t>
      </w:r>
      <w:r>
        <w:rPr>
          <w:sz w:val="21"/>
        </w:rPr>
        <w:t>: No. Keep the current 6 clean stages (NEW, QUALIFIED, PROPOSAL, NEGOTIATION, WON, LOST) to avoid breaking existing funnels and integrations.</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5.1</w:t>
      </w:r>
      <w:r>
        <w:rPr>
          <w:sz w:val="21"/>
        </w:rPr>
        <w:t xml:space="preserve"> </w:t>
      </w:r>
      <w:r>
        <w:rPr>
          <w:rFonts w:ascii="Consolas" w:hAnsi="Consolas"/>
          <w:color w:val="B42828"/>
          <w:sz w:val="21"/>
        </w:rPr>
        <w:t>[PENDING APPROVAL]</w:t>
      </w:r>
      <w:r>
        <w:rPr>
          <w:sz w:val="21"/>
        </w:rPr>
        <w:t xml:space="preserve">: Retain the existing 6 canonical </w:t>
      </w:r>
      <w:r>
        <w:rPr>
          <w:rFonts w:ascii="Consolas" w:hAnsi="Consolas"/>
          <w:color w:val="B42828"/>
          <w:sz w:val="21"/>
        </w:rPr>
        <w:t>LeadStage</w:t>
      </w:r>
      <w:r>
        <w:rPr>
          <w:sz w:val="21"/>
        </w:rPr>
        <w:t xml:space="preserve"> Prisma enum values (</w:t>
      </w:r>
      <w:r>
        <w:rPr>
          <w:rFonts w:ascii="Consolas" w:hAnsi="Consolas"/>
          <w:color w:val="B42828"/>
          <w:sz w:val="21"/>
        </w:rPr>
        <w:t>NEW</w:t>
      </w:r>
      <w:r>
        <w:rPr>
          <w:sz w:val="21"/>
        </w:rPr>
        <w:t xml:space="preserve">, </w:t>
      </w:r>
      <w:r>
        <w:rPr>
          <w:rFonts w:ascii="Consolas" w:hAnsi="Consolas"/>
          <w:color w:val="B42828"/>
          <w:sz w:val="21"/>
        </w:rPr>
        <w:t>QUALIFIED</w:t>
      </w:r>
      <w:r>
        <w:rPr>
          <w:sz w:val="21"/>
        </w:rPr>
        <w:t xml:space="preserve">, </w:t>
      </w:r>
      <w:r>
        <w:rPr>
          <w:rFonts w:ascii="Consolas" w:hAnsi="Consolas"/>
          <w:color w:val="B42828"/>
          <w:sz w:val="21"/>
        </w:rPr>
        <w:t>PROPOSAL</w:t>
      </w:r>
      <w:r>
        <w:rPr>
          <w:sz w:val="21"/>
        </w:rPr>
        <w:t xml:space="preserve">, </w:t>
      </w:r>
      <w:r>
        <w:rPr>
          <w:rFonts w:ascii="Consolas" w:hAnsi="Consolas"/>
          <w:color w:val="B42828"/>
          <w:sz w:val="21"/>
        </w:rPr>
        <w:t>NEGOTIATION</w:t>
      </w:r>
      <w:r>
        <w:rPr>
          <w:sz w:val="21"/>
        </w:rPr>
        <w:t xml:space="preserve">, </w:t>
      </w:r>
      <w:r>
        <w:rPr>
          <w:rFonts w:ascii="Consolas" w:hAnsi="Consolas"/>
          <w:color w:val="B42828"/>
          <w:sz w:val="21"/>
        </w:rPr>
        <w:t>WON</w:t>
      </w:r>
      <w:r>
        <w:rPr>
          <w:sz w:val="21"/>
        </w:rPr>
        <w:t xml:space="preserve">, </w:t>
      </w:r>
      <w:r>
        <w:rPr>
          <w:rFonts w:ascii="Consolas" w:hAnsi="Consolas"/>
          <w:color w:val="B42828"/>
          <w:sz w:val="21"/>
        </w:rPr>
        <w:t>LOST</w:t>
      </w:r>
      <w:r>
        <w:rPr>
          <w:sz w:val="21"/>
        </w:rPr>
        <w:t xml:space="preserve">). Map external CRM sub-stages into these 6 stages. </w:t>
      </w:r>
      <w:r>
        <w:rPr>
          <w:i/>
          <w:sz w:val="21"/>
        </w:rPr>
        <w:t>(Source: Codebase c7080af Audit &amp; Master Rec Doc)</w:t>
      </w:r>
    </w:p>
    <w:p>
      <w:pPr>
        <w:pStyle w:val="Heading4"/>
        <w:spacing w:before="160" w:after="60"/>
      </w:pPr>
      <w:r>
        <w:rPr>
          <w:b/>
          <w:color w:val="464646"/>
          <w:sz w:val="23"/>
        </w:rPr>
        <w:t>Question 15: Default Win Probability &amp; Manual Override Governance</w:t>
      </w:r>
    </w:p>
    <w:p>
      <w:pPr>
        <w:pStyle w:val="ListBullet"/>
        <w:spacing w:after="60" w:before="0"/>
        <w:ind w:left="360"/>
      </w:pPr>
      <w:r>
        <w:rPr>
          <w:b/>
          <w:sz w:val="21"/>
        </w:rPr>
        <w:t>Bahasa Indonesia</w:t>
      </w:r>
      <w:r>
        <w:rPr>
          <w:sz w:val="21"/>
        </w:rPr>
        <w:t xml:space="preserve">: </w:t>
      </w:r>
      <w:r>
        <w:rPr>
          <w:i/>
          <w:sz w:val="21"/>
        </w:rPr>
        <w:t>"Default probability dan override policy?"</w:t>
      </w:r>
    </w:p>
    <w:p>
      <w:pPr>
        <w:pStyle w:val="ListBullet"/>
        <w:spacing w:after="60" w:before="0"/>
        <w:ind w:left="360"/>
      </w:pPr>
      <w:r>
        <w:rPr>
          <w:b/>
          <w:sz w:val="21"/>
        </w:rPr>
        <w:t>English Translation</w:t>
      </w:r>
      <w:r>
        <w:rPr>
          <w:sz w:val="21"/>
        </w:rPr>
        <w:t>: "What are the default stage probabilities and the manual override policy?"</w:t>
      </w:r>
    </w:p>
    <w:p>
      <w:pPr>
        <w:pStyle w:val="ListBullet"/>
        <w:spacing w:after="60" w:before="0"/>
        <w:ind w:left="360"/>
      </w:pPr>
      <w:r>
        <w:rPr>
          <w:b/>
          <w:sz w:val="21"/>
        </w:rPr>
        <w:t>In the Simplest Terms</w:t>
      </w:r>
      <w:r>
        <w:rPr>
          <w:sz w:val="21"/>
        </w:rPr>
        <w:t>: The system automatically sets win probability based on stage (e.g., NEW=20%, PROPOSAL=60%, WON=100%, LOST=0%). Sales can override it, but they must enter a reason that gets saved in an audit log.</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5.2</w:t>
      </w:r>
      <w:r>
        <w:rPr>
          <w:sz w:val="21"/>
        </w:rPr>
        <w:t xml:space="preserve"> </w:t>
      </w:r>
      <w:r>
        <w:rPr>
          <w:rFonts w:ascii="Consolas" w:hAnsi="Consolas"/>
          <w:color w:val="B42828"/>
          <w:sz w:val="21"/>
        </w:rPr>
        <w:t>[PENDING APPROVAL]</w:t>
      </w:r>
      <w:r>
        <w:rPr>
          <w:sz w:val="21"/>
        </w:rPr>
        <w:t>: Automate default win probability on stage changes (</w:t>
      </w:r>
      <w:r>
        <w:rPr>
          <w:rFonts w:ascii="Consolas" w:hAnsi="Consolas"/>
          <w:color w:val="B42828"/>
          <w:sz w:val="21"/>
        </w:rPr>
        <w:t>NEW</w:t>
      </w:r>
      <w:r>
        <w:rPr>
          <w:sz w:val="21"/>
        </w:rPr>
        <w:t xml:space="preserve"> 20%, </w:t>
      </w:r>
      <w:r>
        <w:rPr>
          <w:rFonts w:ascii="Consolas" w:hAnsi="Consolas"/>
          <w:color w:val="B42828"/>
          <w:sz w:val="21"/>
        </w:rPr>
        <w:t>QUALIFIED</w:t>
      </w:r>
      <w:r>
        <w:rPr>
          <w:sz w:val="21"/>
        </w:rPr>
        <w:t xml:space="preserve"> 40%, </w:t>
      </w:r>
      <w:r>
        <w:rPr>
          <w:rFonts w:ascii="Consolas" w:hAnsi="Consolas"/>
          <w:color w:val="B42828"/>
          <w:sz w:val="21"/>
        </w:rPr>
        <w:t>PROPOSAL</w:t>
      </w:r>
      <w:r>
        <w:rPr>
          <w:sz w:val="21"/>
        </w:rPr>
        <w:t xml:space="preserve"> 60%, </w:t>
      </w:r>
      <w:r>
        <w:rPr>
          <w:rFonts w:ascii="Consolas" w:hAnsi="Consolas"/>
          <w:color w:val="B42828"/>
          <w:sz w:val="21"/>
        </w:rPr>
        <w:t>NEGOTIATION</w:t>
      </w:r>
      <w:r>
        <w:rPr>
          <w:sz w:val="21"/>
        </w:rPr>
        <w:t xml:space="preserve"> 80%, </w:t>
      </w:r>
      <w:r>
        <w:rPr>
          <w:rFonts w:ascii="Consolas" w:hAnsi="Consolas"/>
          <w:color w:val="B42828"/>
          <w:sz w:val="21"/>
        </w:rPr>
        <w:t>WON</w:t>
      </w:r>
      <w:r>
        <w:rPr>
          <w:sz w:val="21"/>
        </w:rPr>
        <w:t xml:space="preserve"> 100%, </w:t>
      </w:r>
      <w:r>
        <w:rPr>
          <w:rFonts w:ascii="Consolas" w:hAnsi="Consolas"/>
          <w:color w:val="B42828"/>
          <w:sz w:val="21"/>
        </w:rPr>
        <w:t>LOST</w:t>
      </w:r>
      <w:r>
        <w:rPr>
          <w:sz w:val="21"/>
        </w:rPr>
        <w:t xml:space="preserve"> 0%). Allow manual overrides only when accompanied by a mandatory written justification reason, capturing the actor ID and timestamp. </w:t>
      </w:r>
      <w:r>
        <w:rPr>
          <w:i/>
          <w:sz w:val="21"/>
        </w:rPr>
        <w:t>(Source: Master Rec Doc Section 16)</w:t>
      </w:r>
    </w:p>
    <w:p>
      <w:pPr>
        <w:pStyle w:val="Heading3"/>
        <w:spacing w:before="200" w:after="80"/>
      </w:pPr>
      <w:r>
        <w:rPr>
          <w:b/>
          <w:color w:val="326496"/>
          <w:sz w:val="26"/>
        </w:rPr>
        <w:t>💰 Category 6: Commercial Offerings, Margin Evaluation, &amp; Finance Approval (`DEMO-02`, `DEMO-07`, `DEMO-10`)</w:t>
      </w:r>
    </w:p>
    <w:p>
      <w:pPr>
        <w:pStyle w:val="Heading4"/>
        <w:spacing w:before="160" w:after="60"/>
      </w:pPr>
      <w:r>
        <w:rPr>
          <w:b/>
          <w:color w:val="464646"/>
          <w:sz w:val="23"/>
        </w:rPr>
        <w:t>Question 16: Offering Scope-to-Project Delivery Mapping</w:t>
      </w:r>
    </w:p>
    <w:p>
      <w:pPr>
        <w:pStyle w:val="ListBullet"/>
        <w:spacing w:after="60" w:before="0"/>
        <w:ind w:left="360"/>
      </w:pPr>
      <w:r>
        <w:rPr>
          <w:b/>
          <w:sz w:val="21"/>
        </w:rPr>
        <w:t>Bahasa Indonesia</w:t>
      </w:r>
      <w:r>
        <w:rPr>
          <w:sz w:val="21"/>
        </w:rPr>
        <w:t xml:space="preserve">: </w:t>
      </w:r>
      <w:r>
        <w:rPr>
          <w:i/>
          <w:sz w:val="21"/>
        </w:rPr>
        <w:t>"Offering-to-project scope/workstream/task/billing mappings?"</w:t>
      </w:r>
    </w:p>
    <w:p>
      <w:pPr>
        <w:pStyle w:val="ListBullet"/>
        <w:spacing w:after="60" w:before="0"/>
        <w:ind w:left="360"/>
      </w:pPr>
      <w:r>
        <w:rPr>
          <w:b/>
          <w:sz w:val="21"/>
        </w:rPr>
        <w:t>English Translation</w:t>
      </w:r>
      <w:r>
        <w:rPr>
          <w:sz w:val="21"/>
        </w:rPr>
        <w:t>: "How do commercial offerings map to project scope, workstreams, tasks, and billing upon conversion?"</w:t>
      </w:r>
    </w:p>
    <w:p>
      <w:pPr>
        <w:pStyle w:val="ListBullet"/>
        <w:spacing w:after="60" w:before="0"/>
        <w:ind w:left="360"/>
      </w:pPr>
      <w:r>
        <w:rPr>
          <w:b/>
          <w:sz w:val="21"/>
        </w:rPr>
        <w:t>In the Simplest Terms</w:t>
      </w:r>
      <w:r>
        <w:rPr>
          <w:sz w:val="21"/>
        </w:rPr>
        <w:t>: The products/services chosen during sales automatically generate the project workstreams, initial scope descriptions, and standard task templates when the deal is won.</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6.1</w:t>
      </w:r>
      <w:r>
        <w:rPr>
          <w:sz w:val="21"/>
        </w:rPr>
        <w:t xml:space="preserve"> </w:t>
      </w:r>
      <w:r>
        <w:rPr>
          <w:rFonts w:ascii="Consolas" w:hAnsi="Consolas"/>
          <w:color w:val="B42828"/>
          <w:sz w:val="21"/>
        </w:rPr>
        <w:t>[PENDING APPROVAL]</w:t>
      </w:r>
      <w:r>
        <w:rPr>
          <w:sz w:val="21"/>
        </w:rPr>
        <w:t xml:space="preserve">: Introduce a BU-owned </w:t>
      </w:r>
      <w:r>
        <w:rPr>
          <w:rFonts w:ascii="Consolas" w:hAnsi="Consolas"/>
          <w:color w:val="B42828"/>
          <w:sz w:val="21"/>
        </w:rPr>
        <w:t>OfferingCatalog</w:t>
      </w:r>
      <w:r>
        <w:rPr>
          <w:sz w:val="21"/>
        </w:rPr>
        <w:t xml:space="preserve"> and point-in-time </w:t>
      </w:r>
      <w:r>
        <w:rPr>
          <w:rFonts w:ascii="Consolas" w:hAnsi="Consolas"/>
          <w:color w:val="B42828"/>
          <w:sz w:val="21"/>
        </w:rPr>
        <w:t>LeadOffering</w:t>
      </w:r>
      <w:r>
        <w:rPr>
          <w:sz w:val="21"/>
        </w:rPr>
        <w:t xml:space="preserve"> line snapshots. On project conversion, each selected offering automatically instantiates a corresponding </w:t>
      </w:r>
      <w:r>
        <w:rPr>
          <w:rFonts w:ascii="Consolas" w:hAnsi="Consolas"/>
          <w:color w:val="B42828"/>
          <w:sz w:val="21"/>
        </w:rPr>
        <w:t>ProjectWorkstream</w:t>
      </w:r>
      <w:r>
        <w:rPr>
          <w:sz w:val="21"/>
        </w:rPr>
        <w:t xml:space="preserve"> and attaches standard BU </w:t>
      </w:r>
      <w:r>
        <w:rPr>
          <w:rFonts w:ascii="Consolas" w:hAnsi="Consolas"/>
          <w:color w:val="B42828"/>
          <w:sz w:val="21"/>
        </w:rPr>
        <w:t>TaskTemplate</w:t>
      </w:r>
      <w:r>
        <w:rPr>
          <w:sz w:val="21"/>
        </w:rPr>
        <w:t xml:space="preserve"> items. </w:t>
      </w:r>
      <w:r>
        <w:rPr>
          <w:i/>
          <w:sz w:val="21"/>
        </w:rPr>
        <w:t>(Source: Master Rec Doc Section 16)</w:t>
      </w:r>
    </w:p>
    <w:p>
      <w:pPr>
        <w:pStyle w:val="Heading4"/>
        <w:spacing w:before="160" w:after="60"/>
      </w:pPr>
      <w:r>
        <w:rPr>
          <w:b/>
          <w:color w:val="464646"/>
          <w:sz w:val="23"/>
        </w:rPr>
        <w:t>Question 17: Margin Evaluation Formulas, Configurable VAT, &amp; Pass-Through Costs</w:t>
      </w:r>
    </w:p>
    <w:p>
      <w:pPr>
        <w:pStyle w:val="ListBullet"/>
        <w:spacing w:after="60" w:before="0"/>
        <w:ind w:left="360"/>
      </w:pPr>
      <w:r>
        <w:rPr>
          <w:b/>
          <w:sz w:val="21"/>
        </w:rPr>
        <w:t>Bahasa Indonesia</w:t>
      </w:r>
      <w:r>
        <w:rPr>
          <w:sz w:val="21"/>
        </w:rPr>
        <w:t xml:space="preserve">: </w:t>
      </w:r>
      <w:r>
        <w:rPr>
          <w:i/>
          <w:sz w:val="21"/>
        </w:rPr>
        <w:t>"Margin thresholds, VAT, currency, discount/pass-through formula?"</w:t>
      </w:r>
    </w:p>
    <w:p>
      <w:pPr>
        <w:pStyle w:val="ListBullet"/>
        <w:spacing w:after="60" w:before="0"/>
        <w:ind w:left="360"/>
      </w:pPr>
      <w:r>
        <w:rPr>
          <w:b/>
          <w:sz w:val="21"/>
        </w:rPr>
        <w:t>English Translation</w:t>
      </w:r>
      <w:r>
        <w:rPr>
          <w:sz w:val="21"/>
        </w:rPr>
        <w:t>: "What are the margin thresholds, VAT handling, currency conversions, and calculation formulas?"</w:t>
      </w:r>
    </w:p>
    <w:p>
      <w:pPr>
        <w:pStyle w:val="ListBullet"/>
        <w:spacing w:after="60" w:before="0"/>
        <w:ind w:left="360"/>
      </w:pPr>
      <w:r>
        <w:rPr>
          <w:b/>
          <w:sz w:val="21"/>
        </w:rPr>
        <w:t>In the Simplest Terms</w:t>
      </w:r>
      <w:r>
        <w:rPr>
          <w:sz w:val="21"/>
        </w:rPr>
        <w:t>: Target margin: $\ge 30\%$ is Green (Healthy), $20–29\%$ is Yellow (Moderate), $&lt; 20\%$ is Red (Critical). VAT is calculated dynamically from system settings so profit calculations reflect real net revenue.</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6.2</w:t>
      </w:r>
      <w:r>
        <w:rPr>
          <w:sz w:val="21"/>
        </w:rPr>
        <w:t xml:space="preserve"> </w:t>
      </w:r>
      <w:r>
        <w:rPr>
          <w:rFonts w:ascii="Consolas" w:hAnsi="Consolas"/>
          <w:color w:val="B42828"/>
          <w:sz w:val="21"/>
        </w:rPr>
        <w:t>[PENDING APPROVAL]</w:t>
      </w:r>
      <w:r>
        <w:rPr>
          <w:sz w:val="21"/>
        </w:rPr>
        <w:t xml:space="preserve">: Calculate margins on net revenue (DPP) using exact Decimal arithmetic. Establish 3 commercial health tiers: 🟢 </w:t>
      </w:r>
      <w:r>
        <w:rPr>
          <w:b/>
          <w:sz w:val="21"/>
        </w:rPr>
        <w:t>Healthy</w:t>
      </w:r>
      <w:r>
        <w:rPr>
          <w:sz w:val="21"/>
        </w:rPr>
        <w:t xml:space="preserve"> ($\ge 30.0\%$), 🟡 </w:t>
      </w:r>
      <w:r>
        <w:rPr>
          <w:b/>
          <w:sz w:val="21"/>
        </w:rPr>
        <w:t>Moderate</w:t>
      </w:r>
      <w:r>
        <w:rPr>
          <w:sz w:val="21"/>
        </w:rPr>
        <w:t xml:space="preserve"> ($20.0\% \le M &lt; 30.0\%$), and 🔴 </w:t>
      </w:r>
      <w:r>
        <w:rPr>
          <w:b/>
          <w:sz w:val="21"/>
        </w:rPr>
        <w:t>Critical</w:t>
      </w:r>
      <w:r>
        <w:rPr>
          <w:sz w:val="21"/>
        </w:rPr>
        <w:t xml:space="preserve"> ($&lt; 20.0\%$).  </w:t>
      </w:r>
    </w:p>
    <w:p>
      <w:pPr>
        <w:spacing w:after="100" w:before="40"/>
      </w:pPr>
      <w:r>
        <w:rPr>
          <w:sz w:val="21"/>
        </w:rPr>
        <w:t xml:space="preserve">  &gt; </w:t>
      </w:r>
      <w:r>
        <w:rPr>
          <w:b/>
          <w:sz w:val="21"/>
        </w:rPr>
        <w:t>Decision 6.2b</w:t>
      </w:r>
      <w:r>
        <w:rPr>
          <w:sz w:val="21"/>
        </w:rPr>
        <w:t xml:space="preserve"> </w:t>
      </w:r>
      <w:r>
        <w:rPr>
          <w:rFonts w:ascii="Consolas" w:hAnsi="Consolas"/>
          <w:color w:val="B42828"/>
          <w:sz w:val="21"/>
        </w:rPr>
        <w:t>[PENDING APPROVAL]</w:t>
      </w:r>
      <w:r>
        <w:rPr>
          <w:sz w:val="21"/>
        </w:rPr>
        <w:t xml:space="preserve">: </w:t>
      </w:r>
      <w:r>
        <w:rPr>
          <w:b/>
          <w:sz w:val="21"/>
        </w:rPr>
        <w:t>Make VAT Configurable &amp; Versioned</w:t>
      </w:r>
      <w:r>
        <w:rPr>
          <w:sz w:val="21"/>
        </w:rPr>
        <w:t>. VAT rate is retrieved from global system settings (</w:t>
      </w:r>
      <w:r>
        <w:rPr>
          <w:rFonts w:ascii="Consolas" w:hAnsi="Consolas"/>
          <w:color w:val="B42828"/>
          <w:sz w:val="21"/>
        </w:rPr>
        <w:t>AppSetting</w:t>
      </w:r>
      <w:r>
        <w:rPr>
          <w:sz w:val="21"/>
        </w:rPr>
        <w:t xml:space="preserve">) or tax policy, confirmed by Finance, and stored as an immutable point-in-time snapshot on </w:t>
      </w:r>
      <w:r>
        <w:rPr>
          <w:rFonts w:ascii="Consolas" w:hAnsi="Consolas"/>
          <w:color w:val="B42828"/>
          <w:sz w:val="21"/>
        </w:rPr>
        <w:t>CommercialBudgetRevision.vatPercent</w:t>
      </w:r>
      <w:r>
        <w:rPr>
          <w:sz w:val="21"/>
        </w:rPr>
        <w:t xml:space="preserve"> using exact </w:t>
      </w:r>
      <w:r>
        <w:rPr>
          <w:rFonts w:ascii="Consolas" w:hAnsi="Consolas"/>
          <w:color w:val="B42828"/>
          <w:sz w:val="21"/>
        </w:rPr>
        <w:t>Decimal(5, 2)</w:t>
      </w:r>
      <w:r>
        <w:rPr>
          <w:sz w:val="21"/>
        </w:rPr>
        <w:t xml:space="preserve">. </w:t>
      </w:r>
      <w:r>
        <w:rPr>
          <w:i/>
          <w:sz w:val="21"/>
        </w:rPr>
        <w:t>(Source: Author Review 1 - Revision #13)</w:t>
      </w:r>
    </w:p>
    <w:p>
      <w:pPr>
        <w:pStyle w:val="Heading4"/>
        <w:spacing w:before="160" w:after="60"/>
      </w:pPr>
      <w:r>
        <w:rPr>
          <w:b/>
          <w:color w:val="464646"/>
          <w:sz w:val="23"/>
        </w:rPr>
        <w:t>Question 18: Approver Roles, Escalation, &amp; Non-Financial Edits</w:t>
      </w:r>
    </w:p>
    <w:p>
      <w:pPr>
        <w:pStyle w:val="ListBullet"/>
        <w:spacing w:after="60" w:before="0"/>
        <w:ind w:left="360"/>
      </w:pPr>
      <w:r>
        <w:rPr>
          <w:b/>
          <w:sz w:val="21"/>
        </w:rPr>
        <w:t>Bahasa Indonesia</w:t>
      </w:r>
      <w:r>
        <w:rPr>
          <w:sz w:val="21"/>
        </w:rPr>
        <w:t xml:space="preserve">: </w:t>
      </w:r>
      <w:r>
        <w:rPr>
          <w:i/>
          <w:sz w:val="21"/>
        </w:rPr>
        <w:t>"Approver/escalation dan separation of duties?"</w:t>
      </w:r>
    </w:p>
    <w:p>
      <w:pPr>
        <w:pStyle w:val="ListBullet"/>
        <w:spacing w:after="60" w:before="0"/>
        <w:ind w:left="360"/>
      </w:pPr>
      <w:r>
        <w:rPr>
          <w:b/>
          <w:sz w:val="21"/>
        </w:rPr>
        <w:t>English Translation</w:t>
      </w:r>
      <w:r>
        <w:rPr>
          <w:sz w:val="21"/>
        </w:rPr>
        <w:t>: "Who are the approvers, how does escalation work, and how is Separation of Duties enforced?"</w:t>
      </w:r>
    </w:p>
    <w:p>
      <w:pPr>
        <w:pStyle w:val="ListBullet"/>
        <w:spacing w:after="60" w:before="0"/>
        <w:ind w:left="360"/>
      </w:pPr>
      <w:r>
        <w:rPr>
          <w:b/>
          <w:sz w:val="21"/>
        </w:rPr>
        <w:t>In the Simplest Terms</w:t>
      </w:r>
      <w:r>
        <w:rPr>
          <w:sz w:val="21"/>
        </w:rPr>
        <w:t>: Finance approves standard budgets ($\ge 20\%$). If margin is Critical ($&lt; 20\%$), Management must also approve. The salesperson who owns the deal can never approve their own budget.</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6.3</w:t>
      </w:r>
      <w:r>
        <w:rPr>
          <w:sz w:val="21"/>
        </w:rPr>
        <w:t xml:space="preserve"> </w:t>
      </w:r>
      <w:r>
        <w:rPr>
          <w:rFonts w:ascii="Consolas" w:hAnsi="Consolas"/>
          <w:color w:val="B42828"/>
          <w:sz w:val="21"/>
        </w:rPr>
        <w:t>[PENDING APPROVAL]</w:t>
      </w:r>
      <w:r>
        <w:rPr>
          <w:sz w:val="21"/>
        </w:rPr>
        <w:t xml:space="preserve">: Implement versioned, immutable </w:t>
      </w:r>
      <w:r>
        <w:rPr>
          <w:rFonts w:ascii="Consolas" w:hAnsi="Consolas"/>
          <w:color w:val="B42828"/>
          <w:sz w:val="21"/>
        </w:rPr>
        <w:t>CommercialBudgetRevision</w:t>
      </w:r>
      <w:r>
        <w:rPr>
          <w:sz w:val="21"/>
        </w:rPr>
        <w:t xml:space="preserve"> records. Enforce </w:t>
      </w:r>
      <w:r>
        <w:rPr>
          <w:b/>
          <w:sz w:val="21"/>
        </w:rPr>
        <w:t>Separation of Duties (SoD)</w:t>
      </w:r>
      <w:r>
        <w:rPr>
          <w:sz w:val="21"/>
        </w:rPr>
        <w:t xml:space="preserve"> so a deal owner cannot approve their own budget. Require </w:t>
      </w:r>
      <w:r>
        <w:rPr>
          <w:rFonts w:ascii="Consolas" w:hAnsi="Consolas"/>
          <w:color w:val="B42828"/>
          <w:sz w:val="21"/>
        </w:rPr>
        <w:t>FINANCE</w:t>
      </w:r>
      <w:r>
        <w:rPr>
          <w:sz w:val="21"/>
        </w:rPr>
        <w:t xml:space="preserve"> approval for standard margins ($\ge 20\%$) and joint </w:t>
      </w:r>
      <w:r>
        <w:rPr>
          <w:rFonts w:ascii="Consolas" w:hAnsi="Consolas"/>
          <w:color w:val="B42828"/>
          <w:sz w:val="21"/>
        </w:rPr>
        <w:t>FINANCE</w:t>
      </w:r>
      <w:r>
        <w:rPr>
          <w:sz w:val="21"/>
        </w:rPr>
        <w:t xml:space="preserve"> + </w:t>
      </w:r>
      <w:r>
        <w:rPr>
          <w:rFonts w:ascii="Consolas" w:hAnsi="Consolas"/>
          <w:color w:val="B42828"/>
          <w:sz w:val="21"/>
        </w:rPr>
        <w:t>MANAGEMENT</w:t>
      </w:r>
      <w:r>
        <w:rPr>
          <w:sz w:val="21"/>
        </w:rPr>
        <w:t xml:space="preserve"> escalation for Critical margins ($&lt; 20\%$). </w:t>
      </w:r>
      <w:r>
        <w:rPr>
          <w:i/>
          <w:sz w:val="21"/>
        </w:rPr>
        <w:t>(Source: Author Review 1 - Revision #5)</w:t>
      </w:r>
    </w:p>
    <w:p>
      <w:pPr>
        <w:pStyle w:val="Heading3"/>
        <w:spacing w:before="200" w:after="80"/>
      </w:pPr>
      <w:r>
        <w:rPr>
          <w:b/>
          <w:color w:val="326496"/>
          <w:sz w:val="26"/>
        </w:rPr>
        <w:t>📈 Category 7: Project Baseline Auto-Sync (`DEMO-11`)</w:t>
      </w:r>
    </w:p>
    <w:p>
      <w:pPr>
        <w:pStyle w:val="Heading4"/>
        <w:spacing w:before="160" w:after="60"/>
      </w:pPr>
      <w:r>
        <w:rPr>
          <w:b/>
          <w:color w:val="464646"/>
          <w:sz w:val="23"/>
        </w:rPr>
        <w:t>🔄 [SOURCE: FINAL AUTHOR REVIEW - ITEMS #3 &amp; #4] Dedicated Decision Section for DEMO-11: Project Baseline Synchronization, Concurrency &amp; Idempotency</w:t>
      </w:r>
    </w:p>
    <w:p>
      <w:pPr>
        <w:pStyle w:val="ListBullet"/>
        <w:spacing w:after="60" w:before="0"/>
        <w:ind w:left="360"/>
      </w:pPr>
      <w:r>
        <w:rPr>
          <w:b/>
          <w:sz w:val="21"/>
        </w:rPr>
        <w:t>In the Simplest Terms</w:t>
      </w:r>
      <w:r>
        <w:rPr>
          <w:sz w:val="21"/>
        </w:rPr>
        <w:t>: When a deal is won, the system takes the approved budget and creates Baseline #1. Any later scope changes require an approved Change Request to create Baseline #2. The database guarantees that exactly one baseline is active at a time.</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7.0</w:t>
      </w:r>
      <w:r>
        <w:rPr>
          <w:sz w:val="21"/>
        </w:rPr>
        <w:t xml:space="preserve"> </w:t>
      </w:r>
      <w:r>
        <w:rPr>
          <w:rFonts w:ascii="Consolas" w:hAnsi="Consolas"/>
          <w:color w:val="B42828"/>
          <w:sz w:val="21"/>
        </w:rPr>
        <w:t>[PENDING APPROVAL]</w:t>
      </w:r>
      <w:r>
        <w:rPr>
          <w:sz w:val="21"/>
        </w:rPr>
        <w:t xml:space="preserve">: Implement an </w:t>
      </w:r>
      <w:r>
        <w:rPr>
          <w:b/>
          <w:sz w:val="21"/>
        </w:rPr>
        <w:t>Automated Baseline Synchronization Engine</w:t>
      </w:r>
      <w:r>
        <w:rPr>
          <w:sz w:val="21"/>
        </w:rPr>
        <w:t xml:space="preserve"> extending the existing </w:t>
      </w:r>
      <w:r>
        <w:rPr>
          <w:rFonts w:ascii="Consolas" w:hAnsi="Consolas"/>
          <w:color w:val="B42828"/>
          <w:sz w:val="21"/>
        </w:rPr>
        <w:t>ProjectBaseline</w:t>
      </w:r>
      <w:r>
        <w:rPr>
          <w:sz w:val="21"/>
        </w:rPr>
        <w:t xml:space="preserve"> architecture.  </w:t>
      </w:r>
    </w:p>
    <w:p>
      <w:pPr>
        <w:spacing w:after="100" w:before="40"/>
      </w:pPr>
      <w:r>
        <w:rPr>
          <w:sz w:val="21"/>
        </w:rPr>
        <w:t xml:space="preserve">  &gt; 1. </w:t>
      </w:r>
      <w:r>
        <w:rPr>
          <w:b/>
          <w:sz w:val="21"/>
        </w:rPr>
        <w:t>Initial Baseline Trigger (`source: "ACTIVATION"`)</w:t>
      </w:r>
      <w:r>
        <w:rPr>
          <w:sz w:val="21"/>
        </w:rPr>
        <w:t xml:space="preserve">: When a lead converts to a delivery project upon </w:t>
      </w:r>
      <w:r>
        <w:rPr>
          <w:rFonts w:ascii="Consolas" w:hAnsi="Consolas"/>
          <w:color w:val="B42828"/>
          <w:sz w:val="21"/>
        </w:rPr>
        <w:t>WON</w:t>
      </w:r>
      <w:r>
        <w:rPr>
          <w:sz w:val="21"/>
        </w:rPr>
        <w:t xml:space="preserve"> stage, the active </w:t>
      </w:r>
      <w:r>
        <w:rPr>
          <w:rFonts w:ascii="Consolas" w:hAnsi="Consolas"/>
          <w:color w:val="B42828"/>
          <w:sz w:val="21"/>
        </w:rPr>
        <w:t>CommercialBudgetRevision</w:t>
      </w:r>
      <w:r>
        <w:rPr>
          <w:sz w:val="21"/>
        </w:rPr>
        <w:t xml:space="preserve"> automatically generates the initial </w:t>
      </w:r>
      <w:r>
        <w:rPr>
          <w:rFonts w:ascii="Consolas" w:hAnsi="Consolas"/>
          <w:color w:val="B42828"/>
          <w:sz w:val="21"/>
        </w:rPr>
        <w:t>ProjectBaseline</w:t>
      </w:r>
      <w:r>
        <w:rPr>
          <w:sz w:val="21"/>
        </w:rPr>
        <w:t xml:space="preserve"> (Version 1, </w:t>
      </w:r>
      <w:r>
        <w:rPr>
          <w:rFonts w:ascii="Consolas" w:hAnsi="Consolas"/>
          <w:color w:val="B42828"/>
          <w:sz w:val="21"/>
        </w:rPr>
        <w:t>isCurrent = true</w:t>
      </w:r>
      <w:r>
        <w:rPr>
          <w:sz w:val="21"/>
        </w:rPr>
        <w:t xml:space="preserve">).  </w:t>
      </w:r>
    </w:p>
    <w:p>
      <w:pPr>
        <w:spacing w:after="100" w:before="40"/>
      </w:pPr>
      <w:r>
        <w:rPr>
          <w:sz w:val="21"/>
        </w:rPr>
        <w:t xml:space="preserve">  &gt; 2. </w:t>
      </w:r>
      <w:r>
        <w:rPr>
          <w:b/>
          <w:sz w:val="21"/>
        </w:rPr>
        <w:t>Change Request Baselines (`source: "CHANGE_REQUEST"`)</w:t>
      </w:r>
      <w:r>
        <w:rPr>
          <w:sz w:val="21"/>
        </w:rPr>
        <w:t>: Any post-activation scope or budget adjustment requires a formal approved Change Request, generating Baseline Version $N+1$ and archiving Version $N$ (</w:t>
      </w:r>
      <w:r>
        <w:rPr>
          <w:rFonts w:ascii="Consolas" w:hAnsi="Consolas"/>
          <w:color w:val="B42828"/>
          <w:sz w:val="21"/>
        </w:rPr>
        <w:t>isCurrent = false</w:t>
      </w:r>
      <w:r>
        <w:rPr>
          <w:sz w:val="21"/>
        </w:rPr>
        <w:t xml:space="preserve">).  </w:t>
      </w:r>
    </w:p>
    <w:p>
      <w:pPr>
        <w:spacing w:after="100" w:before="40"/>
      </w:pPr>
      <w:r>
        <w:rPr>
          <w:sz w:val="21"/>
        </w:rPr>
        <w:t xml:space="preserve">  &gt; 3. </w:t>
      </w:r>
      <w:r>
        <w:rPr>
          <w:b/>
          <w:sz w:val="21"/>
        </w:rPr>
        <w:t>PostgreSQL Partial Unique Index &amp; Advisory Lock</w:t>
      </w:r>
      <w:r>
        <w:rPr>
          <w:sz w:val="21"/>
        </w:rPr>
        <w:t xml:space="preserve">: Enforce at most one current baseline per project via </w:t>
      </w:r>
      <w:r>
        <w:rPr>
          <w:rFonts w:ascii="Consolas" w:hAnsi="Consolas"/>
          <w:color w:val="B42828"/>
          <w:sz w:val="21"/>
        </w:rPr>
        <w:t>CREATE UNIQUE INDEX one_current_baseline_per_project ON "ProjectBaseline" ("projectId") WHERE "isCurrent" = true;</w:t>
      </w:r>
      <w:r>
        <w:rPr>
          <w:sz w:val="21"/>
        </w:rPr>
        <w:t xml:space="preserve"> protected by transaction advisory locking.  </w:t>
      </w:r>
    </w:p>
    <w:p>
      <w:pPr>
        <w:spacing w:after="100" w:before="40"/>
      </w:pPr>
      <w:r>
        <w:rPr>
          <w:sz w:val="21"/>
        </w:rPr>
        <w:t xml:space="preserve">  &gt; 4. </w:t>
      </w:r>
      <w:r>
        <w:rPr>
          <w:b/>
          <w:sz w:val="21"/>
        </w:rPr>
        <w:t>Idempotency Invariant</w:t>
      </w:r>
      <w:r>
        <w:rPr>
          <w:sz w:val="21"/>
        </w:rPr>
        <w:t xml:space="preserve">: </w:t>
      </w:r>
      <w:r>
        <w:rPr>
          <w:rFonts w:ascii="Consolas" w:hAnsi="Consolas"/>
          <w:color w:val="B42828"/>
          <w:sz w:val="21"/>
        </w:rPr>
        <w:t>ACTIVATION</w:t>
      </w:r>
      <w:r>
        <w:rPr>
          <w:sz w:val="21"/>
        </w:rPr>
        <w:t xml:space="preserve"> does not generate a duplicate baseline if one already exists; each </w:t>
      </w:r>
      <w:r>
        <w:rPr>
          <w:rFonts w:ascii="Consolas" w:hAnsi="Consolas"/>
          <w:color w:val="B42828"/>
          <w:sz w:val="21"/>
        </w:rPr>
        <w:t>CHANGE_REQUEST</w:t>
      </w:r>
      <w:r>
        <w:rPr>
          <w:sz w:val="21"/>
        </w:rPr>
        <w:t xml:space="preserve"> can produce at most one baseline via </w:t>
      </w:r>
      <w:r>
        <w:rPr>
          <w:rFonts w:ascii="Consolas" w:hAnsi="Consolas"/>
          <w:color w:val="B42828"/>
          <w:sz w:val="21"/>
        </w:rPr>
        <w:t>changeRequestId @unique</w:t>
      </w:r>
      <w:r>
        <w:rPr>
          <w:sz w:val="21"/>
        </w:rPr>
        <w:t>.</w:t>
      </w:r>
    </w:p>
    <w:p>
      <w:pPr>
        <w:pStyle w:val="ListBullet"/>
        <w:spacing w:after="60" w:before="0"/>
        <w:ind w:left="360"/>
      </w:pPr>
      <w:r>
        <w:rPr>
          <w:b/>
          <w:sz w:val="21"/>
        </w:rPr>
        <w:t>Technical Implementation Specification (Optional / Reference Example)</w:t>
      </w:r>
      <w:r>
        <w:rPr>
          <w:sz w:val="21"/>
        </w:rPr>
        <w:t>:</w:t>
      </w:r>
    </w:p>
    <w:p>
      <w:pPr>
        <w:pStyle w:val="ListBullet"/>
        <w:spacing w:after="60" w:before="0"/>
        <w:ind w:left="720"/>
      </w:pPr>
      <w:r>
        <w:rPr>
          <w:sz w:val="21"/>
        </w:rPr>
        <w:t xml:space="preserve">🔄 </w:t>
      </w:r>
      <w:r>
        <w:rPr>
          <w:b/>
          <w:sz w:val="21"/>
        </w:rPr>
        <w:t>[SOURCE: FINAL AUTHOR REVIEW - ITEM #3]</w:t>
      </w:r>
      <w:r>
        <w:rPr>
          <w:sz w:val="21"/>
        </w:rPr>
        <w:t xml:space="preserve"> </w:t>
      </w:r>
      <w:r>
        <w:rPr>
          <w:b/>
          <w:sz w:val="21"/>
        </w:rPr>
        <w:t>Current Model in Codebase (`c7080af`)</w:t>
      </w:r>
      <w:r>
        <w:rPr>
          <w:sz w:val="21"/>
        </w:rPr>
        <w:t>:</w:t>
      </w:r>
    </w:p>
    <w:p>
      <w:pPr>
        <w:spacing w:after="100" w:before="40"/>
      </w:pPr>
      <w:r>
        <w:rPr>
          <w:sz w:val="21"/>
        </w:rPr>
        <w:t xml:space="preserve">    </w:t>
      </w:r>
      <w:r>
        <w:rPr>
          <w:rFonts w:ascii="Consolas" w:hAnsi="Consolas"/>
          <w:color w:val="B42828"/>
          <w:sz w:val="21"/>
        </w:rPr>
      </w:r>
      <w:r>
        <w:rPr>
          <w:sz w:val="21"/>
        </w:rPr>
        <w:t>`prisma</w:t>
      </w:r>
    </w:p>
    <w:p>
      <w:pPr>
        <w:spacing w:after="100" w:before="40"/>
      </w:pPr>
      <w:r>
        <w:rPr>
          <w:sz w:val="21"/>
        </w:rPr>
        <w:t xml:space="preserve">    // Current deployed model in lib/db/prisma/schema.prisma</w:t>
      </w:r>
    </w:p>
    <w:p>
      <w:pPr>
        <w:spacing w:after="100" w:before="40"/>
      </w:pPr>
      <w:r>
        <w:rPr>
          <w:sz w:val="21"/>
        </w:rPr>
        <w:t xml:space="preserve">    enum ProjectBaselineSource {</w:t>
      </w:r>
    </w:p>
    <w:p>
      <w:pPr>
        <w:spacing w:after="100" w:before="40"/>
      </w:pPr>
      <w:r>
        <w:rPr>
          <w:sz w:val="21"/>
        </w:rPr>
        <w:t xml:space="preserve">      ACTIVATION</w:t>
      </w:r>
    </w:p>
    <w:p>
      <w:pPr>
        <w:spacing w:after="100" w:before="40"/>
      </w:pPr>
      <w:r>
        <w:rPr>
          <w:sz w:val="21"/>
        </w:rPr>
        <w:t xml:space="preserve">      CHANGE_REQUEST</w:t>
      </w:r>
    </w:p>
    <w:p>
      <w:pPr>
        <w:spacing w:after="100" w:before="40"/>
      </w:pPr>
      <w:r>
        <w:rPr>
          <w:sz w:val="21"/>
        </w:rPr>
        <w:t xml:space="preserve">      MANUAL</w:t>
      </w:r>
    </w:p>
    <w:p>
      <w:pPr>
        <w:spacing w:after="100" w:before="40"/>
      </w:pPr>
      <w:r>
        <w:rPr>
          <w:sz w:val="21"/>
        </w:rPr>
        <w:t xml:space="preserve">    }</w:t>
      </w:r>
    </w:p>
    <w:p>
      <w:pPr>
        <w:spacing w:after="100" w:before="40"/>
      </w:pPr>
      <w:r>
        <w:rPr>
          <w:sz w:val="21"/>
        </w:rPr>
        <w:t xml:space="preserve">    model ProjectBaseline {</w:t>
      </w:r>
    </w:p>
    <w:p>
      <w:pPr>
        <w:spacing w:after="100" w:before="40"/>
      </w:pPr>
      <w:r>
        <w:rPr>
          <w:sz w:val="21"/>
        </w:rPr>
        <w:t xml:space="preserve">      id             String                @id @default(cuid())</w:t>
      </w:r>
    </w:p>
    <w:p>
      <w:pPr>
        <w:spacing w:after="100" w:before="40"/>
      </w:pPr>
      <w:r>
        <w:rPr>
          <w:sz w:val="21"/>
        </w:rPr>
        <w:t xml:space="preserve">      projectId      String</w:t>
      </w:r>
    </w:p>
    <w:p>
      <w:pPr>
        <w:spacing w:after="100" w:before="40"/>
      </w:pPr>
      <w:r>
        <w:rPr>
          <w:sz w:val="21"/>
        </w:rPr>
        <w:t xml:space="preserve">      project        Project               @relation(fields: [projectId], references: [id], onDelete: Cascade)</w:t>
      </w:r>
    </w:p>
    <w:p>
      <w:pPr>
        <w:spacing w:after="100" w:before="40"/>
      </w:pPr>
      <w:r>
        <w:rPr>
          <w:sz w:val="21"/>
        </w:rPr>
        <w:t xml:space="preserve">      version        Int                   @default(1)</w:t>
      </w:r>
    </w:p>
    <w:p>
      <w:pPr>
        <w:spacing w:after="100" w:before="40"/>
      </w:pPr>
      <w:r>
        <w:rPr>
          <w:sz w:val="21"/>
        </w:rPr>
        <w:t xml:space="preserve">      source         ProjectBaselineSource @default(ACTIVATION)</w:t>
      </w:r>
    </w:p>
    <w:p>
      <w:pPr>
        <w:spacing w:after="100" w:before="40"/>
      </w:pPr>
      <w:r>
        <w:rPr>
          <w:sz w:val="21"/>
        </w:rPr>
        <w:t xml:space="preserve">      contractValue  Float                 // Note: Current codebase uses Float</w:t>
      </w:r>
    </w:p>
    <w:p>
      <w:pPr>
        <w:spacing w:after="100" w:before="40"/>
      </w:pPr>
      <w:r>
        <w:rPr>
          <w:sz w:val="21"/>
        </w:rPr>
        <w:t xml:space="preserve">      budgetTotal    Float</w:t>
      </w:r>
    </w:p>
    <w:p>
      <w:pPr>
        <w:spacing w:after="100" w:before="40"/>
      </w:pPr>
      <w:r>
        <w:rPr>
          <w:sz w:val="21"/>
        </w:rPr>
        <w:t xml:space="preserve">      contingency    Float                 @default(0)</w:t>
      </w:r>
    </w:p>
    <w:p>
      <w:pPr>
        <w:spacing w:after="100" w:before="40"/>
      </w:pPr>
      <w:r>
        <w:rPr>
          <w:sz w:val="21"/>
        </w:rPr>
        <w:t xml:space="preserve">      startDate      DateTime?</w:t>
      </w:r>
    </w:p>
    <w:p>
      <w:pPr>
        <w:spacing w:after="100" w:before="40"/>
      </w:pPr>
      <w:r>
        <w:rPr>
          <w:sz w:val="21"/>
        </w:rPr>
        <w:t xml:space="preserve">      endDate        DateTime?</w:t>
      </w:r>
    </w:p>
    <w:p>
      <w:pPr>
        <w:spacing w:after="100" w:before="40"/>
      </w:pPr>
      <w:r>
        <w:rPr>
          <w:sz w:val="21"/>
        </w:rPr>
        <w:t xml:space="preserve">      isCurrent      Boolean               @default(true)</w:t>
      </w:r>
    </w:p>
    <w:p>
      <w:pPr>
        <w:spacing w:after="100" w:before="40"/>
      </w:pPr>
      <w:r>
        <w:rPr>
          <w:sz w:val="21"/>
        </w:rPr>
        <w:t xml:space="preserve">      changeRequestId String?</w:t>
      </w:r>
    </w:p>
    <w:p>
      <w:pPr>
        <w:spacing w:after="100" w:before="40"/>
      </w:pPr>
      <w:r>
        <w:rPr>
          <w:sz w:val="21"/>
        </w:rPr>
        <w:t xml:space="preserve">      createdById    String?</w:t>
      </w:r>
    </w:p>
    <w:p>
      <w:pPr>
        <w:spacing w:after="100" w:before="40"/>
      </w:pPr>
      <w:r>
        <w:rPr>
          <w:sz w:val="21"/>
        </w:rPr>
        <w:t xml:space="preserve">      createdAt      DateTime              @default(now())</w:t>
      </w:r>
    </w:p>
    <w:p>
      <w:pPr>
        <w:spacing w:after="100" w:before="40"/>
      </w:pPr>
      <w:r>
        <w:rPr>
          <w:sz w:val="21"/>
        </w:rPr>
        <w:t xml:space="preserve">      @@unique([projectId, version])</w:t>
      </w:r>
    </w:p>
    <w:p>
      <w:pPr>
        <w:spacing w:after="100" w:before="40"/>
      </w:pPr>
      <w:r>
        <w:rPr>
          <w:sz w:val="21"/>
        </w:rPr>
        <w:t xml:space="preserve">      @@index([projectId, isCurrent])</w:t>
      </w:r>
    </w:p>
    <w:p>
      <w:pPr>
        <w:spacing w:after="100" w:before="40"/>
      </w:pPr>
      <w:r>
        <w:rPr>
          <w:sz w:val="21"/>
        </w:rPr>
        <w:t xml:space="preserve">    }</w:t>
      </w:r>
    </w:p>
    <w:p>
      <w:pPr>
        <w:spacing w:after="100" w:before="40"/>
      </w:pPr>
      <w:r>
        <w:rPr>
          <w:sz w:val="21"/>
        </w:rPr>
        <w:t xml:space="preserve">    </w:t>
      </w:r>
      <w:r>
        <w:rPr>
          <w:rFonts w:ascii="Consolas" w:hAnsi="Consolas"/>
          <w:color w:val="B42828"/>
          <w:sz w:val="21"/>
        </w:rPr>
      </w:r>
      <w:r>
        <w:rPr>
          <w:rFonts w:ascii="Consolas" w:hAnsi="Consolas"/>
          <w:color w:val="B42828"/>
          <w:sz w:val="21"/>
        </w:rPr>
      </w:r>
    </w:p>
    <w:p>
      <w:pPr>
        <w:pStyle w:val="ListBullet"/>
        <w:spacing w:after="60" w:before="0"/>
        <w:ind w:left="720"/>
      </w:pPr>
      <w:r>
        <w:rPr>
          <w:sz w:val="21"/>
        </w:rPr>
        <w:t xml:space="preserve">🔄 </w:t>
      </w:r>
      <w:r>
        <w:rPr>
          <w:b/>
          <w:sz w:val="21"/>
        </w:rPr>
        <w:t>[SOURCE: FINAL AUTHOR REVIEW - ITEM #3 &amp; #4]</w:t>
      </w:r>
      <w:r>
        <w:rPr>
          <w:sz w:val="21"/>
        </w:rPr>
        <w:t xml:space="preserve"> </w:t>
      </w:r>
      <w:r>
        <w:rPr>
          <w:b/>
          <w:sz w:val="21"/>
        </w:rPr>
        <w:t>Proposed Target Extension for DEMO-11 (Decimal Migration &amp; Concurrency Index)</w:t>
      </w:r>
      <w:r>
        <w:rPr>
          <w:sz w:val="21"/>
        </w:rPr>
        <w:t>:</w:t>
      </w:r>
    </w:p>
    <w:p>
      <w:pPr>
        <w:spacing w:after="100" w:before="40"/>
      </w:pPr>
      <w:r>
        <w:rPr>
          <w:sz w:val="21"/>
        </w:rPr>
        <w:t xml:space="preserve">    </w:t>
      </w:r>
      <w:r>
        <w:rPr>
          <w:rFonts w:ascii="Consolas" w:hAnsi="Consolas"/>
          <w:color w:val="B42828"/>
          <w:sz w:val="21"/>
        </w:rPr>
      </w:r>
      <w:r>
        <w:rPr>
          <w:sz w:val="21"/>
        </w:rPr>
        <w:t>`prisma</w:t>
      </w:r>
    </w:p>
    <w:p>
      <w:pPr>
        <w:spacing w:after="100" w:before="40"/>
      </w:pPr>
      <w:r>
        <w:rPr>
          <w:sz w:val="21"/>
        </w:rPr>
        <w:t xml:space="preserve">    // Proposed Target Extension: Migrating Float -&gt; Decimal(15, 2) and adding Commercial link</w:t>
      </w:r>
    </w:p>
    <w:p>
      <w:pPr>
        <w:spacing w:after="100" w:before="40"/>
      </w:pPr>
      <w:r>
        <w:rPr>
          <w:sz w:val="21"/>
        </w:rPr>
        <w:t xml:space="preserve">    model ProjectBaseline {</w:t>
      </w:r>
    </w:p>
    <w:p>
      <w:pPr>
        <w:spacing w:after="100" w:before="40"/>
      </w:pPr>
      <w:r>
        <w:rPr>
          <w:sz w:val="21"/>
        </w:rPr>
        <w:t xml:space="preserve">      id                         String                @id @default(cuid())</w:t>
      </w:r>
    </w:p>
    <w:p>
      <w:pPr>
        <w:spacing w:after="100" w:before="40"/>
      </w:pPr>
      <w:r>
        <w:rPr>
          <w:sz w:val="21"/>
        </w:rPr>
        <w:t xml:space="preserve">      projectId                  String</w:t>
      </w:r>
    </w:p>
    <w:p>
      <w:pPr>
        <w:spacing w:after="100" w:before="40"/>
      </w:pPr>
      <w:r>
        <w:rPr>
          <w:sz w:val="21"/>
        </w:rPr>
        <w:t xml:space="preserve">      project                    Project               @relation(fields: [projectId], references: [id], onDelete: Cascade)</w:t>
      </w:r>
    </w:p>
    <w:p>
      <w:pPr>
        <w:spacing w:after="100" w:before="40"/>
      </w:pPr>
      <w:r>
        <w:rPr>
          <w:sz w:val="21"/>
        </w:rPr>
        <w:t xml:space="preserve">      version                    Int                   @default(1)</w:t>
      </w:r>
    </w:p>
    <w:p>
      <w:pPr>
        <w:spacing w:after="100" w:before="40"/>
      </w:pPr>
      <w:r>
        <w:rPr>
          <w:sz w:val="21"/>
        </w:rPr>
        <w:t xml:space="preserve">      source                     ProjectBaselineSource @default(ACTIVATION)</w:t>
      </w:r>
    </w:p>
    <w:p>
      <w:pPr>
        <w:spacing w:after="100" w:before="40"/>
      </w:pPr>
      <w:r>
        <w:rPr>
          <w:sz w:val="21"/>
        </w:rPr>
        <w:t xml:space="preserve">      contractValue              Decimal               @db.Decimal(15, 2) // Migrated to exact Decimal</w:t>
      </w:r>
    </w:p>
    <w:p>
      <w:pPr>
        <w:spacing w:after="100" w:before="40"/>
      </w:pPr>
      <w:r>
        <w:rPr>
          <w:sz w:val="21"/>
        </w:rPr>
        <w:t xml:space="preserve">      estimatedCost              Decimal               @db.Decimal(15, 2) // Total direct cost from budget</w:t>
      </w:r>
    </w:p>
    <w:p>
      <w:pPr>
        <w:spacing w:after="100" w:before="40"/>
      </w:pPr>
      <w:r>
        <w:rPr>
          <w:sz w:val="21"/>
        </w:rPr>
        <w:t xml:space="preserve">      isCurrent                  Boolean               @default(true)</w:t>
      </w:r>
    </w:p>
    <w:p>
      <w:pPr>
        <w:spacing w:after="100" w:before="40"/>
      </w:pPr>
      <w:r>
        <w:rPr>
          <w:sz w:val="21"/>
        </w:rPr>
        <w:t xml:space="preserve">      commercialBudgetRevisionId String?</w:t>
      </w:r>
    </w:p>
    <w:p>
      <w:pPr>
        <w:spacing w:after="100" w:before="40"/>
      </w:pPr>
      <w:r>
        <w:rPr>
          <w:sz w:val="21"/>
        </w:rPr>
        <w:t xml:space="preserve">      changeRequestId            String?               @unique // Idempotency: 1 CR -&gt; 1 Baseline</w:t>
      </w:r>
    </w:p>
    <w:p>
      <w:pPr>
        <w:spacing w:after="100" w:before="40"/>
      </w:pPr>
      <w:r>
        <w:rPr>
          <w:sz w:val="21"/>
        </w:rPr>
        <w:t xml:space="preserve">      approvedById               String?</w:t>
      </w:r>
    </w:p>
    <w:p>
      <w:pPr>
        <w:spacing w:after="100" w:before="40"/>
      </w:pPr>
      <w:r>
        <w:rPr>
          <w:sz w:val="21"/>
        </w:rPr>
        <w:t xml:space="preserve">      approvedBy                 User?                 @relation("BaselineApprover", fields: [approvedById], references: [id])</w:t>
      </w:r>
    </w:p>
    <w:p>
      <w:pPr>
        <w:spacing w:after="100" w:before="40"/>
      </w:pPr>
      <w:r>
        <w:rPr>
          <w:sz w:val="21"/>
        </w:rPr>
        <w:t xml:space="preserve">      approvedAt                 DateTime?</w:t>
      </w:r>
    </w:p>
    <w:p>
      <w:pPr>
        <w:spacing w:after="100" w:before="40"/>
      </w:pPr>
      <w:r>
        <w:rPr>
          <w:sz w:val="21"/>
        </w:rPr>
        <w:t xml:space="preserve">      scopeSummary               String?</w:t>
      </w:r>
    </w:p>
    <w:p>
      <w:pPr>
        <w:spacing w:after="100" w:before="40"/>
      </w:pPr>
      <w:r>
        <w:rPr>
          <w:sz w:val="21"/>
        </w:rPr>
        <w:t xml:space="preserve">      createdAt                  DateTime              @default(now())</w:t>
      </w:r>
    </w:p>
    <w:p>
      <w:pPr>
        <w:spacing w:after="100" w:before="40"/>
      </w:pPr>
      <w:r>
        <w:rPr>
          <w:sz w:val="21"/>
        </w:rPr>
        <w:t xml:space="preserve">      @@unique([projectId, version])</w:t>
      </w:r>
    </w:p>
    <w:p>
      <w:pPr>
        <w:spacing w:after="100" w:before="40"/>
      </w:pPr>
      <w:r>
        <w:rPr>
          <w:sz w:val="21"/>
        </w:rPr>
        <w:t xml:space="preserve">    }</w:t>
      </w:r>
    </w:p>
    <w:p>
      <w:pPr>
        <w:spacing w:after="100" w:before="40"/>
      </w:pPr>
      <w:r>
        <w:rPr>
          <w:sz w:val="21"/>
        </w:rPr>
        <w:t xml:space="preserve">    </w:t>
      </w:r>
      <w:r>
        <w:rPr>
          <w:rFonts w:ascii="Consolas" w:hAnsi="Consolas"/>
          <w:color w:val="B42828"/>
          <w:sz w:val="21"/>
        </w:rPr>
      </w:r>
      <w:r>
        <w:rPr>
          <w:rFonts w:ascii="Consolas" w:hAnsi="Consolas"/>
          <w:color w:val="B42828"/>
          <w:sz w:val="21"/>
        </w:rPr>
      </w:r>
    </w:p>
    <w:p>
      <w:pPr>
        <w:pStyle w:val="ListBullet"/>
        <w:spacing w:after="60" w:before="0"/>
        <w:ind w:left="720"/>
      </w:pPr>
      <w:r>
        <w:rPr>
          <w:sz w:val="21"/>
        </w:rPr>
        <w:t xml:space="preserve">🔄 </w:t>
      </w:r>
      <w:r>
        <w:rPr>
          <w:b/>
          <w:sz w:val="21"/>
        </w:rPr>
        <w:t>[SOURCE: FINAL AUTHOR REVIEW - ITEM #4]</w:t>
      </w:r>
      <w:r>
        <w:rPr>
          <w:sz w:val="21"/>
        </w:rPr>
        <w:t xml:space="preserve"> </w:t>
      </w:r>
      <w:r>
        <w:rPr>
          <w:b/>
          <w:sz w:val="21"/>
        </w:rPr>
        <w:t>PostgreSQL Partial Unique Index DDL</w:t>
      </w:r>
      <w:r>
        <w:rPr>
          <w:sz w:val="21"/>
        </w:rPr>
        <w:t>:</w:t>
      </w:r>
    </w:p>
    <w:p>
      <w:pPr>
        <w:spacing w:after="100" w:before="40"/>
      </w:pPr>
      <w:r>
        <w:rPr>
          <w:sz w:val="21"/>
        </w:rPr>
        <w:t xml:space="preserve">    </w:t>
      </w:r>
      <w:r>
        <w:rPr>
          <w:rFonts w:ascii="Consolas" w:hAnsi="Consolas"/>
          <w:color w:val="B42828"/>
          <w:sz w:val="21"/>
        </w:rPr>
      </w:r>
      <w:r>
        <w:rPr>
          <w:sz w:val="21"/>
        </w:rPr>
        <w:t>`sql</w:t>
      </w:r>
    </w:p>
    <w:p>
      <w:pPr>
        <w:spacing w:after="100" w:before="40"/>
      </w:pPr>
      <w:r>
        <w:rPr>
          <w:sz w:val="21"/>
        </w:rPr>
        <w:t xml:space="preserve">    CREATE UNIQUE INDEX one_current_baseline_per_project </w:t>
      </w:r>
    </w:p>
    <w:p>
      <w:pPr>
        <w:spacing w:after="100" w:before="40"/>
      </w:pPr>
      <w:r>
        <w:rPr>
          <w:sz w:val="21"/>
        </w:rPr>
        <w:t xml:space="preserve">    ON "ProjectBaseline" ("projectId") </w:t>
      </w:r>
    </w:p>
    <w:p>
      <w:pPr>
        <w:spacing w:after="100" w:before="40"/>
      </w:pPr>
      <w:r>
        <w:rPr>
          <w:sz w:val="21"/>
        </w:rPr>
        <w:t xml:space="preserve">    WHERE "isCurrent" = true;</w:t>
      </w:r>
    </w:p>
    <w:p>
      <w:pPr>
        <w:spacing w:after="100" w:before="40"/>
      </w:pPr>
      <w:r>
        <w:rPr>
          <w:sz w:val="21"/>
        </w:rPr>
        <w:t xml:space="preserve">    </w:t>
      </w:r>
      <w:r>
        <w:rPr>
          <w:rFonts w:ascii="Consolas" w:hAnsi="Consolas"/>
          <w:color w:val="B42828"/>
          <w:sz w:val="21"/>
        </w:rPr>
      </w:r>
      <w:r>
        <w:rPr>
          <w:rFonts w:ascii="Consolas" w:hAnsi="Consolas"/>
          <w:color w:val="B42828"/>
          <w:sz w:val="21"/>
        </w:rPr>
      </w:r>
    </w:p>
    <w:p>
      <w:pPr>
        <w:pStyle w:val="ListBullet"/>
        <w:spacing w:after="60" w:before="0"/>
        <w:ind w:left="720"/>
      </w:pPr>
      <w:r>
        <w:rPr>
          <w:sz w:val="21"/>
        </w:rPr>
        <w:t xml:space="preserve">🔄 </w:t>
      </w:r>
      <w:r>
        <w:rPr>
          <w:b/>
          <w:sz w:val="21"/>
        </w:rPr>
        <w:t>[SOURCE: FINAL AUTHOR REVIEW - ITEM #4]</w:t>
      </w:r>
      <w:r>
        <w:rPr>
          <w:sz w:val="21"/>
        </w:rPr>
        <w:t xml:space="preserve"> </w:t>
      </w:r>
      <w:r>
        <w:rPr>
          <w:b/>
          <w:sz w:val="21"/>
        </w:rPr>
        <w:t>Atomic &amp; Idempotent Baseline Synchronization Function (Example)</w:t>
      </w:r>
      <w:r>
        <w:rPr>
          <w:sz w:val="21"/>
        </w:rPr>
        <w:t>:</w:t>
      </w:r>
    </w:p>
    <w:p>
      <w:pPr>
        <w:spacing w:after="100" w:before="40"/>
      </w:pPr>
      <w:r>
        <w:rPr>
          <w:sz w:val="21"/>
        </w:rPr>
        <w:t xml:space="preserve">    </w:t>
      </w:r>
      <w:r>
        <w:rPr>
          <w:rFonts w:ascii="Consolas" w:hAnsi="Consolas"/>
          <w:color w:val="B42828"/>
          <w:sz w:val="21"/>
        </w:rPr>
      </w:r>
      <w:r>
        <w:rPr>
          <w:sz w:val="21"/>
        </w:rPr>
        <w:t>`typescript</w:t>
      </w:r>
    </w:p>
    <w:p>
      <w:pPr>
        <w:spacing w:after="100" w:before="40"/>
      </w:pPr>
      <w:r>
        <w:rPr>
          <w:sz w:val="21"/>
        </w:rPr>
        <w:t xml:space="preserve">    async function syncProjectBaselineFromCommercial(</w:t>
      </w:r>
    </w:p>
    <w:p>
      <w:pPr>
        <w:spacing w:after="100" w:before="40"/>
      </w:pPr>
      <w:r>
        <w:rPr>
          <w:sz w:val="21"/>
        </w:rPr>
        <w:t xml:space="preserve">      tx: Prisma.TransactionClient, </w:t>
      </w:r>
    </w:p>
    <w:p>
      <w:pPr>
        <w:spacing w:after="100" w:before="40"/>
      </w:pPr>
      <w:r>
        <w:rPr>
          <w:sz w:val="21"/>
        </w:rPr>
        <w:t xml:space="preserve">      projectId: string, </w:t>
      </w:r>
    </w:p>
    <w:p>
      <w:pPr>
        <w:spacing w:after="100" w:before="40"/>
      </w:pPr>
      <w:r>
        <w:rPr>
          <w:sz w:val="21"/>
        </w:rPr>
        <w:t xml:space="preserve">      budgetRevision: CommercialBudgetRevision, </w:t>
      </w:r>
    </w:p>
    <w:p>
      <w:pPr>
        <w:spacing w:after="100" w:before="40"/>
      </w:pPr>
      <w:r>
        <w:rPr>
          <w:sz w:val="21"/>
        </w:rPr>
        <w:t xml:space="preserve">      source: "ACTIVATION" | "CHANGE_REQUEST",</w:t>
      </w:r>
    </w:p>
    <w:p>
      <w:pPr>
        <w:spacing w:after="100" w:before="40"/>
      </w:pPr>
      <w:r>
        <w:rPr>
          <w:sz w:val="21"/>
        </w:rPr>
        <w:t xml:space="preserve">      changeRequestId?: string</w:t>
      </w:r>
    </w:p>
    <w:p>
      <w:pPr>
        <w:spacing w:after="100" w:before="40"/>
      </w:pPr>
      <w:r>
        <w:rPr>
          <w:sz w:val="21"/>
        </w:rPr>
        <w:t xml:space="preserve">    ) {</w:t>
      </w:r>
    </w:p>
    <w:p>
      <w:pPr>
        <w:spacing w:after="100" w:before="40"/>
      </w:pPr>
      <w:r>
        <w:rPr>
          <w:sz w:val="21"/>
        </w:rPr>
        <w:t xml:space="preserve">      // 1. Acquire per-project transaction advisory lock</w:t>
      </w:r>
    </w:p>
    <w:p>
      <w:pPr>
        <w:spacing w:after="100" w:before="40"/>
      </w:pPr>
      <w:r>
        <w:rPr>
          <w:sz w:val="21"/>
        </w:rPr>
        <w:t xml:space="preserve">      await tx.$executeRaw</w:t>
      </w:r>
      <w:r>
        <w:rPr>
          <w:rFonts w:ascii="Consolas" w:hAnsi="Consolas"/>
          <w:color w:val="B42828"/>
          <w:sz w:val="21"/>
        </w:rPr>
        <w:t>SELECT pg_advisory_xact_lock(hashtext(${projectId}))</w:t>
      </w:r>
      <w:r>
        <w:rPr>
          <w:sz w:val="21"/>
        </w:rPr>
        <w:t>;</w:t>
      </w:r>
    </w:p>
    <w:p>
      <w:pPr>
        <w:spacing w:after="100" w:before="40"/>
      </w:pPr>
      <w:r>
        <w:rPr>
          <w:sz w:val="21"/>
        </w:rPr>
        <w:t xml:space="preserve">      // 2. Idempotency check for ACTIVATION: do not duplicate baseline if activation baseline already exists</w:t>
      </w:r>
    </w:p>
    <w:p>
      <w:pPr>
        <w:spacing w:after="100" w:before="40"/>
      </w:pPr>
      <w:r>
        <w:rPr>
          <w:sz w:val="21"/>
        </w:rPr>
        <w:t xml:space="preserve">      if (source === "ACTIVATION") {</w:t>
      </w:r>
    </w:p>
    <w:p>
      <w:pPr>
        <w:spacing w:after="100" w:before="40"/>
      </w:pPr>
      <w:r>
        <w:rPr>
          <w:sz w:val="21"/>
        </w:rPr>
        <w:t xml:space="preserve">        const existingActivation = await tx.projectBaseline.findFirst({</w:t>
      </w:r>
    </w:p>
    <w:p>
      <w:pPr>
        <w:spacing w:after="100" w:before="40"/>
      </w:pPr>
      <w:r>
        <w:rPr>
          <w:sz w:val="21"/>
        </w:rPr>
        <w:t xml:space="preserve">          where: { projectId, source: "ACTIVATION" }</w:t>
      </w:r>
    </w:p>
    <w:p>
      <w:pPr>
        <w:spacing w:after="100" w:before="40"/>
      </w:pPr>
      <w:r>
        <w:rPr>
          <w:sz w:val="21"/>
        </w:rPr>
        <w:t xml:space="preserve">        });</w:t>
      </w:r>
    </w:p>
    <w:p>
      <w:pPr>
        <w:spacing w:after="100" w:before="40"/>
      </w:pPr>
      <w:r>
        <w:rPr>
          <w:sz w:val="21"/>
        </w:rPr>
        <w:t xml:space="preserve">        if (existingActivation) {</w:t>
      </w:r>
    </w:p>
    <w:p>
      <w:pPr>
        <w:spacing w:after="100" w:before="40"/>
      </w:pPr>
      <w:r>
        <w:rPr>
          <w:sz w:val="21"/>
        </w:rPr>
        <w:t xml:space="preserve">          return existingActivation; // Return existing baseline idempotently</w:t>
      </w:r>
    </w:p>
    <w:p>
      <w:pPr>
        <w:spacing w:after="100" w:before="40"/>
      </w:pPr>
      <w:r>
        <w:rPr>
          <w:sz w:val="21"/>
        </w:rPr>
        <w:t xml:space="preserve">        }</w:t>
      </w:r>
    </w:p>
    <w:p>
      <w:pPr>
        <w:spacing w:after="100" w:before="40"/>
      </w:pPr>
      <w:r>
        <w:rPr>
          <w:sz w:val="21"/>
        </w:rPr>
        <w:t xml:space="preserve">      }</w:t>
      </w:r>
    </w:p>
    <w:p>
      <w:pPr>
        <w:spacing w:after="100" w:before="40"/>
      </w:pPr>
      <w:r>
        <w:rPr>
          <w:sz w:val="21"/>
        </w:rPr>
        <w:t xml:space="preserve">      // 3. Idempotency check for CHANGE_REQUEST</w:t>
      </w:r>
    </w:p>
    <w:p>
      <w:pPr>
        <w:spacing w:after="100" w:before="40"/>
      </w:pPr>
      <w:r>
        <w:rPr>
          <w:sz w:val="21"/>
        </w:rPr>
        <w:t xml:space="preserve">      if (source === "CHANGE_REQUEST" &amp;&amp; changeRequestId) {</w:t>
      </w:r>
    </w:p>
    <w:p>
      <w:pPr>
        <w:spacing w:after="100" w:before="40"/>
      </w:pPr>
      <w:r>
        <w:rPr>
          <w:sz w:val="21"/>
        </w:rPr>
        <w:t xml:space="preserve">        const existingCRBaseline = await tx.projectBaseline.findFirst({</w:t>
      </w:r>
    </w:p>
    <w:p>
      <w:pPr>
        <w:spacing w:after="100" w:before="40"/>
      </w:pPr>
      <w:r>
        <w:rPr>
          <w:sz w:val="21"/>
        </w:rPr>
        <w:t xml:space="preserve">          where: { projectId, changeRequestId }</w:t>
      </w:r>
    </w:p>
    <w:p>
      <w:pPr>
        <w:spacing w:after="100" w:before="40"/>
      </w:pPr>
      <w:r>
        <w:rPr>
          <w:sz w:val="21"/>
        </w:rPr>
        <w:t xml:space="preserve">        });</w:t>
      </w:r>
    </w:p>
    <w:p>
      <w:pPr>
        <w:spacing w:after="100" w:before="40"/>
      </w:pPr>
      <w:r>
        <w:rPr>
          <w:sz w:val="21"/>
        </w:rPr>
        <w:t xml:space="preserve">        if (existingCRBaseline) {</w:t>
      </w:r>
    </w:p>
    <w:p>
      <w:pPr>
        <w:spacing w:after="100" w:before="40"/>
      </w:pPr>
      <w:r>
        <w:rPr>
          <w:sz w:val="21"/>
        </w:rPr>
        <w:t xml:space="preserve">          return existingCRBaseline; // Return existing CR baseline idempotently</w:t>
      </w:r>
    </w:p>
    <w:p>
      <w:pPr>
        <w:spacing w:after="100" w:before="40"/>
      </w:pPr>
      <w:r>
        <w:rPr>
          <w:sz w:val="21"/>
        </w:rPr>
        <w:t xml:space="preserve">        }</w:t>
      </w:r>
    </w:p>
    <w:p>
      <w:pPr>
        <w:spacing w:after="100" w:before="40"/>
      </w:pPr>
      <w:r>
        <w:rPr>
          <w:sz w:val="21"/>
        </w:rPr>
        <w:t xml:space="preserve">      }</w:t>
      </w:r>
    </w:p>
    <w:p>
      <w:pPr>
        <w:spacing w:after="100" w:before="40"/>
      </w:pPr>
      <w:r>
        <w:rPr>
          <w:sz w:val="21"/>
        </w:rPr>
        <w:t xml:space="preserve">      // 4. Archive current baseline in the same atomic transaction</w:t>
      </w:r>
    </w:p>
    <w:p>
      <w:pPr>
        <w:spacing w:after="100" w:before="40"/>
      </w:pPr>
      <w:r>
        <w:rPr>
          <w:sz w:val="21"/>
        </w:rPr>
        <w:t xml:space="preserve">      await tx.projectBaseline.updateMany({</w:t>
      </w:r>
    </w:p>
    <w:p>
      <w:pPr>
        <w:spacing w:after="100" w:before="40"/>
      </w:pPr>
      <w:r>
        <w:rPr>
          <w:sz w:val="21"/>
        </w:rPr>
        <w:t xml:space="preserve">        where: { projectId, isCurrent: true },</w:t>
      </w:r>
    </w:p>
    <w:p>
      <w:pPr>
        <w:spacing w:after="100" w:before="40"/>
      </w:pPr>
      <w:r>
        <w:rPr>
          <w:sz w:val="21"/>
        </w:rPr>
        <w:t xml:space="preserve">        data: { isCurrent: false }</w:t>
      </w:r>
    </w:p>
    <w:p>
      <w:pPr>
        <w:spacing w:after="100" w:before="40"/>
      </w:pPr>
      <w:r>
        <w:rPr>
          <w:sz w:val="21"/>
        </w:rPr>
        <w:t xml:space="preserve">      });</w:t>
      </w:r>
    </w:p>
    <w:p>
      <w:pPr>
        <w:spacing w:after="100" w:before="40"/>
      </w:pPr>
      <w:r>
        <w:rPr>
          <w:sz w:val="21"/>
        </w:rPr>
        <w:t xml:space="preserve">      // 5. Fetch latest version number</w:t>
      </w:r>
    </w:p>
    <w:p>
      <w:pPr>
        <w:spacing w:after="100" w:before="40"/>
      </w:pPr>
      <w:r>
        <w:rPr>
          <w:sz w:val="21"/>
        </w:rPr>
        <w:t xml:space="preserve">      const latest = await tx.projectBaseline.findFirst({</w:t>
      </w:r>
    </w:p>
    <w:p>
      <w:pPr>
        <w:spacing w:after="100" w:before="40"/>
      </w:pPr>
      <w:r>
        <w:rPr>
          <w:sz w:val="21"/>
        </w:rPr>
        <w:t xml:space="preserve">        where: { projectId },</w:t>
      </w:r>
    </w:p>
    <w:p>
      <w:pPr>
        <w:spacing w:after="100" w:before="40"/>
      </w:pPr>
      <w:r>
        <w:rPr>
          <w:sz w:val="21"/>
        </w:rPr>
        <w:t xml:space="preserve">        orderBy: { version: 'desc' }</w:t>
      </w:r>
    </w:p>
    <w:p>
      <w:pPr>
        <w:spacing w:after="100" w:before="40"/>
      </w:pPr>
      <w:r>
        <w:rPr>
          <w:sz w:val="21"/>
        </w:rPr>
        <w:t xml:space="preserve">      });</w:t>
      </w:r>
    </w:p>
    <w:p>
      <w:pPr>
        <w:spacing w:after="100" w:before="40"/>
      </w:pPr>
      <w:r>
        <w:rPr>
          <w:sz w:val="21"/>
        </w:rPr>
        <w:t xml:space="preserve">      const nextVersion = latest ? latest.version + 1 : 1;</w:t>
      </w:r>
    </w:p>
    <w:p>
      <w:pPr>
        <w:spacing w:after="100" w:before="40"/>
      </w:pPr>
      <w:r>
        <w:rPr>
          <w:sz w:val="21"/>
        </w:rPr>
        <w:t xml:space="preserve">      // 6. Create new current baseline</w:t>
      </w:r>
    </w:p>
    <w:p>
      <w:pPr>
        <w:spacing w:after="100" w:before="40"/>
      </w:pPr>
      <w:r>
        <w:rPr>
          <w:sz w:val="21"/>
        </w:rPr>
        <w:t xml:space="preserve">      return await tx.projectBaseline.create({</w:t>
      </w:r>
    </w:p>
    <w:p>
      <w:pPr>
        <w:spacing w:after="100" w:before="40"/>
      </w:pPr>
      <w:r>
        <w:rPr>
          <w:sz w:val="21"/>
        </w:rPr>
        <w:t xml:space="preserve">        data: {</w:t>
      </w:r>
    </w:p>
    <w:p>
      <w:pPr>
        <w:spacing w:after="100" w:before="40"/>
      </w:pPr>
      <w:r>
        <w:rPr>
          <w:sz w:val="21"/>
        </w:rPr>
        <w:t xml:space="preserve">          projectId,</w:t>
      </w:r>
    </w:p>
    <w:p>
      <w:pPr>
        <w:spacing w:after="100" w:before="40"/>
      </w:pPr>
      <w:r>
        <w:rPr>
          <w:sz w:val="21"/>
        </w:rPr>
        <w:t xml:space="preserve">          version: nextVersion,</w:t>
      </w:r>
    </w:p>
    <w:p>
      <w:pPr>
        <w:spacing w:after="100" w:before="40"/>
      </w:pPr>
      <w:r>
        <w:rPr>
          <w:sz w:val="21"/>
        </w:rPr>
        <w:t xml:space="preserve">          source,</w:t>
      </w:r>
    </w:p>
    <w:p>
      <w:pPr>
        <w:spacing w:after="100" w:before="40"/>
      </w:pPr>
      <w:r>
        <w:rPr>
          <w:sz w:val="21"/>
        </w:rPr>
        <w:t xml:space="preserve">          contractValue: budgetRevision.dppAmount,</w:t>
      </w:r>
    </w:p>
    <w:p>
      <w:pPr>
        <w:spacing w:after="100" w:before="40"/>
      </w:pPr>
      <w:r>
        <w:rPr>
          <w:sz w:val="21"/>
        </w:rPr>
        <w:t xml:space="preserve">          estimatedCost: budgetRevision.totalCost,</w:t>
      </w:r>
    </w:p>
    <w:p>
      <w:pPr>
        <w:spacing w:after="100" w:before="40"/>
      </w:pPr>
      <w:r>
        <w:rPr>
          <w:sz w:val="21"/>
        </w:rPr>
        <w:t xml:space="preserve">          isCurrent: true,</w:t>
      </w:r>
    </w:p>
    <w:p>
      <w:pPr>
        <w:spacing w:after="100" w:before="40"/>
      </w:pPr>
      <w:r>
        <w:rPr>
          <w:sz w:val="21"/>
        </w:rPr>
        <w:t xml:space="preserve">          commercialBudgetRevisionId: budgetRevision.id,</w:t>
      </w:r>
    </w:p>
    <w:p>
      <w:pPr>
        <w:spacing w:after="100" w:before="40"/>
      </w:pPr>
      <w:r>
        <w:rPr>
          <w:sz w:val="21"/>
        </w:rPr>
        <w:t xml:space="preserve">          changeRequestId: source === "CHANGE_REQUEST" ? changeRequestId : null,</w:t>
      </w:r>
    </w:p>
    <w:p>
      <w:pPr>
        <w:spacing w:after="100" w:before="40"/>
      </w:pPr>
      <w:r>
        <w:rPr>
          <w:sz w:val="21"/>
        </w:rPr>
        <w:t xml:space="preserve">          approvedById: budgetRevision.approvedById,</w:t>
      </w:r>
    </w:p>
    <w:p>
      <w:pPr>
        <w:spacing w:after="100" w:before="40"/>
      </w:pPr>
      <w:r>
        <w:rPr>
          <w:sz w:val="21"/>
        </w:rPr>
        <w:t xml:space="preserve">          approvedAt: budgetRevision.approvedAt || new Date(),</w:t>
      </w:r>
    </w:p>
    <w:p>
      <w:pPr>
        <w:spacing w:after="100" w:before="40"/>
      </w:pPr>
      <w:r>
        <w:rPr>
          <w:sz w:val="21"/>
        </w:rPr>
        <w:t xml:space="preserve">          scopeSummary: </w:t>
      </w:r>
      <w:r>
        <w:rPr>
          <w:rFonts w:ascii="Consolas" w:hAnsi="Consolas"/>
          <w:color w:val="B42828"/>
          <w:sz w:val="21"/>
        </w:rPr>
        <w:t>Auto-synced from Commercial Budget Revision v${budgetRevision.version}</w:t>
      </w:r>
    </w:p>
    <w:p>
      <w:pPr>
        <w:spacing w:after="100" w:before="40"/>
      </w:pPr>
      <w:r>
        <w:rPr>
          <w:sz w:val="21"/>
        </w:rPr>
        <w:t xml:space="preserve">        }</w:t>
      </w:r>
    </w:p>
    <w:p>
      <w:pPr>
        <w:spacing w:after="100" w:before="40"/>
      </w:pPr>
      <w:r>
        <w:rPr>
          <w:sz w:val="21"/>
        </w:rPr>
        <w:t xml:space="preserve">      });</w:t>
      </w:r>
    </w:p>
    <w:p>
      <w:pPr>
        <w:spacing w:after="100" w:before="40"/>
      </w:pPr>
      <w:r>
        <w:rPr>
          <w:sz w:val="21"/>
        </w:rPr>
        <w:t xml:space="preserve">    }</w:t>
      </w:r>
    </w:p>
    <w:p>
      <w:pPr>
        <w:spacing w:after="100" w:before="40"/>
      </w:pPr>
      <w:r>
        <w:rPr>
          <w:sz w:val="21"/>
        </w:rPr>
        <w:t xml:space="preserve">    </w:t>
      </w:r>
      <w:r>
        <w:rPr>
          <w:rFonts w:ascii="Consolas" w:hAnsi="Consolas"/>
          <w:color w:val="B42828"/>
          <w:sz w:val="21"/>
        </w:rPr>
      </w:r>
      <w:r>
        <w:rPr>
          <w:rFonts w:ascii="Consolas" w:hAnsi="Consolas"/>
          <w:color w:val="B42828"/>
          <w:sz w:val="21"/>
        </w:rPr>
      </w:r>
    </w:p>
    <w:p>
      <w:pPr>
        <w:pStyle w:val="Heading3"/>
        <w:spacing w:before="200" w:after="80"/>
      </w:pPr>
      <w:r>
        <w:rPr>
          <w:b/>
          <w:color w:val="326496"/>
          <w:sz w:val="26"/>
        </w:rPr>
        <w:t>🔄 Category 8: External CRM &amp; Inbound Data Ingestion (`DEMO-07`)</w:t>
      </w:r>
    </w:p>
    <w:p>
      <w:pPr>
        <w:pStyle w:val="Heading4"/>
        <w:spacing w:before="160" w:after="60"/>
      </w:pPr>
      <w:r>
        <w:rPr>
          <w:b/>
          <w:color w:val="464646"/>
          <w:sz w:val="23"/>
        </w:rPr>
        <w:t>Question 19: Dedicated Pipedrive Product Mapping &amp; Inbound Sync Directionality</w:t>
      </w:r>
    </w:p>
    <w:p>
      <w:pPr>
        <w:pStyle w:val="ListBullet"/>
        <w:spacing w:after="60" w:before="0"/>
        <w:ind w:left="360"/>
      </w:pPr>
      <w:r>
        <w:rPr>
          <w:b/>
          <w:sz w:val="21"/>
        </w:rPr>
        <w:t>Bahasa Indonesia</w:t>
      </w:r>
      <w:r>
        <w:rPr>
          <w:sz w:val="21"/>
        </w:rPr>
        <w:t xml:space="preserve">: </w:t>
      </w:r>
      <w:r>
        <w:rPr>
          <w:i/>
          <w:sz w:val="21"/>
        </w:rPr>
        <w:t>"Pipedrive Person/Product/Cost mappings?"</w:t>
      </w:r>
    </w:p>
    <w:p>
      <w:pPr>
        <w:pStyle w:val="ListBullet"/>
        <w:spacing w:after="60" w:before="0"/>
        <w:ind w:left="360"/>
      </w:pPr>
      <w:r>
        <w:rPr>
          <w:b/>
          <w:sz w:val="21"/>
        </w:rPr>
        <w:t>English Translation</w:t>
      </w:r>
      <w:r>
        <w:rPr>
          <w:sz w:val="21"/>
        </w:rPr>
        <w:t>: "How are Pipedrive Person, Product, and Cost fields mapped into SPH?"</w:t>
      </w:r>
    </w:p>
    <w:p>
      <w:pPr>
        <w:pStyle w:val="ListBullet"/>
        <w:spacing w:after="60" w:before="0"/>
        <w:ind w:left="360"/>
      </w:pPr>
      <w:r>
        <w:rPr>
          <w:b/>
          <w:sz w:val="21"/>
        </w:rPr>
        <w:t>In the Simplest Terms</w:t>
      </w:r>
      <w:r>
        <w:rPr>
          <w:sz w:val="21"/>
        </w:rPr>
        <w:t>: Pipedrive Person becomes a Client Contact; Product maps through an explicit mapping table to an Offering. SPH connects to a single official Pipedrive instance.</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8.0</w:t>
      </w:r>
      <w:r>
        <w:rPr>
          <w:sz w:val="21"/>
        </w:rPr>
        <w:t xml:space="preserve"> </w:t>
      </w:r>
      <w:r>
        <w:rPr>
          <w:rFonts w:ascii="Consolas" w:hAnsi="Consolas"/>
          <w:color w:val="B42828"/>
          <w:sz w:val="21"/>
        </w:rPr>
        <w:t>[PENDING APPROVAL]</w:t>
      </w:r>
      <w:r>
        <w:rPr>
          <w:sz w:val="21"/>
        </w:rPr>
        <w:t xml:space="preserve">: Map Pipedrive Organizations to </w:t>
      </w:r>
      <w:r>
        <w:rPr>
          <w:rFonts w:ascii="Consolas" w:hAnsi="Consolas"/>
          <w:color w:val="B42828"/>
          <w:sz w:val="21"/>
        </w:rPr>
        <w:t>Client</w:t>
      </w:r>
      <w:r>
        <w:rPr>
          <w:sz w:val="21"/>
        </w:rPr>
        <w:t xml:space="preserve"> and Persons to </w:t>
      </w:r>
      <w:r>
        <w:rPr>
          <w:rFonts w:ascii="Consolas" w:hAnsi="Consolas"/>
          <w:color w:val="B42828"/>
          <w:sz w:val="21"/>
        </w:rPr>
        <w:t>ClientContact</w:t>
      </w:r>
      <w:r>
        <w:rPr>
          <w:sz w:val="21"/>
        </w:rPr>
        <w:t xml:space="preserve">.  </w:t>
      </w:r>
    </w:p>
    <w:p>
      <w:pPr>
        <w:spacing w:after="100" w:before="40"/>
      </w:pPr>
      <w:r>
        <w:rPr>
          <w:sz w:val="21"/>
        </w:rPr>
        <w:t xml:space="preserve">  &gt; </w:t>
      </w:r>
      <w:r>
        <w:rPr>
          <w:b/>
          <w:sz w:val="21"/>
        </w:rPr>
        <w:t>Decision 8.0b</w:t>
      </w:r>
      <w:r>
        <w:rPr>
          <w:sz w:val="21"/>
        </w:rPr>
        <w:t xml:space="preserve"> </w:t>
      </w:r>
      <w:r>
        <w:rPr>
          <w:rFonts w:ascii="Consolas" w:hAnsi="Consolas"/>
          <w:color w:val="B42828"/>
          <w:sz w:val="21"/>
        </w:rPr>
        <w:t>[PENDING APPROVAL]</w:t>
      </w:r>
      <w:r>
        <w:rPr>
          <w:sz w:val="21"/>
        </w:rPr>
        <w:t>: SPH operates against a Single Authoritative Pipedrive Connection (</w:t>
      </w:r>
      <w:r>
        <w:rPr>
          <w:rFonts w:ascii="Consolas" w:hAnsi="Consolas"/>
          <w:color w:val="B42828"/>
          <w:sz w:val="21"/>
        </w:rPr>
        <w:t>connectionKey = "DEFAULT"</w:t>
      </w:r>
      <w:r>
        <w:rPr>
          <w:sz w:val="21"/>
        </w:rPr>
        <w:t xml:space="preserve">), while implementing composite uniqueness </w:t>
      </w:r>
      <w:r>
        <w:rPr>
          <w:rFonts w:ascii="Consolas" w:hAnsi="Consolas"/>
          <w:color w:val="B42828"/>
          <w:sz w:val="21"/>
        </w:rPr>
        <w:t>@@unique([connectionKey, pipedriveId])</w:t>
      </w:r>
      <w:r>
        <w:rPr>
          <w:sz w:val="21"/>
        </w:rPr>
        <w:t xml:space="preserve"> on </w:t>
      </w:r>
      <w:r>
        <w:rPr>
          <w:rFonts w:ascii="Consolas" w:hAnsi="Consolas"/>
          <w:color w:val="B42828"/>
          <w:sz w:val="21"/>
        </w:rPr>
        <w:t>PipedriveProductMapping</w:t>
      </w:r>
      <w:r>
        <w:rPr>
          <w:sz w:val="21"/>
        </w:rPr>
        <w:t xml:space="preserve">. Unknown products route to a CRM review queue. Designate Pipedrive product sync as a </w:t>
      </w:r>
      <w:r>
        <w:rPr>
          <w:b/>
          <w:sz w:val="21"/>
        </w:rPr>
        <w:t>Target Design (Not Yet Implemented)</w:t>
      </w:r>
      <w:r>
        <w:rPr>
          <w:sz w:val="21"/>
        </w:rPr>
        <w:t xml:space="preserve">. </w:t>
      </w:r>
      <w:r>
        <w:rPr>
          <w:i/>
          <w:sz w:val="21"/>
        </w:rPr>
        <w:t>(Source: Author Review 2 - Item #8)</w:t>
      </w:r>
    </w:p>
    <w:p>
      <w:pPr>
        <w:pStyle w:val="Heading3"/>
        <w:spacing w:before="200" w:after="80"/>
      </w:pPr>
      <w:r>
        <w:rPr>
          <w:b/>
          <w:color w:val="326496"/>
          <w:sz w:val="26"/>
        </w:rPr>
        <w:t>🔒 Category 9: Project Client Attribution Lock &amp; Corrections (`DEMO-12`)</w:t>
      </w:r>
    </w:p>
    <w:p>
      <w:pPr>
        <w:pStyle w:val="Heading4"/>
        <w:spacing w:before="160" w:after="60"/>
      </w:pPr>
      <w:r>
        <w:rPr>
          <w:b/>
          <w:color w:val="464646"/>
          <w:sz w:val="23"/>
        </w:rPr>
        <w:t>Question 20: Project Client Attribution Lock (Phase 1 Built vs. Phase 2 Design)</w:t>
      </w:r>
    </w:p>
    <w:p>
      <w:pPr>
        <w:pStyle w:val="ListBullet"/>
        <w:spacing w:after="60" w:before="0"/>
        <w:ind w:left="360"/>
      </w:pPr>
      <w:r>
        <w:rPr>
          <w:b/>
          <w:sz w:val="21"/>
        </w:rPr>
        <w:t>Bahasa Indonesia</w:t>
      </w:r>
      <w:r>
        <w:rPr>
          <w:sz w:val="21"/>
        </w:rPr>
        <w:t xml:space="preserve">: </w:t>
      </w:r>
      <w:r>
        <w:rPr>
          <w:i/>
          <w:sz w:val="21"/>
        </w:rPr>
        <w:t>"Client attribution correction sebelum/after invoice?"</w:t>
      </w:r>
    </w:p>
    <w:p>
      <w:pPr>
        <w:pStyle w:val="ListBullet"/>
        <w:spacing w:after="60" w:before="0"/>
        <w:ind w:left="360"/>
      </w:pPr>
      <w:r>
        <w:rPr>
          <w:b/>
          <w:sz w:val="21"/>
        </w:rPr>
        <w:t>English Translation</w:t>
      </w:r>
      <w:r>
        <w:rPr>
          <w:sz w:val="21"/>
        </w:rPr>
        <w:t>: "How is client attribution corrected before vs. after invoice generation?"</w:t>
      </w:r>
    </w:p>
    <w:p>
      <w:pPr>
        <w:pStyle w:val="ListBullet"/>
        <w:spacing w:after="60" w:before="0"/>
        <w:ind w:left="360"/>
      </w:pPr>
      <w:r>
        <w:rPr>
          <w:b/>
          <w:sz w:val="21"/>
        </w:rPr>
        <w:t>In the Simplest Terms</w:t>
      </w:r>
      <w:r>
        <w:rPr>
          <w:sz w:val="21"/>
        </w:rPr>
        <w:t>: You cannot change which Client owns a Project (</w:t>
      </w:r>
      <w:r>
        <w:rPr>
          <w:rFonts w:ascii="Consolas" w:hAnsi="Consolas"/>
          <w:sz w:val="21"/>
        </w:rPr>
        <w:t>Project.clientId</w:t>
      </w:r>
      <w:r>
        <w:rPr>
          <w:sz w:val="21"/>
        </w:rPr>
        <w:t xml:space="preserve"> is locked). If there's a typo in the client name, edit </w:t>
      </w:r>
      <w:r>
        <w:rPr>
          <w:rFonts w:ascii="Consolas" w:hAnsi="Consolas"/>
          <w:sz w:val="21"/>
        </w:rPr>
        <w:t>Client.name</w:t>
      </w:r>
      <w:r>
        <w:rPr>
          <w:sz w:val="21"/>
        </w:rPr>
        <w:t xml:space="preserve"> directly. If the wrong client was assigned before invoicing, PMO and Finance must both approve an exception. After invoicing, you must void and reissue through Xero.</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9.0 (DEMO-12 Phase 1)</w:t>
      </w:r>
      <w:r>
        <w:rPr>
          <w:sz w:val="21"/>
        </w:rPr>
        <w:t xml:space="preserve"> </w:t>
      </w:r>
      <w:r>
        <w:rPr>
          <w:rFonts w:ascii="Consolas" w:hAnsi="Consolas"/>
          <w:color w:val="B42828"/>
          <w:sz w:val="21"/>
        </w:rPr>
        <w:t>[APPROVED / IMPLEMENTED]</w:t>
      </w:r>
      <w:r>
        <w:rPr>
          <w:sz w:val="21"/>
        </w:rPr>
        <w:t xml:space="preserve">: </w:t>
      </w:r>
      <w:r>
        <w:rPr>
          <w:b/>
          <w:sz w:val="21"/>
        </w:rPr>
        <w:t>Permanently lock `Project.clientId`</w:t>
      </w:r>
      <w:r>
        <w:rPr>
          <w:sz w:val="21"/>
        </w:rPr>
        <w:t xml:space="preserve"> across all roles once created or converted. Re-submitting the identical </w:t>
      </w:r>
      <w:r>
        <w:rPr>
          <w:rFonts w:ascii="Consolas" w:hAnsi="Consolas"/>
          <w:color w:val="B42828"/>
          <w:sz w:val="21"/>
        </w:rPr>
        <w:t>clientId</w:t>
      </w:r>
      <w:r>
        <w:rPr>
          <w:sz w:val="21"/>
        </w:rPr>
        <w:t xml:space="preserve"> is accepted for backward compatibility. Direct mutation attempts are rejected with error </w:t>
      </w:r>
      <w:r>
        <w:rPr>
          <w:rFonts w:ascii="Consolas" w:hAnsi="Consolas"/>
          <w:color w:val="B42828"/>
          <w:sz w:val="21"/>
        </w:rPr>
        <w:t>CLIENT_ATTRIBUTION_LOCKED</w:t>
      </w:r>
      <w:r>
        <w:rPr>
          <w:sz w:val="21"/>
        </w:rPr>
        <w:t xml:space="preserve"> (</w:t>
      </w:r>
      <w:r>
        <w:rPr>
          <w:i/>
          <w:sz w:val="21"/>
        </w:rPr>
        <w:t>"Client attribution cannot be changed after project creation."</w:t>
      </w:r>
      <w:r>
        <w:rPr>
          <w:sz w:val="21"/>
        </w:rPr>
        <w:t xml:space="preserve">). UI displays Client as read-only. </w:t>
      </w:r>
      <w:r>
        <w:rPr>
          <w:i/>
          <w:sz w:val="21"/>
        </w:rPr>
        <w:t>(Source: Implemented in Codebase c7080af)</w:t>
      </w:r>
      <w:r>
        <w:rPr>
          <w:sz w:val="21"/>
        </w:rPr>
        <w:t xml:space="preserve">  </w:t>
      </w:r>
    </w:p>
    <w:p>
      <w:pPr>
        <w:spacing w:after="100" w:before="40"/>
      </w:pPr>
      <w:r>
        <w:rPr>
          <w:sz w:val="21"/>
        </w:rPr>
        <w:t xml:space="preserve">  &gt; </w:t>
      </w:r>
      <w:r>
        <w:rPr>
          <w:b/>
          <w:sz w:val="21"/>
        </w:rPr>
        <w:t>Decision 9.0b (DEMO-12 Phase 2)</w:t>
      </w:r>
      <w:r>
        <w:rPr>
          <w:sz w:val="21"/>
        </w:rPr>
        <w:t xml:space="preserve"> </w:t>
      </w:r>
      <w:r>
        <w:rPr>
          <w:rFonts w:ascii="Consolas" w:hAnsi="Consolas"/>
          <w:color w:val="B42828"/>
          <w:sz w:val="21"/>
        </w:rPr>
        <w:t>[PENDING APPROVAL]</w:t>
      </w:r>
      <w:r>
        <w:rPr>
          <w:sz w:val="21"/>
        </w:rPr>
        <w:t xml:space="preserve">: Establish a formal </w:t>
      </w:r>
      <w:r>
        <w:rPr>
          <w:b/>
          <w:sz w:val="21"/>
        </w:rPr>
        <w:t>Dual-Approval State Machine (`ClientAttributionCorrection`)</w:t>
      </w:r>
      <w:r>
        <w:rPr>
          <w:sz w:val="21"/>
        </w:rPr>
        <w:t xml:space="preserve"> requiring independent sign-offs from both </w:t>
      </w:r>
      <w:r>
        <w:rPr>
          <w:b/>
          <w:sz w:val="21"/>
        </w:rPr>
        <w:t>PMO (`MANAGEMENT`)</w:t>
      </w:r>
      <w:r>
        <w:rPr>
          <w:sz w:val="21"/>
        </w:rPr>
        <w:t xml:space="preserve"> AND </w:t>
      </w:r>
      <w:r>
        <w:rPr>
          <w:b/>
          <w:sz w:val="21"/>
        </w:rPr>
        <w:t>`FINANCE`</w:t>
      </w:r>
      <w:r>
        <w:rPr>
          <w:sz w:val="21"/>
        </w:rPr>
        <w:t xml:space="preserve"> with explicit statuses (</w:t>
      </w:r>
      <w:r>
        <w:rPr>
          <w:rFonts w:ascii="Consolas" w:hAnsi="Consolas"/>
          <w:color w:val="B42828"/>
          <w:sz w:val="21"/>
        </w:rPr>
        <w:t>pmoStatus</w:t>
      </w:r>
      <w:r>
        <w:rPr>
          <w:sz w:val="21"/>
        </w:rPr>
        <w:t xml:space="preserve">, </w:t>
      </w:r>
      <w:r>
        <w:rPr>
          <w:rFonts w:ascii="Consolas" w:hAnsi="Consolas"/>
          <w:color w:val="B42828"/>
          <w:sz w:val="21"/>
        </w:rPr>
        <w:t>financeStatus</w:t>
      </w:r>
      <w:r>
        <w:rPr>
          <w:sz w:val="21"/>
        </w:rPr>
        <w:t xml:space="preserve">), timestamps, rejection reasons, and an </w:t>
      </w:r>
      <w:r>
        <w:rPr>
          <w:rFonts w:ascii="Consolas" w:hAnsi="Consolas"/>
          <w:color w:val="B42828"/>
          <w:sz w:val="21"/>
        </w:rPr>
        <w:t>executedBy</w:t>
      </w:r>
      <w:r>
        <w:rPr>
          <w:sz w:val="21"/>
        </w:rPr>
        <w:t xml:space="preserve"> user relation. </w:t>
      </w:r>
      <w:r>
        <w:rPr>
          <w:i/>
          <w:sz w:val="21"/>
        </w:rPr>
        <w:t>(Source: Author Review 2 - Item #7)</w:t>
      </w:r>
    </w:p>
    <w:p>
      <w:pPr>
        <w:pStyle w:val="Heading3"/>
        <w:spacing w:before="200" w:after="80"/>
      </w:pPr>
      <w:r>
        <w:rPr>
          <w:b/>
          <w:color w:val="326496"/>
          <w:sz w:val="26"/>
        </w:rPr>
        <w:t>📦 Category 10: Data Migration &amp; Backward Compatibility</w:t>
      </w:r>
    </w:p>
    <w:p>
      <w:pPr>
        <w:pStyle w:val="Heading4"/>
        <w:spacing w:before="160" w:after="60"/>
      </w:pPr>
      <w:r>
        <w:rPr>
          <w:b/>
          <w:color w:val="464646"/>
          <w:sz w:val="23"/>
        </w:rPr>
        <w:t>Question 21: Direct-Write Compatibility &amp; Retention Policy</w:t>
      </w:r>
    </w:p>
    <w:p>
      <w:pPr>
        <w:pStyle w:val="ListBullet"/>
        <w:spacing w:after="60" w:before="0"/>
        <w:ind w:left="360"/>
      </w:pPr>
      <w:r>
        <w:rPr>
          <w:b/>
          <w:sz w:val="21"/>
        </w:rPr>
        <w:t>Bahasa Indonesia</w:t>
      </w:r>
      <w:r>
        <w:rPr>
          <w:sz w:val="21"/>
        </w:rPr>
        <w:t xml:space="preserve">: </w:t>
      </w:r>
      <w:r>
        <w:rPr>
          <w:i/>
          <w:sz w:val="21"/>
        </w:rPr>
        <w:t>"Retention period untuk compatibility fields?"</w:t>
      </w:r>
    </w:p>
    <w:p>
      <w:pPr>
        <w:pStyle w:val="ListBullet"/>
        <w:spacing w:after="60" w:before="0"/>
        <w:ind w:left="360"/>
      </w:pPr>
      <w:r>
        <w:rPr>
          <w:b/>
          <w:sz w:val="21"/>
        </w:rPr>
        <w:t>English Translation</w:t>
      </w:r>
      <w:r>
        <w:rPr>
          <w:sz w:val="21"/>
        </w:rPr>
        <w:t>: "What is the retention period for legacy compatibility fields?"</w:t>
      </w:r>
    </w:p>
    <w:p>
      <w:pPr>
        <w:pStyle w:val="ListBullet"/>
        <w:spacing w:after="60" w:before="0"/>
        <w:ind w:left="360"/>
      </w:pPr>
      <w:r>
        <w:rPr>
          <w:b/>
          <w:sz w:val="21"/>
        </w:rPr>
        <w:t>In the Simplest Terms</w:t>
      </w:r>
      <w:r>
        <w:rPr>
          <w:sz w:val="21"/>
        </w:rPr>
        <w:t>: Keep the old text fields (like free-text contact and industry) for 6 months (2 major release cycles) while data is cleaned up, then safely remove them.</w:t>
      </w:r>
    </w:p>
    <w:p>
      <w:pPr>
        <w:pStyle w:val="ListBullet"/>
        <w:spacing w:after="60" w:before="0"/>
        <w:ind w:left="360"/>
      </w:pPr>
      <w:r>
        <w:rPr>
          <w:b/>
          <w:sz w:val="21"/>
        </w:rPr>
        <w:t>Proposed Decision &amp; Business Rationale</w:t>
      </w:r>
      <w:r>
        <w:rPr>
          <w:sz w:val="21"/>
        </w:rPr>
        <w:t>:</w:t>
      </w:r>
    </w:p>
    <w:p>
      <w:pPr>
        <w:spacing w:after="100" w:before="40"/>
      </w:pPr>
      <w:r>
        <w:rPr>
          <w:sz w:val="21"/>
        </w:rPr>
        <w:t xml:space="preserve">  &gt; </w:t>
      </w:r>
      <w:r>
        <w:rPr>
          <w:b/>
          <w:sz w:val="21"/>
        </w:rPr>
        <w:t>Decision 10.1</w:t>
      </w:r>
      <w:r>
        <w:rPr>
          <w:sz w:val="21"/>
        </w:rPr>
        <w:t xml:space="preserve"> </w:t>
      </w:r>
      <w:r>
        <w:rPr>
          <w:rFonts w:ascii="Consolas" w:hAnsi="Consolas"/>
          <w:color w:val="B42828"/>
          <w:sz w:val="21"/>
        </w:rPr>
        <w:t>[PENDING APPROVAL]</w:t>
      </w:r>
      <w:r>
        <w:rPr>
          <w:sz w:val="21"/>
        </w:rPr>
        <w:t>: Retain legacy scalar columns (</w:t>
      </w:r>
      <w:r>
        <w:rPr>
          <w:rFonts w:ascii="Consolas" w:hAnsi="Consolas"/>
          <w:color w:val="B42828"/>
          <w:sz w:val="21"/>
        </w:rPr>
        <w:t>Lead.contactName</w:t>
      </w:r>
      <w:r>
        <w:rPr>
          <w:sz w:val="21"/>
        </w:rPr>
        <w:t xml:space="preserve">, </w:t>
      </w:r>
      <w:r>
        <w:rPr>
          <w:rFonts w:ascii="Consolas" w:hAnsi="Consolas"/>
          <w:color w:val="B42828"/>
          <w:sz w:val="21"/>
        </w:rPr>
        <w:t>Lead.industry</w:t>
      </w:r>
      <w:r>
        <w:rPr>
          <w:sz w:val="21"/>
        </w:rPr>
        <w:t xml:space="preserve">, </w:t>
      </w:r>
      <w:r>
        <w:rPr>
          <w:rFonts w:ascii="Consolas" w:hAnsi="Consolas"/>
          <w:color w:val="B42828"/>
          <w:sz w:val="21"/>
        </w:rPr>
        <w:t>Client.industry</w:t>
      </w:r>
      <w:r>
        <w:rPr>
          <w:sz w:val="21"/>
        </w:rPr>
        <w:t xml:space="preserve">) as nullable shadow fields for a </w:t>
      </w:r>
      <w:r>
        <w:rPr>
          <w:b/>
          <w:sz w:val="21"/>
        </w:rPr>
        <w:t>6-month / 2-release deprecation grace period</w:t>
      </w:r>
      <w:r>
        <w:rPr>
          <w:sz w:val="21"/>
        </w:rPr>
        <w:t xml:space="preserve">.  </w:t>
      </w:r>
    </w:p>
    <w:p>
      <w:pPr>
        <w:spacing w:after="100" w:before="40"/>
      </w:pPr>
      <w:r>
        <w:rPr>
          <w:sz w:val="21"/>
        </w:rPr>
        <w:t xml:space="preserve">  &gt; </w:t>
      </w:r>
      <w:r>
        <w:rPr>
          <w:b/>
          <w:sz w:val="21"/>
        </w:rPr>
        <w:t>Decision 10.1b</w:t>
      </w:r>
      <w:r>
        <w:rPr>
          <w:sz w:val="21"/>
        </w:rPr>
        <w:t xml:space="preserve"> </w:t>
      </w:r>
      <w:r>
        <w:rPr>
          <w:rFonts w:ascii="Consolas" w:hAnsi="Consolas"/>
          <w:color w:val="B42828"/>
          <w:sz w:val="21"/>
        </w:rPr>
        <w:t>[PENDING APPROVAL]</w:t>
      </w:r>
      <w:r>
        <w:rPr>
          <w:sz w:val="21"/>
        </w:rPr>
        <w:t xml:space="preserve">: </w:t>
      </w:r>
      <w:r>
        <w:rPr>
          <w:b/>
          <w:sz w:val="21"/>
        </w:rPr>
        <w:t>Explicit Direct-Write Policy</w:t>
      </w:r>
      <w:r>
        <w:rPr>
          <w:sz w:val="21"/>
        </w:rPr>
        <w:t xml:space="preserve">. All external integrations MUST use the REST API. Direct database writes for legacy tools require PostgreSQL triggers or scheduled batch reconciliation scripts. Unmapped free-text strings route to the </w:t>
      </w:r>
      <w:r>
        <w:rPr>
          <w:rFonts w:ascii="Consolas" w:hAnsi="Consolas"/>
          <w:color w:val="B42828"/>
          <w:sz w:val="21"/>
        </w:rPr>
        <w:t>UNCLASSIFIED</w:t>
      </w:r>
      <w:r>
        <w:rPr>
          <w:sz w:val="21"/>
        </w:rPr>
        <w:t xml:space="preserve"> review queue, never auto-creating master rows. </w:t>
      </w:r>
      <w:r>
        <w:rPr>
          <w:i/>
          <w:sz w:val="21"/>
        </w:rPr>
        <w:t>(Source: Author Review 1 - Revision #11)</w:t>
      </w:r>
    </w:p>
    <w:p>
      <w:pPr>
        <w:pStyle w:val="Heading2"/>
        <w:spacing w:before="280" w:after="120"/>
      </w:pPr>
      <w:r>
        <w:rPr>
          <w:b/>
          <w:color w:val="1E56A0"/>
          <w:sz w:val="30"/>
        </w:rPr>
        <w:t>3. Comprehensive FSD Traceability Matrix (DEMO-01 to DEMO-12)</w:t>
      </w:r>
    </w:p>
    <w:p>
      <w:pPr>
        <w:spacing w:after="100" w:before="40"/>
      </w:pPr>
      <w:r>
        <w:rPr>
          <w:sz w:val="21"/>
        </w:rPr>
        <w:t xml:space="preserve">🔄 </w:t>
      </w:r>
      <w:r>
        <w:rPr>
          <w:b/>
          <w:sz w:val="21"/>
        </w:rPr>
        <w:t>[SOURCE: FINAL AUTHOR REVIEW - GRANULAR REFINEMENT]</w:t>
      </w:r>
      <w:r>
        <w:rPr>
          <w:sz w:val="21"/>
        </w:rPr>
        <w:t xml:space="preserve"> The matrix below maps all 12 WRICEF Functional Specification Documents with granular sub-feature implementation statuses.</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EAECF0"/>
          <w:insideV w:val="none"/>
          <w:left w:val="none"/>
          <w:right w:val="none"/>
        </w:tblBorders>
      </w:tblPr>
      <w:tblGrid>
        <w:gridCol w:w="1170"/>
        <w:gridCol w:w="1170"/>
        <w:gridCol w:w="1170"/>
        <w:gridCol w:w="1170"/>
        <w:gridCol w:w="1170"/>
        <w:gridCol w:w="1170"/>
        <w:gridCol w:w="1170"/>
        <w:gridCol w:w="1170"/>
      </w:tblGrid>
      <w:tr>
        <w:tc>
          <w:tcPr>
            <w:tcW w:type="dxa" w:w="1170"/>
            <w:tcMar>
              <w:top w:w="80" w:type="dxa"/>
              <w:bottom w:w="80" w:type="dxa"/>
              <w:left w:w="120" w:type="dxa"/>
              <w:right w:w="120" w:type="dxa"/>
            </w:tcMar>
            <w:shd w:fill="F0F4F8"/>
          </w:tcPr>
          <w:p>
            <w:pPr>
              <w:spacing w:before="40" w:after="40"/>
            </w:pPr>
            <w:r>
              <w:rPr>
                <w:b/>
                <w:color w:val="102C57"/>
                <w:sz w:val="20"/>
              </w:rPr>
              <w:t>FSD Code</w:t>
            </w:r>
          </w:p>
        </w:tc>
        <w:tc>
          <w:tcPr>
            <w:tcW w:type="dxa" w:w="1170"/>
            <w:tcMar>
              <w:top w:w="80" w:type="dxa"/>
              <w:bottom w:w="80" w:type="dxa"/>
              <w:left w:w="120" w:type="dxa"/>
              <w:right w:w="120" w:type="dxa"/>
            </w:tcMar>
            <w:shd w:fill="F0F4F8"/>
          </w:tcPr>
          <w:p>
            <w:pPr>
              <w:spacing w:before="40" w:after="40"/>
            </w:pPr>
            <w:r>
              <w:rPr>
                <w:b/>
                <w:color w:val="102C57"/>
                <w:sz w:val="20"/>
              </w:rPr>
              <w:t>FSD Title</w:t>
            </w:r>
          </w:p>
        </w:tc>
        <w:tc>
          <w:tcPr>
            <w:tcW w:type="dxa" w:w="1170"/>
            <w:tcMar>
              <w:top w:w="80" w:type="dxa"/>
              <w:bottom w:w="80" w:type="dxa"/>
              <w:left w:w="120" w:type="dxa"/>
              <w:right w:w="120" w:type="dxa"/>
            </w:tcMar>
            <w:shd w:fill="F0F4F8"/>
          </w:tcPr>
          <w:p>
            <w:pPr>
              <w:spacing w:before="40" w:after="40"/>
            </w:pPr>
            <w:r>
              <w:rPr>
                <w:b/>
                <w:color w:val="102C57"/>
                <w:sz w:val="20"/>
              </w:rPr>
              <w:t>Decision References</w:t>
            </w:r>
          </w:p>
        </w:tc>
        <w:tc>
          <w:tcPr>
            <w:tcW w:type="dxa" w:w="1170"/>
            <w:tcMar>
              <w:top w:w="80" w:type="dxa"/>
              <w:bottom w:w="80" w:type="dxa"/>
              <w:left w:w="120" w:type="dxa"/>
              <w:right w:w="120" w:type="dxa"/>
            </w:tcMar>
            <w:shd w:fill="F0F4F8"/>
          </w:tcPr>
          <w:p>
            <w:pPr>
              <w:spacing w:before="40" w:after="40"/>
            </w:pPr>
            <w:r>
              <w:rPr>
                <w:b/>
                <w:color w:val="102C57"/>
                <w:sz w:val="20"/>
              </w:rPr>
              <w:t>Target Model / API Route</w:t>
            </w:r>
          </w:p>
        </w:tc>
        <w:tc>
          <w:tcPr>
            <w:tcW w:type="dxa" w:w="1170"/>
            <w:tcMar>
              <w:top w:w="80" w:type="dxa"/>
              <w:bottom w:w="80" w:type="dxa"/>
              <w:left w:w="120" w:type="dxa"/>
              <w:right w:w="120" w:type="dxa"/>
            </w:tcMar>
            <w:shd w:fill="F0F4F8"/>
          </w:tcPr>
          <w:p>
            <w:pPr>
              <w:spacing w:before="40" w:after="40"/>
            </w:pPr>
            <w:r>
              <w:rPr>
                <w:b/>
                <w:color w:val="102C57"/>
                <w:sz w:val="20"/>
              </w:rPr>
              <w:t>Implementation Status</w:t>
            </w:r>
          </w:p>
        </w:tc>
        <w:tc>
          <w:tcPr>
            <w:tcW w:type="dxa" w:w="1170"/>
            <w:tcMar>
              <w:top w:w="80" w:type="dxa"/>
              <w:bottom w:w="80" w:type="dxa"/>
              <w:left w:w="120" w:type="dxa"/>
              <w:right w:w="120" w:type="dxa"/>
            </w:tcMar>
            <w:shd w:fill="F0F4F8"/>
          </w:tcPr>
          <w:p>
            <w:pPr>
              <w:spacing w:before="40" w:after="40"/>
            </w:pPr>
            <w:r>
              <w:rPr>
                <w:b/>
                <w:color w:val="102C57"/>
                <w:sz w:val="20"/>
              </w:rPr>
              <w:t>Test / Evidence Status</w:t>
            </w:r>
          </w:p>
        </w:tc>
        <w:tc>
          <w:tcPr>
            <w:tcW w:type="dxa" w:w="1170"/>
            <w:tcMar>
              <w:top w:w="80" w:type="dxa"/>
              <w:bottom w:w="80" w:type="dxa"/>
              <w:left w:w="120" w:type="dxa"/>
              <w:right w:w="120" w:type="dxa"/>
            </w:tcMar>
            <w:shd w:fill="F0F4F8"/>
          </w:tcPr>
          <w:p>
            <w:pPr>
              <w:spacing w:before="40" w:after="40"/>
            </w:pPr>
            <w:r>
              <w:rPr>
                <w:b/>
                <w:color w:val="102C57"/>
                <w:sz w:val="20"/>
              </w:rPr>
              <w:t>Upstream Dependencies</w:t>
            </w:r>
          </w:p>
        </w:tc>
        <w:tc>
          <w:tcPr>
            <w:tcW w:type="dxa" w:w="1170"/>
            <w:tcMar>
              <w:top w:w="80" w:type="dxa"/>
              <w:bottom w:w="80" w:type="dxa"/>
              <w:left w:w="120" w:type="dxa"/>
              <w:right w:w="120" w:type="dxa"/>
            </w:tcMar>
            <w:shd w:fill="F0F4F8"/>
          </w:tcPr>
          <w:p>
            <w:pPr>
              <w:spacing w:before="40" w:after="40"/>
            </w:pPr>
            <w:r>
              <w:rPr>
                <w:b/>
                <w:color w:val="102C57"/>
                <w:sz w:val="20"/>
              </w:rPr>
              <w:t>Primary Acceptance Criteria</w:t>
            </w:r>
          </w:p>
        </w:tc>
      </w:tr>
      <w:tr>
        <w:tc>
          <w:tcPr>
            <w:tcW w:type="dxa" w:w="1170"/>
            <w:tcMar>
              <w:top w:w="80" w:type="dxa"/>
              <w:bottom w:w="80" w:type="dxa"/>
              <w:left w:w="120" w:type="dxa"/>
              <w:right w:w="120" w:type="dxa"/>
            </w:tcMar>
            <w:shd w:fill="FFFFFF"/>
          </w:tcPr>
          <w:p>
            <w:pPr>
              <w:spacing w:before="40" w:after="40"/>
            </w:pPr>
            <w:r>
              <w:rPr>
                <w:b/>
                <w:sz w:val="19"/>
              </w:rPr>
              <w:t>`DEMO-01`</w:t>
            </w:r>
          </w:p>
        </w:tc>
        <w:tc>
          <w:tcPr>
            <w:tcW w:type="dxa" w:w="1170"/>
            <w:tcMar>
              <w:top w:w="80" w:type="dxa"/>
              <w:bottom w:w="80" w:type="dxa"/>
              <w:left w:w="120" w:type="dxa"/>
              <w:right w:w="120" w:type="dxa"/>
            </w:tcMar>
            <w:shd w:fill="FFFFFF"/>
          </w:tcPr>
          <w:p>
            <w:pPr>
              <w:spacing w:before="40" w:after="40"/>
            </w:pPr>
            <w:r>
              <w:rPr>
                <w:sz w:val="19"/>
              </w:rPr>
              <w:t>Industry Sector Classification</w:t>
            </w:r>
          </w:p>
        </w:tc>
        <w:tc>
          <w:tcPr>
            <w:tcW w:type="dxa" w:w="1170"/>
            <w:tcMar>
              <w:top w:w="80" w:type="dxa"/>
              <w:bottom w:w="80" w:type="dxa"/>
              <w:left w:w="120" w:type="dxa"/>
              <w:right w:w="120" w:type="dxa"/>
            </w:tcMar>
            <w:shd w:fill="FFFFFF"/>
          </w:tcPr>
          <w:p>
            <w:pPr>
              <w:spacing w:before="40" w:after="40"/>
            </w:pPr>
            <w:r>
              <w:rPr>
                <w:sz w:val="19"/>
              </w:rPr>
              <w:t>Decisions 1.1, 1.2, 1.3, 1.4, 1.5</w:t>
            </w:r>
          </w:p>
        </w:tc>
        <w:tc>
          <w:tcPr>
            <w:tcW w:type="dxa" w:w="1170"/>
            <w:tcMar>
              <w:top w:w="80" w:type="dxa"/>
              <w:bottom w:w="80" w:type="dxa"/>
              <w:left w:w="120" w:type="dxa"/>
              <w:right w:w="120" w:type="dxa"/>
            </w:tcMar>
            <w:shd w:fill="FFFFFF"/>
          </w:tcPr>
          <w:p>
            <w:pPr>
              <w:spacing w:before="40" w:after="40"/>
            </w:pPr>
            <w:r>
              <w:rPr>
                <w:rFonts w:ascii="Consolas" w:hAnsi="Consolas"/>
                <w:sz w:val="19"/>
              </w:rPr>
              <w:t>IndustrySector</w:t>
            </w:r>
            <w:r>
              <w:rPr>
                <w:sz w:val="19"/>
              </w:rPr>
              <w:t xml:space="preserve">, </w:t>
            </w:r>
            <w:r>
              <w:rPr>
                <w:rFonts w:ascii="Consolas" w:hAnsi="Consolas"/>
                <w:sz w:val="19"/>
              </w:rPr>
              <w:t>LeadSector</w:t>
            </w:r>
            <w:r>
              <w:rPr>
                <w:sz w:val="19"/>
              </w:rPr>
              <w:t xml:space="preserve">, </w:t>
            </w:r>
            <w:r>
              <w:rPr>
                <w:rFonts w:ascii="Consolas" w:hAnsi="Consolas"/>
                <w:sz w:val="19"/>
              </w:rPr>
              <w:t>ClientSector</w:t>
            </w:r>
          </w:p>
        </w:tc>
        <w:tc>
          <w:tcPr>
            <w:tcW w:type="dxa" w:w="1170"/>
            <w:tcMar>
              <w:top w:w="80" w:type="dxa"/>
              <w:bottom w:w="80" w:type="dxa"/>
              <w:left w:w="120" w:type="dxa"/>
              <w:right w:w="120" w:type="dxa"/>
            </w:tcMar>
            <w:shd w:fill="FFFFFF"/>
          </w:tcPr>
          <w:p>
            <w:pPr>
              <w:spacing w:before="40" w:after="40"/>
            </w:pPr>
            <w:r>
              <w:rPr>
                <w:rFonts w:ascii="Consolas" w:hAnsi="Consolas"/>
                <w:sz w:val="19"/>
              </w:rPr>
              <w:t>NOT IMPLEMENTED</w:t>
            </w:r>
          </w:p>
        </w:tc>
        <w:tc>
          <w:tcPr>
            <w:tcW w:type="dxa" w:w="1170"/>
            <w:tcMar>
              <w:top w:w="80" w:type="dxa"/>
              <w:bottom w:w="80" w:type="dxa"/>
              <w:left w:w="120" w:type="dxa"/>
              <w:right w:w="120" w:type="dxa"/>
            </w:tcMar>
            <w:shd w:fill="FFFFFF"/>
          </w:tcPr>
          <w:p>
            <w:pPr>
              <w:spacing w:before="40" w:after="40"/>
            </w:pPr>
            <w:r>
              <w:rPr>
                <w:rFonts w:ascii="Consolas" w:hAnsi="Consolas"/>
                <w:sz w:val="19"/>
              </w:rPr>
              <w:t>NOT TESTED</w:t>
            </w:r>
          </w:p>
        </w:tc>
        <w:tc>
          <w:tcPr>
            <w:tcW w:type="dxa" w:w="1170"/>
            <w:tcMar>
              <w:top w:w="80" w:type="dxa"/>
              <w:bottom w:w="80" w:type="dxa"/>
              <w:left w:w="120" w:type="dxa"/>
              <w:right w:w="120" w:type="dxa"/>
            </w:tcMar>
            <w:shd w:fill="FFFFFF"/>
          </w:tcPr>
          <w:p>
            <w:pPr>
              <w:spacing w:before="40" w:after="40"/>
            </w:pPr>
            <w:r>
              <w:rPr>
                <w:sz w:val="19"/>
              </w:rPr>
              <w:t>DB Migration</w:t>
            </w:r>
          </w:p>
        </w:tc>
        <w:tc>
          <w:tcPr>
            <w:tcW w:type="dxa" w:w="1170"/>
            <w:tcMar>
              <w:top w:w="80" w:type="dxa"/>
              <w:bottom w:w="80" w:type="dxa"/>
              <w:left w:w="120" w:type="dxa"/>
              <w:right w:w="120" w:type="dxa"/>
            </w:tcMar>
            <w:shd w:fill="FFFFFF"/>
          </w:tcPr>
          <w:p>
            <w:pPr>
              <w:spacing w:before="40" w:after="40"/>
            </w:pPr>
            <w:r>
              <w:rPr>
                <w:sz w:val="19"/>
              </w:rPr>
              <w:t xml:space="preserve">1–5 sectors mandatory at </w:t>
            </w:r>
            <w:r>
              <w:rPr>
                <w:rFonts w:ascii="Consolas" w:hAnsi="Consolas"/>
                <w:sz w:val="19"/>
              </w:rPr>
              <w:t>QUALIFIED</w:t>
            </w:r>
            <w:r>
              <w:rPr>
                <w:sz w:val="19"/>
              </w:rPr>
              <w:t>/</w:t>
            </w:r>
            <w:r>
              <w:rPr>
                <w:rFonts w:ascii="Consolas" w:hAnsi="Consolas"/>
                <w:sz w:val="19"/>
              </w:rPr>
              <w:t>PROPOSAL</w:t>
            </w:r>
            <w:r>
              <w:rPr>
                <w:sz w:val="19"/>
              </w:rPr>
              <w:t>; exactly 1 primary sector; partial unique index.</w:t>
            </w:r>
          </w:p>
        </w:tc>
      </w:tr>
      <w:tr>
        <w:tc>
          <w:tcPr>
            <w:tcW w:type="dxa" w:w="1170"/>
            <w:tcMar>
              <w:top w:w="80" w:type="dxa"/>
              <w:bottom w:w="80" w:type="dxa"/>
              <w:left w:w="120" w:type="dxa"/>
              <w:right w:w="120" w:type="dxa"/>
            </w:tcMar>
            <w:shd w:fill="F9FAFB"/>
          </w:tcPr>
          <w:p>
            <w:pPr>
              <w:spacing w:before="40" w:after="40"/>
            </w:pPr>
            <w:r>
              <w:rPr>
                <w:b/>
                <w:sz w:val="19"/>
              </w:rPr>
              <w:t>`DEMO-02`</w:t>
            </w:r>
          </w:p>
        </w:tc>
        <w:tc>
          <w:tcPr>
            <w:tcW w:type="dxa" w:w="1170"/>
            <w:tcMar>
              <w:top w:w="80" w:type="dxa"/>
              <w:bottom w:w="80" w:type="dxa"/>
              <w:left w:w="120" w:type="dxa"/>
              <w:right w:w="120" w:type="dxa"/>
            </w:tcMar>
            <w:shd w:fill="F9FAFB"/>
          </w:tcPr>
          <w:p>
            <w:pPr>
              <w:spacing w:before="40" w:after="40"/>
            </w:pPr>
            <w:r>
              <w:rPr>
                <w:sz w:val="19"/>
              </w:rPr>
              <w:t>Offering Catalog &amp; Workstreams</w:t>
            </w:r>
          </w:p>
        </w:tc>
        <w:tc>
          <w:tcPr>
            <w:tcW w:type="dxa" w:w="1170"/>
            <w:tcMar>
              <w:top w:w="80" w:type="dxa"/>
              <w:bottom w:w="80" w:type="dxa"/>
              <w:left w:w="120" w:type="dxa"/>
              <w:right w:w="120" w:type="dxa"/>
            </w:tcMar>
            <w:shd w:fill="F9FAFB"/>
          </w:tcPr>
          <w:p>
            <w:pPr>
              <w:spacing w:before="40" w:after="40"/>
            </w:pPr>
            <w:r>
              <w:rPr>
                <w:sz w:val="19"/>
              </w:rPr>
              <w:t>Decision 6.1</w:t>
            </w:r>
          </w:p>
        </w:tc>
        <w:tc>
          <w:tcPr>
            <w:tcW w:type="dxa" w:w="1170"/>
            <w:tcMar>
              <w:top w:w="80" w:type="dxa"/>
              <w:bottom w:w="80" w:type="dxa"/>
              <w:left w:w="120" w:type="dxa"/>
              <w:right w:w="120" w:type="dxa"/>
            </w:tcMar>
            <w:shd w:fill="F9FAFB"/>
          </w:tcPr>
          <w:p>
            <w:pPr>
              <w:spacing w:before="40" w:after="40"/>
            </w:pPr>
            <w:r>
              <w:rPr>
                <w:rFonts w:ascii="Consolas" w:hAnsi="Consolas"/>
                <w:sz w:val="19"/>
              </w:rPr>
              <w:t>OfferingCatalog</w:t>
            </w:r>
            <w:r>
              <w:rPr>
                <w:sz w:val="19"/>
              </w:rPr>
              <w:t xml:space="preserve">, </w:t>
            </w:r>
            <w:r>
              <w:rPr>
                <w:rFonts w:ascii="Consolas" w:hAnsi="Consolas"/>
                <w:sz w:val="19"/>
              </w:rPr>
              <w:t>LeadOffering</w:t>
            </w:r>
            <w:r>
              <w:rPr>
                <w:sz w:val="19"/>
              </w:rPr>
              <w:t xml:space="preserve">, </w:t>
            </w:r>
            <w:r>
              <w:rPr>
                <w:rFonts w:ascii="Consolas" w:hAnsi="Consolas"/>
                <w:sz w:val="19"/>
              </w:rPr>
              <w:t>ProjectWorkstream</w:t>
            </w:r>
          </w:p>
        </w:tc>
        <w:tc>
          <w:tcPr>
            <w:tcW w:type="dxa" w:w="1170"/>
            <w:tcMar>
              <w:top w:w="80" w:type="dxa"/>
              <w:bottom w:w="80" w:type="dxa"/>
              <w:left w:w="120" w:type="dxa"/>
              <w:right w:w="120" w:type="dxa"/>
            </w:tcMar>
            <w:shd w:fill="F9FAFB"/>
          </w:tcPr>
          <w:p>
            <w:pPr>
              <w:spacing w:before="40" w:after="40"/>
            </w:pPr>
            <w:r>
              <w:rPr>
                <w:rFonts w:ascii="Consolas" w:hAnsi="Consolas"/>
                <w:sz w:val="19"/>
              </w:rPr>
              <w:t>NOT IMPLEMENTED</w:t>
            </w:r>
          </w:p>
        </w:tc>
        <w:tc>
          <w:tcPr>
            <w:tcW w:type="dxa" w:w="1170"/>
            <w:tcMar>
              <w:top w:w="80" w:type="dxa"/>
              <w:bottom w:w="80" w:type="dxa"/>
              <w:left w:w="120" w:type="dxa"/>
              <w:right w:w="120" w:type="dxa"/>
            </w:tcMar>
            <w:shd w:fill="F9FAFB"/>
          </w:tcPr>
          <w:p>
            <w:pPr>
              <w:spacing w:before="40" w:after="40"/>
            </w:pPr>
            <w:r>
              <w:rPr>
                <w:rFonts w:ascii="Consolas" w:hAnsi="Consolas"/>
                <w:sz w:val="19"/>
              </w:rPr>
              <w:t>NOT TESTED</w:t>
            </w:r>
          </w:p>
        </w:tc>
        <w:tc>
          <w:tcPr>
            <w:tcW w:type="dxa" w:w="1170"/>
            <w:tcMar>
              <w:top w:w="80" w:type="dxa"/>
              <w:bottom w:w="80" w:type="dxa"/>
              <w:left w:w="120" w:type="dxa"/>
              <w:right w:w="120" w:type="dxa"/>
            </w:tcMar>
            <w:shd w:fill="F9FAFB"/>
          </w:tcPr>
          <w:p>
            <w:pPr>
              <w:spacing w:before="40" w:after="40"/>
            </w:pPr>
            <w:r>
              <w:rPr>
                <w:rFonts w:ascii="Consolas" w:hAnsi="Consolas"/>
                <w:sz w:val="19"/>
              </w:rPr>
              <w:t>DEMO-04</w:t>
            </w:r>
            <w:r>
              <w:rPr>
                <w:sz w:val="19"/>
              </w:rPr>
              <w:t xml:space="preserve"> (BU)</w:t>
            </w:r>
          </w:p>
        </w:tc>
        <w:tc>
          <w:tcPr>
            <w:tcW w:type="dxa" w:w="1170"/>
            <w:tcMar>
              <w:top w:w="80" w:type="dxa"/>
              <w:bottom w:w="80" w:type="dxa"/>
              <w:left w:w="120" w:type="dxa"/>
              <w:right w:w="120" w:type="dxa"/>
            </w:tcMar>
            <w:shd w:fill="F9FAFB"/>
          </w:tcPr>
          <w:p>
            <w:pPr>
              <w:spacing w:before="40" w:after="40"/>
            </w:pPr>
            <w:r>
              <w:rPr>
                <w:sz w:val="19"/>
              </w:rPr>
              <w:t xml:space="preserve">Offering lines create corresponding </w:t>
            </w:r>
            <w:r>
              <w:rPr>
                <w:rFonts w:ascii="Consolas" w:hAnsi="Consolas"/>
                <w:sz w:val="19"/>
              </w:rPr>
              <w:t>ProjectWorkstream</w:t>
            </w:r>
            <w:r>
              <w:rPr>
                <w:sz w:val="19"/>
              </w:rPr>
              <w:t xml:space="preserve"> on project conversion.</w:t>
            </w:r>
          </w:p>
        </w:tc>
      </w:tr>
      <w:tr>
        <w:tc>
          <w:tcPr>
            <w:tcW w:type="dxa" w:w="1170"/>
            <w:tcMar>
              <w:top w:w="80" w:type="dxa"/>
              <w:bottom w:w="80" w:type="dxa"/>
              <w:left w:w="120" w:type="dxa"/>
              <w:right w:w="120" w:type="dxa"/>
            </w:tcMar>
            <w:shd w:fill="FFFFFF"/>
          </w:tcPr>
          <w:p>
            <w:pPr>
              <w:spacing w:before="40" w:after="40"/>
            </w:pPr>
            <w:r>
              <w:rPr>
                <w:b/>
                <w:sz w:val="19"/>
              </w:rPr>
              <w:t>`DEMO-03`</w:t>
            </w:r>
          </w:p>
        </w:tc>
        <w:tc>
          <w:tcPr>
            <w:tcW w:type="dxa" w:w="1170"/>
            <w:tcMar>
              <w:top w:w="80" w:type="dxa"/>
              <w:bottom w:w="80" w:type="dxa"/>
              <w:left w:w="120" w:type="dxa"/>
              <w:right w:w="120" w:type="dxa"/>
            </w:tcMar>
            <w:shd w:fill="FFFFFF"/>
          </w:tcPr>
          <w:p>
            <w:pPr>
              <w:spacing w:before="40" w:after="40"/>
            </w:pPr>
            <w:r>
              <w:rPr>
                <w:sz w:val="19"/>
              </w:rPr>
              <w:t>Client Management &amp; Contacts</w:t>
            </w:r>
          </w:p>
        </w:tc>
        <w:tc>
          <w:tcPr>
            <w:tcW w:type="dxa" w:w="1170"/>
            <w:tcMar>
              <w:top w:w="80" w:type="dxa"/>
              <w:bottom w:w="80" w:type="dxa"/>
              <w:left w:w="120" w:type="dxa"/>
              <w:right w:w="120" w:type="dxa"/>
            </w:tcMar>
            <w:shd w:fill="FFFFFF"/>
          </w:tcPr>
          <w:p>
            <w:pPr>
              <w:spacing w:before="40" w:after="40"/>
            </w:pPr>
            <w:r>
              <w:rPr>
                <w:sz w:val="19"/>
              </w:rPr>
              <w:t>Decisions 1.3, 7.1</w:t>
            </w:r>
          </w:p>
        </w:tc>
        <w:tc>
          <w:tcPr>
            <w:tcW w:type="dxa" w:w="1170"/>
            <w:tcMar>
              <w:top w:w="80" w:type="dxa"/>
              <w:bottom w:w="80" w:type="dxa"/>
              <w:left w:w="120" w:type="dxa"/>
              <w:right w:w="120" w:type="dxa"/>
            </w:tcMar>
            <w:shd w:fill="FFFFFF"/>
          </w:tcPr>
          <w:p>
            <w:pPr>
              <w:spacing w:before="40" w:after="40"/>
            </w:pPr>
            <w:r>
              <w:rPr>
                <w:rFonts w:ascii="Consolas" w:hAnsi="Consolas"/>
                <w:sz w:val="19"/>
              </w:rPr>
              <w:t>Client</w:t>
            </w:r>
            <w:r>
              <w:rPr>
                <w:sz w:val="19"/>
              </w:rPr>
              <w:t xml:space="preserve">, </w:t>
            </w:r>
            <w:r>
              <w:rPr>
                <w:rFonts w:ascii="Consolas" w:hAnsi="Consolas"/>
                <w:sz w:val="19"/>
              </w:rPr>
              <w:t>ClientContact</w:t>
            </w:r>
          </w:p>
        </w:tc>
        <w:tc>
          <w:tcPr>
            <w:tcW w:type="dxa" w:w="1170"/>
            <w:tcMar>
              <w:top w:w="80" w:type="dxa"/>
              <w:bottom w:w="80" w:type="dxa"/>
              <w:left w:w="120" w:type="dxa"/>
              <w:right w:w="120" w:type="dxa"/>
            </w:tcMar>
            <w:shd w:fill="FFFFFF"/>
          </w:tcPr>
          <w:p>
            <w:pPr>
              <w:spacing w:before="40" w:after="40"/>
            </w:pPr>
            <w:r>
              <w:rPr>
                <w:rFonts w:ascii="Consolas" w:hAnsi="Consolas"/>
                <w:sz w:val="19"/>
              </w:rPr>
              <w:t>PARTIALLY IMPLEMENTED</w:t>
            </w:r>
          </w:p>
        </w:tc>
        <w:tc>
          <w:tcPr>
            <w:tcW w:type="dxa" w:w="1170"/>
            <w:tcMar>
              <w:top w:w="80" w:type="dxa"/>
              <w:bottom w:w="80" w:type="dxa"/>
              <w:left w:w="120" w:type="dxa"/>
              <w:right w:w="120" w:type="dxa"/>
            </w:tcMar>
            <w:shd w:fill="FFFFFF"/>
          </w:tcPr>
          <w:p>
            <w:pPr>
              <w:spacing w:before="40" w:after="40"/>
            </w:pPr>
            <w:r>
              <w:rPr>
                <w:rFonts w:ascii="Consolas" w:hAnsi="Consolas"/>
                <w:sz w:val="19"/>
              </w:rPr>
              <w:t>NOT TESTED</w:t>
            </w:r>
          </w:p>
        </w:tc>
        <w:tc>
          <w:tcPr>
            <w:tcW w:type="dxa" w:w="1170"/>
            <w:tcMar>
              <w:top w:w="80" w:type="dxa"/>
              <w:bottom w:w="80" w:type="dxa"/>
              <w:left w:w="120" w:type="dxa"/>
              <w:right w:w="120" w:type="dxa"/>
            </w:tcMar>
            <w:shd w:fill="FFFFFF"/>
          </w:tcPr>
          <w:p>
            <w:pPr>
              <w:spacing w:before="40" w:after="40"/>
            </w:pPr>
            <w:r>
              <w:rPr>
                <w:sz w:val="19"/>
              </w:rPr>
              <w:t>Base Auth</w:t>
            </w:r>
          </w:p>
        </w:tc>
        <w:tc>
          <w:tcPr>
            <w:tcW w:type="dxa" w:w="1170"/>
            <w:tcMar>
              <w:top w:w="80" w:type="dxa"/>
              <w:bottom w:w="80" w:type="dxa"/>
              <w:left w:w="120" w:type="dxa"/>
              <w:right w:w="120" w:type="dxa"/>
            </w:tcMar>
            <w:shd w:fill="FFFFFF"/>
          </w:tcPr>
          <w:p>
            <w:pPr>
              <w:spacing w:before="40" w:after="40"/>
            </w:pPr>
            <w:r>
              <w:rPr>
                <w:sz w:val="19"/>
              </w:rPr>
              <w:t>Point-in-time contact snapshot; scalar contact fallback for unregistered leads.</w:t>
            </w:r>
          </w:p>
        </w:tc>
      </w:tr>
      <w:tr>
        <w:tc>
          <w:tcPr>
            <w:tcW w:type="dxa" w:w="1170"/>
            <w:tcMar>
              <w:top w:w="80" w:type="dxa"/>
              <w:bottom w:w="80" w:type="dxa"/>
              <w:left w:w="120" w:type="dxa"/>
              <w:right w:w="120" w:type="dxa"/>
            </w:tcMar>
            <w:shd w:fill="F9FAFB"/>
          </w:tcPr>
          <w:p>
            <w:pPr>
              <w:spacing w:before="40" w:after="40"/>
            </w:pPr>
            <w:r>
              <w:rPr>
                <w:b/>
                <w:sz w:val="19"/>
              </w:rPr>
              <w:t>`DEMO-04`</w:t>
            </w:r>
          </w:p>
        </w:tc>
        <w:tc>
          <w:tcPr>
            <w:tcW w:type="dxa" w:w="1170"/>
            <w:tcMar>
              <w:top w:w="80" w:type="dxa"/>
              <w:bottom w:w="80" w:type="dxa"/>
              <w:left w:w="120" w:type="dxa"/>
              <w:right w:w="120" w:type="dxa"/>
            </w:tcMar>
            <w:shd w:fill="F9FAFB"/>
          </w:tcPr>
          <w:p>
            <w:pPr>
              <w:spacing w:before="40" w:after="40"/>
            </w:pPr>
            <w:r>
              <w:rPr>
                <w:sz w:val="19"/>
              </w:rPr>
              <w:t>Business Unit &amp; Principal Routing</w:t>
            </w:r>
          </w:p>
        </w:tc>
        <w:tc>
          <w:tcPr>
            <w:tcW w:type="dxa" w:w="1170"/>
            <w:tcMar>
              <w:top w:w="80" w:type="dxa"/>
              <w:bottom w:w="80" w:type="dxa"/>
              <w:left w:w="120" w:type="dxa"/>
              <w:right w:w="120" w:type="dxa"/>
            </w:tcMar>
            <w:shd w:fill="F9FAFB"/>
          </w:tcPr>
          <w:p>
            <w:pPr>
              <w:spacing w:before="40" w:after="40"/>
            </w:pPr>
            <w:r>
              <w:rPr>
                <w:sz w:val="19"/>
              </w:rPr>
              <w:t>Decisions 2.1, 2.2</w:t>
            </w:r>
          </w:p>
        </w:tc>
        <w:tc>
          <w:tcPr>
            <w:tcW w:type="dxa" w:w="1170"/>
            <w:tcMar>
              <w:top w:w="80" w:type="dxa"/>
              <w:bottom w:w="80" w:type="dxa"/>
              <w:left w:w="120" w:type="dxa"/>
              <w:right w:w="120" w:type="dxa"/>
            </w:tcMar>
            <w:shd w:fill="F9FAFB"/>
          </w:tcPr>
          <w:p>
            <w:pPr>
              <w:spacing w:before="40" w:after="40"/>
            </w:pPr>
            <w:r>
              <w:rPr>
                <w:rFonts w:ascii="Consolas" w:hAnsi="Consolas"/>
                <w:sz w:val="19"/>
              </w:rPr>
              <w:t>BusinessUnit</w:t>
            </w:r>
            <w:r>
              <w:rPr>
                <w:sz w:val="19"/>
              </w:rPr>
              <w:t xml:space="preserve">, </w:t>
            </w:r>
            <w:r>
              <w:rPr>
                <w:rFonts w:ascii="Consolas" w:hAnsi="Consolas"/>
                <w:sz w:val="19"/>
              </w:rPr>
              <w:t>BusinessUnitPrincipal</w:t>
            </w:r>
            <w:r>
              <w:rPr>
                <w:sz w:val="19"/>
              </w:rPr>
              <w:t xml:space="preserve">, </w:t>
            </w:r>
            <w:r>
              <w:rPr>
                <w:rFonts w:ascii="Consolas" w:hAnsi="Consolas"/>
                <w:sz w:val="19"/>
              </w:rPr>
              <w:t>LeadSupportingBusinessUnit</w:t>
            </w:r>
          </w:p>
        </w:tc>
        <w:tc>
          <w:tcPr>
            <w:tcW w:type="dxa" w:w="1170"/>
            <w:tcMar>
              <w:top w:w="80" w:type="dxa"/>
              <w:bottom w:w="80" w:type="dxa"/>
              <w:left w:w="120" w:type="dxa"/>
              <w:right w:w="120" w:type="dxa"/>
            </w:tcMar>
            <w:shd w:fill="F9FAFB"/>
          </w:tcPr>
          <w:p>
            <w:pPr>
              <w:spacing w:before="40" w:after="40"/>
            </w:pPr>
            <w:r>
              <w:rPr>
                <w:rFonts w:ascii="Consolas" w:hAnsi="Consolas"/>
                <w:sz w:val="19"/>
              </w:rPr>
              <w:t>PARTIALLY IMPLEMENTED</w:t>
            </w:r>
          </w:p>
        </w:tc>
        <w:tc>
          <w:tcPr>
            <w:tcW w:type="dxa" w:w="1170"/>
            <w:tcMar>
              <w:top w:w="80" w:type="dxa"/>
              <w:bottom w:w="80" w:type="dxa"/>
              <w:left w:w="120" w:type="dxa"/>
              <w:right w:w="120" w:type="dxa"/>
            </w:tcMar>
            <w:shd w:fill="F9FAFB"/>
          </w:tcPr>
          <w:p>
            <w:pPr>
              <w:spacing w:before="40" w:after="40"/>
            </w:pPr>
            <w:r>
              <w:rPr>
                <w:rFonts w:ascii="Consolas" w:hAnsi="Consolas"/>
                <w:sz w:val="19"/>
              </w:rPr>
              <w:t>NOT TESTED</w:t>
            </w:r>
          </w:p>
        </w:tc>
        <w:tc>
          <w:tcPr>
            <w:tcW w:type="dxa" w:w="1170"/>
            <w:tcMar>
              <w:top w:w="80" w:type="dxa"/>
              <w:bottom w:w="80" w:type="dxa"/>
              <w:left w:w="120" w:type="dxa"/>
              <w:right w:w="120" w:type="dxa"/>
            </w:tcMar>
            <w:shd w:fill="F9FAFB"/>
          </w:tcPr>
          <w:p>
            <w:pPr>
              <w:spacing w:before="40" w:after="40"/>
            </w:pPr>
            <w:r>
              <w:rPr>
                <w:sz w:val="19"/>
              </w:rPr>
              <w:t>Base Users</w:t>
            </w:r>
          </w:p>
        </w:tc>
        <w:tc>
          <w:tcPr>
            <w:tcW w:type="dxa" w:w="1170"/>
            <w:tcMar>
              <w:top w:w="80" w:type="dxa"/>
              <w:bottom w:w="80" w:type="dxa"/>
              <w:left w:w="120" w:type="dxa"/>
              <w:right w:w="120" w:type="dxa"/>
            </w:tcMar>
            <w:shd w:fill="F9FAFB"/>
          </w:tcPr>
          <w:p>
            <w:pPr>
              <w:spacing w:before="40" w:after="40"/>
            </w:pPr>
            <w:r>
              <w:rPr>
                <w:sz w:val="19"/>
              </w:rPr>
              <w:t xml:space="preserve">Single Primary BU; normalized supporting BU junction table; </w:t>
            </w:r>
            <w:r>
              <w:rPr>
                <w:rFonts w:ascii="Consolas" w:hAnsi="Consolas"/>
                <w:sz w:val="19"/>
              </w:rPr>
              <w:t>MANAGEMENT</w:t>
            </w:r>
            <w:r>
              <w:rPr>
                <w:sz w:val="19"/>
              </w:rPr>
              <w:t xml:space="preserve"> fallback routing.</w:t>
            </w:r>
          </w:p>
        </w:tc>
      </w:tr>
      <w:tr>
        <w:tc>
          <w:tcPr>
            <w:tcW w:type="dxa" w:w="1170"/>
            <w:tcMar>
              <w:top w:w="80" w:type="dxa"/>
              <w:bottom w:w="80" w:type="dxa"/>
              <w:left w:w="120" w:type="dxa"/>
              <w:right w:w="120" w:type="dxa"/>
            </w:tcMar>
            <w:shd w:fill="FFFFFF"/>
          </w:tcPr>
          <w:p>
            <w:pPr>
              <w:spacing w:before="40" w:after="40"/>
            </w:pPr>
            <w:r>
              <w:rPr>
                <w:b/>
                <w:sz w:val="19"/>
              </w:rPr>
              <w:t>`DEMO-05`</w:t>
            </w:r>
          </w:p>
        </w:tc>
        <w:tc>
          <w:tcPr>
            <w:tcW w:type="dxa" w:w="1170"/>
            <w:tcMar>
              <w:top w:w="80" w:type="dxa"/>
              <w:bottom w:w="80" w:type="dxa"/>
              <w:left w:w="120" w:type="dxa"/>
              <w:right w:w="120" w:type="dxa"/>
            </w:tcMar>
            <w:shd w:fill="FFFFFF"/>
          </w:tcPr>
          <w:p>
            <w:pPr>
              <w:spacing w:before="40" w:after="40"/>
            </w:pPr>
            <w:r>
              <w:rPr>
                <w:sz w:val="19"/>
              </w:rPr>
              <w:t>Deal Types, Lineage &amp; NRR</w:t>
            </w:r>
          </w:p>
        </w:tc>
        <w:tc>
          <w:tcPr>
            <w:tcW w:type="dxa" w:w="1170"/>
            <w:tcMar>
              <w:top w:w="80" w:type="dxa"/>
              <w:bottom w:w="80" w:type="dxa"/>
              <w:left w:w="120" w:type="dxa"/>
              <w:right w:w="120" w:type="dxa"/>
            </w:tcMar>
            <w:shd w:fill="FFFFFF"/>
          </w:tcPr>
          <w:p>
            <w:pPr>
              <w:spacing w:before="40" w:after="40"/>
            </w:pPr>
            <w:r>
              <w:rPr>
                <w:sz w:val="19"/>
              </w:rPr>
              <w:t>Decisions 3.1, 3.2</w:t>
            </w:r>
          </w:p>
        </w:tc>
        <w:tc>
          <w:tcPr>
            <w:tcW w:type="dxa" w:w="1170"/>
            <w:tcMar>
              <w:top w:w="80" w:type="dxa"/>
              <w:bottom w:w="80" w:type="dxa"/>
              <w:left w:w="120" w:type="dxa"/>
              <w:right w:w="120" w:type="dxa"/>
            </w:tcMar>
            <w:shd w:fill="FFFFFF"/>
          </w:tcPr>
          <w:p>
            <w:pPr>
              <w:spacing w:before="40" w:after="40"/>
            </w:pPr>
            <w:r>
              <w:rPr>
                <w:rFonts w:ascii="Consolas" w:hAnsi="Consolas"/>
                <w:sz w:val="19"/>
              </w:rPr>
              <w:t>LeadType</w:t>
            </w:r>
            <w:r>
              <w:rPr>
                <w:sz w:val="19"/>
              </w:rPr>
              <w:t xml:space="preserve">, </w:t>
            </w:r>
            <w:r>
              <w:rPr>
                <w:rFonts w:ascii="Consolas" w:hAnsi="Consolas"/>
                <w:sz w:val="19"/>
              </w:rPr>
              <w:t>Lead.parentProjectId</w:t>
            </w:r>
          </w:p>
        </w:tc>
        <w:tc>
          <w:tcPr>
            <w:tcW w:type="dxa" w:w="1170"/>
            <w:tcMar>
              <w:top w:w="80" w:type="dxa"/>
              <w:bottom w:w="80" w:type="dxa"/>
              <w:left w:w="120" w:type="dxa"/>
              <w:right w:w="120" w:type="dxa"/>
            </w:tcMar>
            <w:shd w:fill="FFFFFF"/>
          </w:tcPr>
          <w:p>
            <w:pPr>
              <w:spacing w:before="40" w:after="40"/>
            </w:pPr>
            <w:r>
              <w:rPr>
                <w:rFonts w:ascii="Consolas" w:hAnsi="Consolas"/>
                <w:sz w:val="19"/>
              </w:rPr>
              <w:t>NOT IMPLEMENTED</w:t>
            </w:r>
          </w:p>
        </w:tc>
        <w:tc>
          <w:tcPr>
            <w:tcW w:type="dxa" w:w="1170"/>
            <w:tcMar>
              <w:top w:w="80" w:type="dxa"/>
              <w:bottom w:w="80" w:type="dxa"/>
              <w:left w:w="120" w:type="dxa"/>
              <w:right w:w="120" w:type="dxa"/>
            </w:tcMar>
            <w:shd w:fill="FFFFFF"/>
          </w:tcPr>
          <w:p>
            <w:pPr>
              <w:spacing w:before="40" w:after="40"/>
            </w:pPr>
            <w:r>
              <w:rPr>
                <w:rFonts w:ascii="Consolas" w:hAnsi="Consolas"/>
                <w:sz w:val="19"/>
              </w:rPr>
              <w:t>NOT TESTED</w:t>
            </w:r>
          </w:p>
        </w:tc>
        <w:tc>
          <w:tcPr>
            <w:tcW w:type="dxa" w:w="1170"/>
            <w:tcMar>
              <w:top w:w="80" w:type="dxa"/>
              <w:bottom w:w="80" w:type="dxa"/>
              <w:left w:w="120" w:type="dxa"/>
              <w:right w:w="120" w:type="dxa"/>
            </w:tcMar>
            <w:shd w:fill="FFFFFF"/>
          </w:tcPr>
          <w:p>
            <w:pPr>
              <w:spacing w:before="40" w:after="40"/>
            </w:pPr>
            <w:r>
              <w:rPr>
                <w:rFonts w:ascii="Consolas" w:hAnsi="Consolas"/>
                <w:sz w:val="19"/>
              </w:rPr>
              <w:t>Project</w:t>
            </w:r>
            <w:r>
              <w:rPr>
                <w:sz w:val="19"/>
              </w:rPr>
              <w:t xml:space="preserve"> Master</w:t>
            </w:r>
          </w:p>
        </w:tc>
        <w:tc>
          <w:tcPr>
            <w:tcW w:type="dxa" w:w="1170"/>
            <w:tcMar>
              <w:top w:w="80" w:type="dxa"/>
              <w:bottom w:w="80" w:type="dxa"/>
              <w:left w:w="120" w:type="dxa"/>
              <w:right w:w="120" w:type="dxa"/>
            </w:tcMar>
            <w:shd w:fill="FFFFFF"/>
          </w:tcPr>
          <w:p>
            <w:pPr>
              <w:spacing w:before="40" w:after="40"/>
            </w:pPr>
            <w:r>
              <w:rPr>
                <w:sz w:val="19"/>
              </w:rPr>
              <w:t xml:space="preserve">Strict Project-only parentage for </w:t>
            </w:r>
            <w:r>
              <w:rPr>
                <w:rFonts w:ascii="Consolas" w:hAnsi="Consolas"/>
                <w:sz w:val="19"/>
              </w:rPr>
              <w:t>RENEWAL</w:t>
            </w:r>
            <w:r>
              <w:rPr>
                <w:sz w:val="19"/>
              </w:rPr>
              <w:t>/</w:t>
            </w:r>
            <w:r>
              <w:rPr>
                <w:rFonts w:ascii="Consolas" w:hAnsi="Consolas"/>
                <w:sz w:val="19"/>
              </w:rPr>
              <w:t>UP_SELL</w:t>
            </w:r>
            <w:r>
              <w:rPr>
                <w:sz w:val="19"/>
              </w:rPr>
              <w:t>; cohort ARR retention formula.</w:t>
            </w:r>
          </w:p>
        </w:tc>
      </w:tr>
      <w:tr>
        <w:tc>
          <w:tcPr>
            <w:tcW w:type="dxa" w:w="1170"/>
            <w:tcMar>
              <w:top w:w="80" w:type="dxa"/>
              <w:bottom w:w="80" w:type="dxa"/>
              <w:left w:w="120" w:type="dxa"/>
              <w:right w:w="120" w:type="dxa"/>
            </w:tcMar>
            <w:shd w:fill="F9FAFB"/>
          </w:tcPr>
          <w:p>
            <w:pPr>
              <w:spacing w:before="40" w:after="40"/>
            </w:pPr>
            <w:r>
              <w:rPr>
                <w:b/>
                <w:sz w:val="19"/>
              </w:rPr>
              <w:t>`DEMO-06`</w:t>
            </w:r>
          </w:p>
        </w:tc>
        <w:tc>
          <w:tcPr>
            <w:tcW w:type="dxa" w:w="1170"/>
            <w:tcMar>
              <w:top w:w="80" w:type="dxa"/>
              <w:bottom w:w="80" w:type="dxa"/>
              <w:left w:w="120" w:type="dxa"/>
              <w:right w:w="120" w:type="dxa"/>
            </w:tcMar>
            <w:shd w:fill="F9FAFB"/>
          </w:tcPr>
          <w:p>
            <w:pPr>
              <w:spacing w:before="40" w:after="40"/>
            </w:pPr>
            <w:r>
              <w:rPr>
                <w:sz w:val="19"/>
              </w:rPr>
              <w:t>Sequential Lead Numbering</w:t>
            </w:r>
          </w:p>
        </w:tc>
        <w:tc>
          <w:tcPr>
            <w:tcW w:type="dxa" w:w="1170"/>
            <w:tcMar>
              <w:top w:w="80" w:type="dxa"/>
              <w:bottom w:w="80" w:type="dxa"/>
              <w:left w:w="120" w:type="dxa"/>
              <w:right w:w="120" w:type="dxa"/>
            </w:tcMar>
            <w:shd w:fill="F9FAFB"/>
          </w:tcPr>
          <w:p>
            <w:pPr>
              <w:spacing w:before="40" w:after="40"/>
            </w:pPr>
            <w:r>
              <w:rPr>
                <w:sz w:val="19"/>
              </w:rPr>
              <w:t>Decisions 3.3, 3.3b</w:t>
            </w:r>
          </w:p>
        </w:tc>
        <w:tc>
          <w:tcPr>
            <w:tcW w:type="dxa" w:w="1170"/>
            <w:tcMar>
              <w:top w:w="80" w:type="dxa"/>
              <w:bottom w:w="80" w:type="dxa"/>
              <w:left w:w="120" w:type="dxa"/>
              <w:right w:w="120" w:type="dxa"/>
            </w:tcMar>
            <w:shd w:fill="F9FAFB"/>
          </w:tcPr>
          <w:p>
            <w:pPr>
              <w:spacing w:before="40" w:after="40"/>
            </w:pPr>
            <w:r>
              <w:rPr>
                <w:rFonts w:ascii="Consolas" w:hAnsi="Consolas"/>
                <w:sz w:val="19"/>
              </w:rPr>
              <w:t>LeadNumberCounter</w:t>
            </w:r>
            <w:r>
              <w:rPr>
                <w:sz w:val="19"/>
              </w:rPr>
              <w:t xml:space="preserve">, </w:t>
            </w:r>
            <w:r>
              <w:rPr>
                <w:rFonts w:ascii="Consolas" w:hAnsi="Consolas"/>
                <w:sz w:val="19"/>
              </w:rPr>
              <w:t>allocateNextLeadNumber(tx)</w:t>
            </w:r>
          </w:p>
        </w:tc>
        <w:tc>
          <w:tcPr>
            <w:tcW w:type="dxa" w:w="1170"/>
            <w:tcMar>
              <w:top w:w="80" w:type="dxa"/>
              <w:bottom w:w="80" w:type="dxa"/>
              <w:left w:w="120" w:type="dxa"/>
              <w:right w:w="120" w:type="dxa"/>
            </w:tcMar>
            <w:shd w:fill="F9FAFB"/>
          </w:tcPr>
          <w:p>
            <w:pPr>
              <w:spacing w:before="40" w:after="40"/>
            </w:pPr>
            <w:r>
              <w:rPr>
                <w:rFonts w:ascii="Consolas" w:hAnsi="Consolas"/>
                <w:sz w:val="19"/>
              </w:rPr>
              <w:t>NOT IMPLEMENTED</w:t>
            </w:r>
          </w:p>
        </w:tc>
        <w:tc>
          <w:tcPr>
            <w:tcW w:type="dxa" w:w="1170"/>
            <w:tcMar>
              <w:top w:w="80" w:type="dxa"/>
              <w:bottom w:w="80" w:type="dxa"/>
              <w:left w:w="120" w:type="dxa"/>
              <w:right w:w="120" w:type="dxa"/>
            </w:tcMar>
            <w:shd w:fill="F9FAFB"/>
          </w:tcPr>
          <w:p>
            <w:pPr>
              <w:spacing w:before="40" w:after="40"/>
            </w:pPr>
            <w:r>
              <w:rPr>
                <w:rFonts w:ascii="Consolas" w:hAnsi="Consolas"/>
                <w:sz w:val="19"/>
              </w:rPr>
              <w:t>NOT TESTED</w:t>
            </w:r>
          </w:p>
        </w:tc>
        <w:tc>
          <w:tcPr>
            <w:tcW w:type="dxa" w:w="1170"/>
            <w:tcMar>
              <w:top w:w="80" w:type="dxa"/>
              <w:bottom w:w="80" w:type="dxa"/>
              <w:left w:w="120" w:type="dxa"/>
              <w:right w:w="120" w:type="dxa"/>
            </w:tcMar>
            <w:shd w:fill="F9FAFB"/>
          </w:tcPr>
          <w:p>
            <w:pPr>
              <w:spacing w:before="40" w:after="40"/>
            </w:pPr>
            <w:r>
              <w:rPr>
                <w:sz w:val="19"/>
              </w:rPr>
              <w:t>DB Sequence</w:t>
            </w:r>
          </w:p>
        </w:tc>
        <w:tc>
          <w:tcPr>
            <w:tcW w:type="dxa" w:w="1170"/>
            <w:tcMar>
              <w:top w:w="80" w:type="dxa"/>
              <w:bottom w:w="80" w:type="dxa"/>
              <w:left w:w="120" w:type="dxa"/>
              <w:right w:w="120" w:type="dxa"/>
            </w:tcMar>
            <w:shd w:fill="F9FAFB"/>
          </w:tcPr>
          <w:p>
            <w:pPr>
              <w:spacing w:before="40" w:after="40"/>
            </w:pPr>
            <w:r>
              <w:rPr>
                <w:sz w:val="19"/>
              </w:rPr>
              <w:t xml:space="preserve">Atomic same-transaction allocation with </w:t>
            </w:r>
            <w:r>
              <w:rPr>
                <w:rFonts w:ascii="Consolas" w:hAnsi="Consolas"/>
                <w:sz w:val="19"/>
              </w:rPr>
              <w:t>tx.lead.create</w:t>
            </w:r>
            <w:r>
              <w:rPr>
                <w:sz w:val="19"/>
              </w:rPr>
              <w:t>; out-of-transaction audit on failure.</w:t>
            </w:r>
          </w:p>
        </w:tc>
      </w:tr>
      <w:tr>
        <w:tc>
          <w:tcPr>
            <w:tcW w:type="dxa" w:w="1170"/>
            <w:tcMar>
              <w:top w:w="80" w:type="dxa"/>
              <w:bottom w:w="80" w:type="dxa"/>
              <w:left w:w="120" w:type="dxa"/>
              <w:right w:w="120" w:type="dxa"/>
            </w:tcMar>
            <w:shd w:fill="FFFFFF"/>
          </w:tcPr>
          <w:p>
            <w:pPr>
              <w:spacing w:before="40" w:after="40"/>
            </w:pPr>
            <w:r>
              <w:rPr>
                <w:b/>
                <w:sz w:val="19"/>
              </w:rPr>
              <w:t>`DEMO-07`</w:t>
            </w:r>
          </w:p>
        </w:tc>
        <w:tc>
          <w:tcPr>
            <w:tcW w:type="dxa" w:w="1170"/>
            <w:tcMar>
              <w:top w:w="80" w:type="dxa"/>
              <w:bottom w:w="80" w:type="dxa"/>
              <w:left w:w="120" w:type="dxa"/>
              <w:right w:w="120" w:type="dxa"/>
            </w:tcMar>
            <w:shd w:fill="FFFFFF"/>
          </w:tcPr>
          <w:p>
            <w:pPr>
              <w:spacing w:before="40" w:after="40"/>
            </w:pPr>
            <w:r>
              <w:rPr>
                <w:sz w:val="19"/>
              </w:rPr>
              <w:t>Inbound CRM (Pipedrive) Sync</w:t>
            </w:r>
          </w:p>
        </w:tc>
        <w:tc>
          <w:tcPr>
            <w:tcW w:type="dxa" w:w="1170"/>
            <w:tcMar>
              <w:top w:w="80" w:type="dxa"/>
              <w:bottom w:w="80" w:type="dxa"/>
              <w:left w:w="120" w:type="dxa"/>
              <w:right w:w="120" w:type="dxa"/>
            </w:tcMar>
            <w:shd w:fill="FFFFFF"/>
          </w:tcPr>
          <w:p>
            <w:pPr>
              <w:spacing w:before="40" w:after="40"/>
            </w:pPr>
            <w:r>
              <w:rPr>
                <w:sz w:val="19"/>
              </w:rPr>
              <w:t>Decisions 8.0, 8.0b</w:t>
            </w:r>
          </w:p>
        </w:tc>
        <w:tc>
          <w:tcPr>
            <w:tcW w:type="dxa" w:w="1170"/>
            <w:tcMar>
              <w:top w:w="80" w:type="dxa"/>
              <w:bottom w:w="80" w:type="dxa"/>
              <w:left w:w="120" w:type="dxa"/>
              <w:right w:w="120" w:type="dxa"/>
            </w:tcMar>
            <w:shd w:fill="FFFFFF"/>
          </w:tcPr>
          <w:p>
            <w:pPr>
              <w:spacing w:before="40" w:after="40"/>
            </w:pPr>
            <w:r>
              <w:rPr>
                <w:rFonts w:ascii="Consolas" w:hAnsi="Consolas"/>
                <w:sz w:val="19"/>
              </w:rPr>
              <w:t>PipedriveProductMapping</w:t>
            </w:r>
            <w:r>
              <w:rPr>
                <w:sz w:val="19"/>
              </w:rPr>
              <w:t>, Webhook handler</w:t>
            </w:r>
          </w:p>
        </w:tc>
        <w:tc>
          <w:tcPr>
            <w:tcW w:type="dxa" w:w="1170"/>
            <w:tcMar>
              <w:top w:w="80" w:type="dxa"/>
              <w:bottom w:w="80" w:type="dxa"/>
              <w:left w:w="120" w:type="dxa"/>
              <w:right w:w="120" w:type="dxa"/>
            </w:tcMar>
            <w:shd w:fill="FFFFFF"/>
          </w:tcPr>
          <w:p>
            <w:pPr>
              <w:spacing w:before="40" w:after="40"/>
            </w:pPr>
            <w:r>
              <w:rPr>
                <w:sz w:val="19"/>
              </w:rPr>
              <w:t xml:space="preserve">🔄 </w:t>
            </w:r>
            <w:r>
              <w:rPr>
                <w:rFonts w:ascii="Consolas" w:hAnsi="Consolas"/>
                <w:sz w:val="19"/>
              </w:rPr>
              <w:t>PARTIALLY IMPLEMENTED</w:t>
            </w:r>
            <w:r>
              <w:rPr>
                <w:sz w:val="19"/>
              </w:rPr>
              <w:t xml:space="preserve">&lt;br&gt;• Basic Import: </w:t>
            </w:r>
            <w:r>
              <w:rPr>
                <w:rFonts w:ascii="Consolas" w:hAnsi="Consolas"/>
                <w:sz w:val="19"/>
              </w:rPr>
              <w:t>IMPLEMENTED</w:t>
            </w:r>
            <w:r>
              <w:rPr>
                <w:sz w:val="19"/>
              </w:rPr>
              <w:t xml:space="preserve">&lt;br&gt;• Converted Lock: </w:t>
            </w:r>
            <w:r>
              <w:rPr>
                <w:rFonts w:ascii="Consolas" w:hAnsi="Consolas"/>
                <w:sz w:val="19"/>
              </w:rPr>
              <w:t>IMPLEMENTED</w:t>
            </w:r>
            <w:r>
              <w:rPr>
                <w:sz w:val="19"/>
              </w:rPr>
              <w:t xml:space="preserve">&lt;br&gt;• Product Mapping: </w:t>
            </w:r>
            <w:r>
              <w:rPr>
                <w:rFonts w:ascii="Consolas" w:hAnsi="Consolas"/>
                <w:sz w:val="19"/>
              </w:rPr>
              <w:t>NOT IMPLEMENTED</w:t>
            </w:r>
          </w:p>
        </w:tc>
        <w:tc>
          <w:tcPr>
            <w:tcW w:type="dxa" w:w="1170"/>
            <w:tcMar>
              <w:top w:w="80" w:type="dxa"/>
              <w:bottom w:w="80" w:type="dxa"/>
              <w:left w:w="120" w:type="dxa"/>
              <w:right w:w="120" w:type="dxa"/>
            </w:tcMar>
            <w:shd w:fill="FFFFFF"/>
          </w:tcPr>
          <w:p>
            <w:pPr>
              <w:spacing w:before="40" w:after="40"/>
            </w:pPr>
            <w:r>
              <w:rPr>
                <w:rFonts w:ascii="Consolas" w:hAnsi="Consolas"/>
                <w:sz w:val="19"/>
              </w:rPr>
              <w:t>NOT TESTED</w:t>
            </w:r>
          </w:p>
        </w:tc>
        <w:tc>
          <w:tcPr>
            <w:tcW w:type="dxa" w:w="1170"/>
            <w:tcMar>
              <w:top w:w="80" w:type="dxa"/>
              <w:bottom w:w="80" w:type="dxa"/>
              <w:left w:w="120" w:type="dxa"/>
              <w:right w:w="120" w:type="dxa"/>
            </w:tcMar>
            <w:shd w:fill="FFFFFF"/>
          </w:tcPr>
          <w:p>
            <w:pPr>
              <w:spacing w:before="40" w:after="40"/>
            </w:pPr>
            <w:r>
              <w:rPr>
                <w:rFonts w:ascii="Consolas" w:hAnsi="Consolas"/>
                <w:sz w:val="19"/>
              </w:rPr>
              <w:t>DEMO-02</w:t>
            </w:r>
          </w:p>
        </w:tc>
        <w:tc>
          <w:tcPr>
            <w:tcW w:type="dxa" w:w="1170"/>
            <w:tcMar>
              <w:top w:w="80" w:type="dxa"/>
              <w:bottom w:w="80" w:type="dxa"/>
              <w:left w:w="120" w:type="dxa"/>
              <w:right w:w="120" w:type="dxa"/>
            </w:tcMar>
            <w:shd w:fill="FFFFFF"/>
          </w:tcPr>
          <w:p>
            <w:pPr>
              <w:spacing w:before="40" w:after="40"/>
            </w:pPr>
            <w:r>
              <w:rPr>
                <w:sz w:val="19"/>
              </w:rPr>
              <w:t>Single-instance connection key; quarantine review for unmapped products; converted leads locked from CRM overwrite.</w:t>
            </w:r>
          </w:p>
        </w:tc>
      </w:tr>
      <w:tr>
        <w:tc>
          <w:tcPr>
            <w:tcW w:type="dxa" w:w="1170"/>
            <w:tcMar>
              <w:top w:w="80" w:type="dxa"/>
              <w:bottom w:w="80" w:type="dxa"/>
              <w:left w:w="120" w:type="dxa"/>
              <w:right w:w="120" w:type="dxa"/>
            </w:tcMar>
            <w:shd w:fill="F9FAFB"/>
          </w:tcPr>
          <w:p>
            <w:pPr>
              <w:spacing w:before="40" w:after="40"/>
            </w:pPr>
            <w:r>
              <w:rPr>
                <w:b/>
                <w:sz w:val="19"/>
              </w:rPr>
              <w:t>`DEMO-08`</w:t>
            </w:r>
          </w:p>
        </w:tc>
        <w:tc>
          <w:tcPr>
            <w:tcW w:type="dxa" w:w="1170"/>
            <w:tcMar>
              <w:top w:w="80" w:type="dxa"/>
              <w:bottom w:w="80" w:type="dxa"/>
              <w:left w:w="120" w:type="dxa"/>
              <w:right w:w="120" w:type="dxa"/>
            </w:tcMar>
            <w:shd w:fill="F9FAFB"/>
          </w:tcPr>
          <w:p>
            <w:pPr>
              <w:spacing w:before="40" w:after="40"/>
            </w:pPr>
            <w:r>
              <w:rPr>
                <w:sz w:val="19"/>
              </w:rPr>
              <w:t>Sales Stage &amp; Probability Policy</w:t>
            </w:r>
          </w:p>
        </w:tc>
        <w:tc>
          <w:tcPr>
            <w:tcW w:type="dxa" w:w="1170"/>
            <w:tcMar>
              <w:top w:w="80" w:type="dxa"/>
              <w:bottom w:w="80" w:type="dxa"/>
              <w:left w:w="120" w:type="dxa"/>
              <w:right w:w="120" w:type="dxa"/>
            </w:tcMar>
            <w:shd w:fill="F9FAFB"/>
          </w:tcPr>
          <w:p>
            <w:pPr>
              <w:spacing w:before="40" w:after="40"/>
            </w:pPr>
            <w:r>
              <w:rPr>
                <w:sz w:val="19"/>
              </w:rPr>
              <w:t>Decisions 5.1, 5.2</w:t>
            </w:r>
          </w:p>
        </w:tc>
        <w:tc>
          <w:tcPr>
            <w:tcW w:type="dxa" w:w="1170"/>
            <w:tcMar>
              <w:top w:w="80" w:type="dxa"/>
              <w:bottom w:w="80" w:type="dxa"/>
              <w:left w:w="120" w:type="dxa"/>
              <w:right w:w="120" w:type="dxa"/>
            </w:tcMar>
            <w:shd w:fill="F9FAFB"/>
          </w:tcPr>
          <w:p>
            <w:pPr>
              <w:spacing w:before="40" w:after="40"/>
            </w:pPr>
            <w:r>
              <w:rPr>
                <w:rFonts w:ascii="Consolas" w:hAnsi="Consolas"/>
                <w:sz w:val="19"/>
              </w:rPr>
              <w:t>LeadStage</w:t>
            </w:r>
            <w:r>
              <w:rPr>
                <w:sz w:val="19"/>
              </w:rPr>
              <w:t xml:space="preserve">, </w:t>
            </w:r>
            <w:r>
              <w:rPr>
                <w:rFonts w:ascii="Consolas" w:hAnsi="Consolas"/>
                <w:sz w:val="19"/>
              </w:rPr>
              <w:t>Lead.probability</w:t>
            </w:r>
          </w:p>
        </w:tc>
        <w:tc>
          <w:tcPr>
            <w:tcW w:type="dxa" w:w="1170"/>
            <w:tcMar>
              <w:top w:w="80" w:type="dxa"/>
              <w:bottom w:w="80" w:type="dxa"/>
              <w:left w:w="120" w:type="dxa"/>
              <w:right w:w="120" w:type="dxa"/>
            </w:tcMar>
            <w:shd w:fill="F9FAFB"/>
          </w:tcPr>
          <w:p>
            <w:pPr>
              <w:spacing w:before="40" w:after="40"/>
            </w:pPr>
            <w:r>
              <w:rPr>
                <w:rFonts w:ascii="Consolas" w:hAnsi="Consolas"/>
                <w:sz w:val="19"/>
              </w:rPr>
              <w:t>PARTIALLY IMPLEMENTED</w:t>
            </w:r>
          </w:p>
        </w:tc>
        <w:tc>
          <w:tcPr>
            <w:tcW w:type="dxa" w:w="1170"/>
            <w:tcMar>
              <w:top w:w="80" w:type="dxa"/>
              <w:bottom w:w="80" w:type="dxa"/>
              <w:left w:w="120" w:type="dxa"/>
              <w:right w:w="120" w:type="dxa"/>
            </w:tcMar>
            <w:shd w:fill="F9FAFB"/>
          </w:tcPr>
          <w:p>
            <w:pPr>
              <w:spacing w:before="40" w:after="40"/>
            </w:pPr>
            <w:r>
              <w:rPr>
                <w:rFonts w:ascii="Consolas" w:hAnsi="Consolas"/>
                <w:sz w:val="19"/>
              </w:rPr>
              <w:t>NOT TESTED</w:t>
            </w:r>
          </w:p>
        </w:tc>
        <w:tc>
          <w:tcPr>
            <w:tcW w:type="dxa" w:w="1170"/>
            <w:tcMar>
              <w:top w:w="80" w:type="dxa"/>
              <w:bottom w:w="80" w:type="dxa"/>
              <w:left w:w="120" w:type="dxa"/>
              <w:right w:w="120" w:type="dxa"/>
            </w:tcMar>
            <w:shd w:fill="F9FAFB"/>
          </w:tcPr>
          <w:p>
            <w:pPr>
              <w:spacing w:before="40" w:after="40"/>
            </w:pPr>
            <w:r>
              <w:rPr>
                <w:sz w:val="19"/>
              </w:rPr>
              <w:t>Base Stages</w:t>
            </w:r>
          </w:p>
        </w:tc>
        <w:tc>
          <w:tcPr>
            <w:tcW w:type="dxa" w:w="1170"/>
            <w:tcMar>
              <w:top w:w="80" w:type="dxa"/>
              <w:bottom w:w="80" w:type="dxa"/>
              <w:left w:w="120" w:type="dxa"/>
              <w:right w:w="120" w:type="dxa"/>
            </w:tcMar>
            <w:shd w:fill="F9FAFB"/>
          </w:tcPr>
          <w:p>
            <w:pPr>
              <w:spacing w:before="40" w:after="40"/>
            </w:pPr>
            <w:r>
              <w:rPr>
                <w:sz w:val="19"/>
              </w:rPr>
              <w:t>6 canonical stages; automated default win probability; audited manual overrides with reason.</w:t>
            </w:r>
          </w:p>
        </w:tc>
      </w:tr>
      <w:tr>
        <w:tc>
          <w:tcPr>
            <w:tcW w:type="dxa" w:w="1170"/>
            <w:tcMar>
              <w:top w:w="80" w:type="dxa"/>
              <w:bottom w:w="80" w:type="dxa"/>
              <w:left w:w="120" w:type="dxa"/>
              <w:right w:w="120" w:type="dxa"/>
            </w:tcMar>
            <w:shd w:fill="FFFFFF"/>
          </w:tcPr>
          <w:p>
            <w:pPr>
              <w:spacing w:before="40" w:after="40"/>
            </w:pPr>
            <w:r>
              <w:rPr>
                <w:b/>
                <w:sz w:val="19"/>
              </w:rPr>
              <w:t>`DEMO-09`</w:t>
            </w:r>
          </w:p>
        </w:tc>
        <w:tc>
          <w:tcPr>
            <w:tcW w:type="dxa" w:w="1170"/>
            <w:tcMar>
              <w:top w:w="80" w:type="dxa"/>
              <w:bottom w:w="80" w:type="dxa"/>
              <w:left w:w="120" w:type="dxa"/>
              <w:right w:w="120" w:type="dxa"/>
            </w:tcMar>
            <w:shd w:fill="FFFFFF"/>
          </w:tcPr>
          <w:p>
            <w:pPr>
              <w:spacing w:before="40" w:after="40"/>
            </w:pPr>
            <w:r>
              <w:rPr>
                <w:sz w:val="19"/>
              </w:rPr>
              <w:t>Presales Workspace &amp; CAC</w:t>
            </w:r>
          </w:p>
        </w:tc>
        <w:tc>
          <w:tcPr>
            <w:tcW w:type="dxa" w:w="1170"/>
            <w:tcMar>
              <w:top w:w="80" w:type="dxa"/>
              <w:bottom w:w="80" w:type="dxa"/>
              <w:left w:w="120" w:type="dxa"/>
              <w:right w:w="120" w:type="dxa"/>
            </w:tcMar>
            <w:shd w:fill="FFFFFF"/>
          </w:tcPr>
          <w:p>
            <w:pPr>
              <w:spacing w:before="40" w:after="40"/>
            </w:pPr>
            <w:r>
              <w:rPr>
                <w:sz w:val="19"/>
              </w:rPr>
              <w:t>Decisions 4.1, 4.2, 4.3</w:t>
            </w:r>
          </w:p>
        </w:tc>
        <w:tc>
          <w:tcPr>
            <w:tcW w:type="dxa" w:w="1170"/>
            <w:tcMar>
              <w:top w:w="80" w:type="dxa"/>
              <w:bottom w:w="80" w:type="dxa"/>
              <w:left w:w="120" w:type="dxa"/>
              <w:right w:w="120" w:type="dxa"/>
            </w:tcMar>
            <w:shd w:fill="FFFFFF"/>
          </w:tcPr>
          <w:p>
            <w:pPr>
              <w:spacing w:before="40" w:after="40"/>
            </w:pPr>
            <w:r>
              <w:rPr>
                <w:rFonts w:ascii="Consolas" w:hAnsi="Consolas"/>
                <w:sz w:val="19"/>
              </w:rPr>
              <w:t>ProjectKind.PRESALES</w:t>
            </w:r>
            <w:r>
              <w:rPr>
                <w:sz w:val="19"/>
              </w:rPr>
              <w:t>, Timesheet CAC ledger</w:t>
            </w:r>
          </w:p>
        </w:tc>
        <w:tc>
          <w:tcPr>
            <w:tcW w:type="dxa" w:w="1170"/>
            <w:tcMar>
              <w:top w:w="80" w:type="dxa"/>
              <w:bottom w:w="80" w:type="dxa"/>
              <w:left w:w="120" w:type="dxa"/>
              <w:right w:w="120" w:type="dxa"/>
            </w:tcMar>
            <w:shd w:fill="FFFFFF"/>
          </w:tcPr>
          <w:p>
            <w:pPr>
              <w:spacing w:before="40" w:after="40"/>
            </w:pPr>
            <w:r>
              <w:rPr>
                <w:rFonts w:ascii="Consolas" w:hAnsi="Consolas"/>
                <w:sz w:val="19"/>
              </w:rPr>
              <w:t>NOT IMPLEMENTED</w:t>
            </w:r>
          </w:p>
        </w:tc>
        <w:tc>
          <w:tcPr>
            <w:tcW w:type="dxa" w:w="1170"/>
            <w:tcMar>
              <w:top w:w="80" w:type="dxa"/>
              <w:bottom w:w="80" w:type="dxa"/>
              <w:left w:w="120" w:type="dxa"/>
              <w:right w:w="120" w:type="dxa"/>
            </w:tcMar>
            <w:shd w:fill="FFFFFF"/>
          </w:tcPr>
          <w:p>
            <w:pPr>
              <w:spacing w:before="40" w:after="40"/>
            </w:pPr>
            <w:r>
              <w:rPr>
                <w:rFonts w:ascii="Consolas" w:hAnsi="Consolas"/>
                <w:sz w:val="19"/>
              </w:rPr>
              <w:t>NOT TESTED</w:t>
            </w:r>
          </w:p>
        </w:tc>
        <w:tc>
          <w:tcPr>
            <w:tcW w:type="dxa" w:w="1170"/>
            <w:tcMar>
              <w:top w:w="80" w:type="dxa"/>
              <w:bottom w:w="80" w:type="dxa"/>
              <w:left w:w="120" w:type="dxa"/>
              <w:right w:w="120" w:type="dxa"/>
            </w:tcMar>
            <w:shd w:fill="FFFFFF"/>
          </w:tcPr>
          <w:p>
            <w:pPr>
              <w:spacing w:before="40" w:after="40"/>
            </w:pPr>
            <w:r>
              <w:rPr>
                <w:rFonts w:ascii="Consolas" w:hAnsi="Consolas"/>
                <w:sz w:val="19"/>
              </w:rPr>
              <w:t>DEMO-04</w:t>
            </w:r>
          </w:p>
        </w:tc>
        <w:tc>
          <w:tcPr>
            <w:tcW w:type="dxa" w:w="1170"/>
            <w:tcMar>
              <w:top w:w="80" w:type="dxa"/>
              <w:bottom w:w="80" w:type="dxa"/>
              <w:left w:w="120" w:type="dxa"/>
              <w:right w:w="120" w:type="dxa"/>
            </w:tcMar>
            <w:shd w:fill="FFFFFF"/>
          </w:tcPr>
          <w:p>
            <w:pPr>
              <w:spacing w:before="40" w:after="40"/>
            </w:pPr>
            <w:r>
              <w:rPr>
                <w:sz w:val="19"/>
              </w:rPr>
              <w:t xml:space="preserve">Strictly opt-in at </w:t>
            </w:r>
            <w:r>
              <w:rPr>
                <w:rFonts w:ascii="Consolas" w:hAnsi="Consolas"/>
                <w:sz w:val="19"/>
              </w:rPr>
              <w:t>QUALIFIED</w:t>
            </w:r>
            <w:r>
              <w:rPr>
                <w:sz w:val="19"/>
              </w:rPr>
              <w:t>; presales hours isolated from delivery EVM/BAC.</w:t>
            </w:r>
          </w:p>
        </w:tc>
      </w:tr>
      <w:tr>
        <w:tc>
          <w:tcPr>
            <w:tcW w:type="dxa" w:w="1170"/>
            <w:tcMar>
              <w:top w:w="80" w:type="dxa"/>
              <w:bottom w:w="80" w:type="dxa"/>
              <w:left w:w="120" w:type="dxa"/>
              <w:right w:w="120" w:type="dxa"/>
            </w:tcMar>
            <w:shd w:fill="F9FAFB"/>
          </w:tcPr>
          <w:p>
            <w:pPr>
              <w:spacing w:before="40" w:after="40"/>
            </w:pPr>
            <w:r>
              <w:rPr>
                <w:b/>
                <w:sz w:val="19"/>
              </w:rPr>
              <w:t>`DEMO-10`</w:t>
            </w:r>
          </w:p>
        </w:tc>
        <w:tc>
          <w:tcPr>
            <w:tcW w:type="dxa" w:w="1170"/>
            <w:tcMar>
              <w:top w:w="80" w:type="dxa"/>
              <w:bottom w:w="80" w:type="dxa"/>
              <w:left w:w="120" w:type="dxa"/>
              <w:right w:w="120" w:type="dxa"/>
            </w:tcMar>
            <w:shd w:fill="F9FAFB"/>
          </w:tcPr>
          <w:p>
            <w:pPr>
              <w:spacing w:before="40" w:after="40"/>
            </w:pPr>
            <w:r>
              <w:rPr>
                <w:sz w:val="19"/>
              </w:rPr>
              <w:t>Margin Governance &amp; Finance SoD</w:t>
            </w:r>
          </w:p>
        </w:tc>
        <w:tc>
          <w:tcPr>
            <w:tcW w:type="dxa" w:w="1170"/>
            <w:tcMar>
              <w:top w:w="80" w:type="dxa"/>
              <w:bottom w:w="80" w:type="dxa"/>
              <w:left w:w="120" w:type="dxa"/>
              <w:right w:w="120" w:type="dxa"/>
            </w:tcMar>
            <w:shd w:fill="F9FAFB"/>
          </w:tcPr>
          <w:p>
            <w:pPr>
              <w:spacing w:before="40" w:after="40"/>
            </w:pPr>
            <w:r>
              <w:rPr>
                <w:sz w:val="19"/>
              </w:rPr>
              <w:t>Decisions 6.2, 6.3</w:t>
            </w:r>
          </w:p>
        </w:tc>
        <w:tc>
          <w:tcPr>
            <w:tcW w:type="dxa" w:w="1170"/>
            <w:tcMar>
              <w:top w:w="80" w:type="dxa"/>
              <w:bottom w:w="80" w:type="dxa"/>
              <w:left w:w="120" w:type="dxa"/>
              <w:right w:w="120" w:type="dxa"/>
            </w:tcMar>
            <w:shd w:fill="F9FAFB"/>
          </w:tcPr>
          <w:p>
            <w:pPr>
              <w:spacing w:before="40" w:after="40"/>
            </w:pPr>
            <w:r>
              <w:rPr>
                <w:rFonts w:ascii="Consolas" w:hAnsi="Consolas"/>
                <w:sz w:val="19"/>
              </w:rPr>
              <w:t>CommercialBudgetRevision</w:t>
            </w:r>
            <w:r>
              <w:rPr>
                <w:sz w:val="19"/>
              </w:rPr>
              <w:t xml:space="preserve">, </w:t>
            </w:r>
            <w:r>
              <w:rPr>
                <w:rFonts w:ascii="Consolas" w:hAnsi="Consolas"/>
                <w:sz w:val="19"/>
              </w:rPr>
              <w:t>calculateMargin()</w:t>
            </w:r>
          </w:p>
        </w:tc>
        <w:tc>
          <w:tcPr>
            <w:tcW w:type="dxa" w:w="1170"/>
            <w:tcMar>
              <w:top w:w="80" w:type="dxa"/>
              <w:bottom w:w="80" w:type="dxa"/>
              <w:left w:w="120" w:type="dxa"/>
              <w:right w:w="120" w:type="dxa"/>
            </w:tcMar>
            <w:shd w:fill="F9FAFB"/>
          </w:tcPr>
          <w:p>
            <w:pPr>
              <w:spacing w:before="40" w:after="40"/>
            </w:pPr>
            <w:r>
              <w:rPr>
                <w:rFonts w:ascii="Consolas" w:hAnsi="Consolas"/>
                <w:sz w:val="19"/>
              </w:rPr>
              <w:t>NOT IMPLEMENTED</w:t>
            </w:r>
          </w:p>
        </w:tc>
        <w:tc>
          <w:tcPr>
            <w:tcW w:type="dxa" w:w="1170"/>
            <w:tcMar>
              <w:top w:w="80" w:type="dxa"/>
              <w:bottom w:w="80" w:type="dxa"/>
              <w:left w:w="120" w:type="dxa"/>
              <w:right w:w="120" w:type="dxa"/>
            </w:tcMar>
            <w:shd w:fill="F9FAFB"/>
          </w:tcPr>
          <w:p>
            <w:pPr>
              <w:spacing w:before="40" w:after="40"/>
            </w:pPr>
            <w:r>
              <w:rPr>
                <w:rFonts w:ascii="Consolas" w:hAnsi="Consolas"/>
                <w:sz w:val="19"/>
              </w:rPr>
              <w:t>NOT TESTED</w:t>
            </w:r>
          </w:p>
        </w:tc>
        <w:tc>
          <w:tcPr>
            <w:tcW w:type="dxa" w:w="1170"/>
            <w:tcMar>
              <w:top w:w="80" w:type="dxa"/>
              <w:bottom w:w="80" w:type="dxa"/>
              <w:left w:w="120" w:type="dxa"/>
              <w:right w:w="120" w:type="dxa"/>
            </w:tcMar>
            <w:shd w:fill="F9FAFB"/>
          </w:tcPr>
          <w:p>
            <w:pPr>
              <w:spacing w:before="40" w:after="40"/>
            </w:pPr>
            <w:r>
              <w:rPr>
                <w:rFonts w:ascii="Consolas" w:hAnsi="Consolas"/>
                <w:sz w:val="19"/>
              </w:rPr>
              <w:t>DEMO-02</w:t>
            </w:r>
          </w:p>
        </w:tc>
        <w:tc>
          <w:tcPr>
            <w:tcW w:type="dxa" w:w="1170"/>
            <w:tcMar>
              <w:top w:w="80" w:type="dxa"/>
              <w:bottom w:w="80" w:type="dxa"/>
              <w:left w:w="120" w:type="dxa"/>
              <w:right w:w="120" w:type="dxa"/>
            </w:tcMar>
            <w:shd w:fill="F9FAFB"/>
          </w:tcPr>
          <w:p>
            <w:pPr>
              <w:spacing w:before="40" w:after="40"/>
            </w:pPr>
            <w:r>
              <w:rPr>
                <w:sz w:val="19"/>
              </w:rPr>
              <w:t>Configurable VAT snapshot (</w:t>
            </w:r>
            <w:r>
              <w:rPr>
                <w:rFonts w:ascii="Consolas" w:hAnsi="Consolas"/>
                <w:sz w:val="19"/>
              </w:rPr>
              <w:t>Decimal(5, 2)</w:t>
            </w:r>
            <w:r>
              <w:rPr>
                <w:sz w:val="19"/>
              </w:rPr>
              <w:t>); Separation of Duties (owner cannot approve); dual Management escalation for $&lt;20\%$.</w:t>
            </w:r>
          </w:p>
        </w:tc>
      </w:tr>
      <w:tr>
        <w:tc>
          <w:tcPr>
            <w:tcW w:type="dxa" w:w="1170"/>
            <w:tcMar>
              <w:top w:w="80" w:type="dxa"/>
              <w:bottom w:w="80" w:type="dxa"/>
              <w:left w:w="120" w:type="dxa"/>
              <w:right w:w="120" w:type="dxa"/>
            </w:tcMar>
            <w:shd w:fill="FFFFFF"/>
          </w:tcPr>
          <w:p>
            <w:pPr>
              <w:spacing w:before="40" w:after="40"/>
            </w:pPr>
            <w:r>
              <w:rPr>
                <w:b/>
                <w:sz w:val="19"/>
              </w:rPr>
              <w:t>`DEMO-11`</w:t>
            </w:r>
          </w:p>
        </w:tc>
        <w:tc>
          <w:tcPr>
            <w:tcW w:type="dxa" w:w="1170"/>
            <w:tcMar>
              <w:top w:w="80" w:type="dxa"/>
              <w:bottom w:w="80" w:type="dxa"/>
              <w:left w:w="120" w:type="dxa"/>
              <w:right w:w="120" w:type="dxa"/>
            </w:tcMar>
            <w:shd w:fill="FFFFFF"/>
          </w:tcPr>
          <w:p>
            <w:pPr>
              <w:spacing w:before="40" w:after="40"/>
            </w:pPr>
            <w:r>
              <w:rPr>
                <w:sz w:val="19"/>
              </w:rPr>
              <w:t>Project Baseline Auto-Sync</w:t>
            </w:r>
          </w:p>
        </w:tc>
        <w:tc>
          <w:tcPr>
            <w:tcW w:type="dxa" w:w="1170"/>
            <w:tcMar>
              <w:top w:w="80" w:type="dxa"/>
              <w:bottom w:w="80" w:type="dxa"/>
              <w:left w:w="120" w:type="dxa"/>
              <w:right w:w="120" w:type="dxa"/>
            </w:tcMar>
            <w:shd w:fill="FFFFFF"/>
          </w:tcPr>
          <w:p>
            <w:pPr>
              <w:spacing w:before="40" w:after="40"/>
            </w:pPr>
            <w:r>
              <w:rPr>
                <w:sz w:val="19"/>
              </w:rPr>
              <w:t>Decision 7.0</w:t>
            </w:r>
          </w:p>
        </w:tc>
        <w:tc>
          <w:tcPr>
            <w:tcW w:type="dxa" w:w="1170"/>
            <w:tcMar>
              <w:top w:w="80" w:type="dxa"/>
              <w:bottom w:w="80" w:type="dxa"/>
              <w:left w:w="120" w:type="dxa"/>
              <w:right w:w="120" w:type="dxa"/>
            </w:tcMar>
            <w:shd w:fill="FFFFFF"/>
          </w:tcPr>
          <w:p>
            <w:pPr>
              <w:spacing w:before="40" w:after="40"/>
            </w:pPr>
            <w:r>
              <w:rPr>
                <w:rFonts w:ascii="Consolas" w:hAnsi="Consolas"/>
                <w:sz w:val="19"/>
              </w:rPr>
              <w:t>ProjectBaseline</w:t>
            </w:r>
            <w:r>
              <w:rPr>
                <w:sz w:val="19"/>
              </w:rPr>
              <w:t xml:space="preserve"> (</w:t>
            </w:r>
            <w:r>
              <w:rPr>
                <w:rFonts w:ascii="Consolas" w:hAnsi="Consolas"/>
                <w:sz w:val="19"/>
              </w:rPr>
              <w:t>source: ACTIVATION / CHANGE_REQUEST</w:t>
            </w:r>
            <w:r>
              <w:rPr>
                <w:sz w:val="19"/>
              </w:rPr>
              <w:t>)</w:t>
            </w:r>
          </w:p>
        </w:tc>
        <w:tc>
          <w:tcPr>
            <w:tcW w:type="dxa" w:w="1170"/>
            <w:tcMar>
              <w:top w:w="80" w:type="dxa"/>
              <w:bottom w:w="80" w:type="dxa"/>
              <w:left w:w="120" w:type="dxa"/>
              <w:right w:w="120" w:type="dxa"/>
            </w:tcMar>
            <w:shd w:fill="FFFFFF"/>
          </w:tcPr>
          <w:p>
            <w:pPr>
              <w:spacing w:before="40" w:after="40"/>
            </w:pPr>
            <w:r>
              <w:rPr>
                <w:sz w:val="19"/>
              </w:rPr>
              <w:t xml:space="preserve">🔄 </w:t>
            </w:r>
            <w:r>
              <w:rPr>
                <w:rFonts w:ascii="Consolas" w:hAnsi="Consolas"/>
                <w:sz w:val="19"/>
              </w:rPr>
              <w:t>PARTIALLY IMPLEMENTED</w:t>
            </w:r>
            <w:r>
              <w:rPr>
                <w:sz w:val="19"/>
              </w:rPr>
              <w:t xml:space="preserve">&lt;br&gt;• Core Model: </w:t>
            </w:r>
            <w:r>
              <w:rPr>
                <w:rFonts w:ascii="Consolas" w:hAnsi="Consolas"/>
                <w:sz w:val="19"/>
              </w:rPr>
              <w:t>EXISTING</w:t>
            </w:r>
            <w:r>
              <w:rPr>
                <w:sz w:val="19"/>
              </w:rPr>
              <w:t xml:space="preserve">&lt;br&gt;• Activation Flow: </w:t>
            </w:r>
            <w:r>
              <w:rPr>
                <w:rFonts w:ascii="Consolas" w:hAnsi="Consolas"/>
                <w:sz w:val="19"/>
              </w:rPr>
              <w:t>EXISTING/PARTIAL</w:t>
            </w:r>
            <w:r>
              <w:rPr>
                <w:sz w:val="19"/>
              </w:rPr>
              <w:t xml:space="preserve">&lt;br&gt;• Commercial Auto-Sync: </w:t>
            </w:r>
            <w:r>
              <w:rPr>
                <w:rFonts w:ascii="Consolas" w:hAnsi="Consolas"/>
                <w:sz w:val="19"/>
              </w:rPr>
              <w:t>NOT IMPLEMENTED</w:t>
            </w:r>
          </w:p>
        </w:tc>
        <w:tc>
          <w:tcPr>
            <w:tcW w:type="dxa" w:w="1170"/>
            <w:tcMar>
              <w:top w:w="80" w:type="dxa"/>
              <w:bottom w:w="80" w:type="dxa"/>
              <w:left w:w="120" w:type="dxa"/>
              <w:right w:w="120" w:type="dxa"/>
            </w:tcMar>
            <w:shd w:fill="FFFFFF"/>
          </w:tcPr>
          <w:p>
            <w:pPr>
              <w:spacing w:before="40" w:after="40"/>
            </w:pPr>
            <w:r>
              <w:rPr>
                <w:rFonts w:ascii="Consolas" w:hAnsi="Consolas"/>
                <w:sz w:val="19"/>
              </w:rPr>
              <w:t>NOT TESTED</w:t>
            </w:r>
          </w:p>
        </w:tc>
        <w:tc>
          <w:tcPr>
            <w:tcW w:type="dxa" w:w="1170"/>
            <w:tcMar>
              <w:top w:w="80" w:type="dxa"/>
              <w:bottom w:w="80" w:type="dxa"/>
              <w:left w:w="120" w:type="dxa"/>
              <w:right w:w="120" w:type="dxa"/>
            </w:tcMar>
            <w:shd w:fill="FFFFFF"/>
          </w:tcPr>
          <w:p>
            <w:pPr>
              <w:spacing w:before="40" w:after="40"/>
            </w:pPr>
            <w:r>
              <w:rPr>
                <w:rFonts w:ascii="Consolas" w:hAnsi="Consolas"/>
                <w:sz w:val="19"/>
              </w:rPr>
              <w:t>DEMO-10</w:t>
            </w:r>
          </w:p>
        </w:tc>
        <w:tc>
          <w:tcPr>
            <w:tcW w:type="dxa" w:w="1170"/>
            <w:tcMar>
              <w:top w:w="80" w:type="dxa"/>
              <w:bottom w:w="80" w:type="dxa"/>
              <w:left w:w="120" w:type="dxa"/>
              <w:right w:w="120" w:type="dxa"/>
            </w:tcMar>
            <w:shd w:fill="FFFFFF"/>
          </w:tcPr>
          <w:p>
            <w:pPr>
              <w:spacing w:before="40" w:after="40"/>
            </w:pPr>
            <w:r>
              <w:rPr>
                <w:sz w:val="19"/>
              </w:rPr>
              <w:t xml:space="preserve">Auto-creates initial baseline from approved commercial revision on </w:t>
            </w:r>
            <w:r>
              <w:rPr>
                <w:rFonts w:ascii="Consolas" w:hAnsi="Consolas"/>
                <w:sz w:val="19"/>
              </w:rPr>
              <w:t>WON</w:t>
            </w:r>
            <w:r>
              <w:rPr>
                <w:sz w:val="19"/>
              </w:rPr>
              <w:t>; partial unique index enforces exactly one current baseline.</w:t>
            </w:r>
          </w:p>
        </w:tc>
      </w:tr>
      <w:tr>
        <w:tc>
          <w:tcPr>
            <w:tcW w:type="dxa" w:w="1170"/>
            <w:tcMar>
              <w:top w:w="80" w:type="dxa"/>
              <w:bottom w:w="80" w:type="dxa"/>
              <w:left w:w="120" w:type="dxa"/>
              <w:right w:w="120" w:type="dxa"/>
            </w:tcMar>
            <w:shd w:fill="F9FAFB"/>
          </w:tcPr>
          <w:p>
            <w:pPr>
              <w:spacing w:before="40" w:after="40"/>
            </w:pPr>
            <w:r>
              <w:rPr>
                <w:b/>
                <w:sz w:val="19"/>
              </w:rPr>
              <w:t>`DEMO-12 (P1)`</w:t>
            </w:r>
          </w:p>
        </w:tc>
        <w:tc>
          <w:tcPr>
            <w:tcW w:type="dxa" w:w="1170"/>
            <w:tcMar>
              <w:top w:w="80" w:type="dxa"/>
              <w:bottom w:w="80" w:type="dxa"/>
              <w:left w:w="120" w:type="dxa"/>
              <w:right w:w="120" w:type="dxa"/>
            </w:tcMar>
            <w:shd w:fill="F9FAFB"/>
          </w:tcPr>
          <w:p>
            <w:pPr>
              <w:spacing w:before="40" w:after="40"/>
            </w:pPr>
            <w:r>
              <w:rPr>
                <w:sz w:val="19"/>
              </w:rPr>
              <w:t>Project Client Attribution Hard Lock</w:t>
            </w:r>
          </w:p>
        </w:tc>
        <w:tc>
          <w:tcPr>
            <w:tcW w:type="dxa" w:w="1170"/>
            <w:tcMar>
              <w:top w:w="80" w:type="dxa"/>
              <w:bottom w:w="80" w:type="dxa"/>
              <w:left w:w="120" w:type="dxa"/>
              <w:right w:w="120" w:type="dxa"/>
            </w:tcMar>
            <w:shd w:fill="F9FAFB"/>
          </w:tcPr>
          <w:p>
            <w:pPr>
              <w:spacing w:before="40" w:after="40"/>
            </w:pPr>
            <w:r>
              <w:rPr>
                <w:sz w:val="19"/>
              </w:rPr>
              <w:t>Decision 9.0</w:t>
            </w:r>
          </w:p>
        </w:tc>
        <w:tc>
          <w:tcPr>
            <w:tcW w:type="dxa" w:w="1170"/>
            <w:tcMar>
              <w:top w:w="80" w:type="dxa"/>
              <w:bottom w:w="80" w:type="dxa"/>
              <w:left w:w="120" w:type="dxa"/>
              <w:right w:w="120" w:type="dxa"/>
            </w:tcMar>
            <w:shd w:fill="F9FAFB"/>
          </w:tcPr>
          <w:p>
            <w:pPr>
              <w:spacing w:before="40" w:after="40"/>
            </w:pPr>
            <w:r>
              <w:rPr>
                <w:rFonts w:ascii="Consolas" w:hAnsi="Consolas"/>
                <w:sz w:val="19"/>
              </w:rPr>
              <w:t>PATCH /api/projects/:id</w:t>
            </w:r>
          </w:p>
        </w:tc>
        <w:tc>
          <w:tcPr>
            <w:tcW w:type="dxa" w:w="1170"/>
            <w:tcMar>
              <w:top w:w="80" w:type="dxa"/>
              <w:bottom w:w="80" w:type="dxa"/>
              <w:left w:w="120" w:type="dxa"/>
              <w:right w:w="120" w:type="dxa"/>
            </w:tcMar>
            <w:shd w:fill="F9FAFB"/>
          </w:tcPr>
          <w:p>
            <w:pPr>
              <w:spacing w:before="40" w:after="40"/>
            </w:pPr>
            <w:r>
              <w:rPr>
                <w:rFonts w:ascii="Consolas" w:hAnsi="Consolas"/>
                <w:sz w:val="19"/>
              </w:rPr>
              <w:t>IMPLEMENTED</w:t>
            </w:r>
          </w:p>
        </w:tc>
        <w:tc>
          <w:tcPr>
            <w:tcW w:type="dxa" w:w="1170"/>
            <w:tcMar>
              <w:top w:w="80" w:type="dxa"/>
              <w:bottom w:w="80" w:type="dxa"/>
              <w:left w:w="120" w:type="dxa"/>
              <w:right w:w="120" w:type="dxa"/>
            </w:tcMar>
            <w:shd w:fill="F9FAFB"/>
          </w:tcPr>
          <w:p>
            <w:pPr>
              <w:spacing w:before="40" w:after="40"/>
            </w:pPr>
            <w:r>
              <w:rPr>
                <w:rFonts w:ascii="Consolas" w:hAnsi="Consolas"/>
                <w:sz w:val="19"/>
              </w:rPr>
              <w:t>TESTED</w:t>
            </w:r>
          </w:p>
        </w:tc>
        <w:tc>
          <w:tcPr>
            <w:tcW w:type="dxa" w:w="1170"/>
            <w:tcMar>
              <w:top w:w="80" w:type="dxa"/>
              <w:bottom w:w="80" w:type="dxa"/>
              <w:left w:w="120" w:type="dxa"/>
              <w:right w:w="120" w:type="dxa"/>
            </w:tcMar>
            <w:shd w:fill="F9FAFB"/>
          </w:tcPr>
          <w:p>
            <w:pPr>
              <w:spacing w:before="40" w:after="40"/>
            </w:pPr>
            <w:r>
              <w:rPr>
                <w:sz w:val="19"/>
              </w:rPr>
              <w:t>Live API</w:t>
            </w:r>
          </w:p>
        </w:tc>
        <w:tc>
          <w:tcPr>
            <w:tcW w:type="dxa" w:w="1170"/>
            <w:tcMar>
              <w:top w:w="80" w:type="dxa"/>
              <w:bottom w:w="80" w:type="dxa"/>
              <w:left w:w="120" w:type="dxa"/>
              <w:right w:w="120" w:type="dxa"/>
            </w:tcMar>
            <w:shd w:fill="F9FAFB"/>
          </w:tcPr>
          <w:p>
            <w:pPr>
              <w:spacing w:before="40" w:after="40"/>
            </w:pPr>
            <w:r>
              <w:rPr>
                <w:rFonts w:ascii="Consolas" w:hAnsi="Consolas"/>
                <w:sz w:val="19"/>
              </w:rPr>
              <w:t>Project.clientId</w:t>
            </w:r>
            <w:r>
              <w:rPr>
                <w:sz w:val="19"/>
              </w:rPr>
              <w:t xml:space="preserve"> locked for all roles; returns </w:t>
            </w:r>
            <w:r>
              <w:rPr>
                <w:rFonts w:ascii="Consolas" w:hAnsi="Consolas"/>
                <w:sz w:val="19"/>
              </w:rPr>
              <w:t>CLIENT_ATTRIBUTION_LOCKED</w:t>
            </w:r>
            <w:r>
              <w:rPr>
                <w:sz w:val="19"/>
              </w:rPr>
              <w:t xml:space="preserve"> (</w:t>
            </w:r>
            <w:r>
              <w:rPr>
                <w:rFonts w:ascii="Consolas" w:hAnsi="Consolas"/>
                <w:sz w:val="19"/>
              </w:rPr>
              <w:t>409</w:t>
            </w:r>
            <w:r>
              <w:rPr>
                <w:sz w:val="19"/>
              </w:rPr>
              <w:t>); read-only UI.</w:t>
            </w:r>
          </w:p>
        </w:tc>
      </w:tr>
      <w:tr>
        <w:tc>
          <w:tcPr>
            <w:tcW w:type="dxa" w:w="1170"/>
            <w:tcMar>
              <w:top w:w="80" w:type="dxa"/>
              <w:bottom w:w="80" w:type="dxa"/>
              <w:left w:w="120" w:type="dxa"/>
              <w:right w:w="120" w:type="dxa"/>
            </w:tcMar>
            <w:shd w:fill="FFFFFF"/>
          </w:tcPr>
          <w:p>
            <w:pPr>
              <w:spacing w:before="40" w:after="40"/>
            </w:pPr>
            <w:r>
              <w:rPr>
                <w:b/>
                <w:sz w:val="19"/>
              </w:rPr>
              <w:t>`DEMO-12 (P2)`</w:t>
            </w:r>
          </w:p>
        </w:tc>
        <w:tc>
          <w:tcPr>
            <w:tcW w:type="dxa" w:w="1170"/>
            <w:tcMar>
              <w:top w:w="80" w:type="dxa"/>
              <w:bottom w:w="80" w:type="dxa"/>
              <w:left w:w="120" w:type="dxa"/>
              <w:right w:w="120" w:type="dxa"/>
            </w:tcMar>
            <w:shd w:fill="FFFFFF"/>
          </w:tcPr>
          <w:p>
            <w:pPr>
              <w:spacing w:before="40" w:after="40"/>
            </w:pPr>
            <w:r>
              <w:rPr>
                <w:sz w:val="19"/>
              </w:rPr>
              <w:t>Client Attribution Dual Approval</w:t>
            </w:r>
          </w:p>
        </w:tc>
        <w:tc>
          <w:tcPr>
            <w:tcW w:type="dxa" w:w="1170"/>
            <w:tcMar>
              <w:top w:w="80" w:type="dxa"/>
              <w:bottom w:w="80" w:type="dxa"/>
              <w:left w:w="120" w:type="dxa"/>
              <w:right w:w="120" w:type="dxa"/>
            </w:tcMar>
            <w:shd w:fill="FFFFFF"/>
          </w:tcPr>
          <w:p>
            <w:pPr>
              <w:spacing w:before="40" w:after="40"/>
            </w:pPr>
            <w:r>
              <w:rPr>
                <w:sz w:val="19"/>
              </w:rPr>
              <w:t>Decision 9.0b</w:t>
            </w:r>
          </w:p>
        </w:tc>
        <w:tc>
          <w:tcPr>
            <w:tcW w:type="dxa" w:w="1170"/>
            <w:tcMar>
              <w:top w:w="80" w:type="dxa"/>
              <w:bottom w:w="80" w:type="dxa"/>
              <w:left w:w="120" w:type="dxa"/>
              <w:right w:w="120" w:type="dxa"/>
            </w:tcMar>
            <w:shd w:fill="FFFFFF"/>
          </w:tcPr>
          <w:p>
            <w:pPr>
              <w:spacing w:before="40" w:after="40"/>
            </w:pPr>
            <w:r>
              <w:rPr>
                <w:rFonts w:ascii="Consolas" w:hAnsi="Consolas"/>
                <w:sz w:val="19"/>
              </w:rPr>
              <w:t>ClientAttributionCorrection</w:t>
            </w:r>
          </w:p>
        </w:tc>
        <w:tc>
          <w:tcPr>
            <w:tcW w:type="dxa" w:w="1170"/>
            <w:tcMar>
              <w:top w:w="80" w:type="dxa"/>
              <w:bottom w:w="80" w:type="dxa"/>
              <w:left w:w="120" w:type="dxa"/>
              <w:right w:w="120" w:type="dxa"/>
            </w:tcMar>
            <w:shd w:fill="FFFFFF"/>
          </w:tcPr>
          <w:p>
            <w:pPr>
              <w:spacing w:before="40" w:after="40"/>
            </w:pPr>
            <w:r>
              <w:rPr>
                <w:rFonts w:ascii="Consolas" w:hAnsi="Consolas"/>
                <w:sz w:val="19"/>
              </w:rPr>
              <w:t>NOT IMPLEMENTED</w:t>
            </w:r>
          </w:p>
        </w:tc>
        <w:tc>
          <w:tcPr>
            <w:tcW w:type="dxa" w:w="1170"/>
            <w:tcMar>
              <w:top w:w="80" w:type="dxa"/>
              <w:bottom w:w="80" w:type="dxa"/>
              <w:left w:w="120" w:type="dxa"/>
              <w:right w:w="120" w:type="dxa"/>
            </w:tcMar>
            <w:shd w:fill="FFFFFF"/>
          </w:tcPr>
          <w:p>
            <w:pPr>
              <w:spacing w:before="40" w:after="40"/>
            </w:pPr>
            <w:r>
              <w:rPr>
                <w:rFonts w:ascii="Consolas" w:hAnsi="Consolas"/>
                <w:sz w:val="19"/>
              </w:rPr>
              <w:t>NOT TESTED</w:t>
            </w:r>
          </w:p>
        </w:tc>
        <w:tc>
          <w:tcPr>
            <w:tcW w:type="dxa" w:w="1170"/>
            <w:tcMar>
              <w:top w:w="80" w:type="dxa"/>
              <w:bottom w:w="80" w:type="dxa"/>
              <w:left w:w="120" w:type="dxa"/>
              <w:right w:w="120" w:type="dxa"/>
            </w:tcMar>
            <w:shd w:fill="FFFFFF"/>
          </w:tcPr>
          <w:p>
            <w:pPr>
              <w:spacing w:before="40" w:after="40"/>
            </w:pPr>
            <w:r>
              <w:rPr>
                <w:rFonts w:ascii="Consolas" w:hAnsi="Consolas"/>
                <w:sz w:val="19"/>
              </w:rPr>
              <w:t>DEMO-12 (P1)</w:t>
            </w:r>
          </w:p>
        </w:tc>
        <w:tc>
          <w:tcPr>
            <w:tcW w:type="dxa" w:w="1170"/>
            <w:tcMar>
              <w:top w:w="80" w:type="dxa"/>
              <w:bottom w:w="80" w:type="dxa"/>
              <w:left w:w="120" w:type="dxa"/>
              <w:right w:w="120" w:type="dxa"/>
            </w:tcMar>
            <w:shd w:fill="FFFFFF"/>
          </w:tcPr>
          <w:p>
            <w:pPr>
              <w:spacing w:before="40" w:after="40"/>
            </w:pPr>
            <w:r>
              <w:rPr>
                <w:sz w:val="19"/>
              </w:rPr>
              <w:t xml:space="preserve">Dual independent sign-off from </w:t>
            </w:r>
            <w:r>
              <w:rPr>
                <w:rFonts w:ascii="Consolas" w:hAnsi="Consolas"/>
                <w:sz w:val="19"/>
              </w:rPr>
              <w:t>MANAGEMENT</w:t>
            </w:r>
            <w:r>
              <w:rPr>
                <w:sz w:val="19"/>
              </w:rPr>
              <w:t xml:space="preserve"> and </w:t>
            </w:r>
            <w:r>
              <w:rPr>
                <w:rFonts w:ascii="Consolas" w:hAnsi="Consolas"/>
                <w:sz w:val="19"/>
              </w:rPr>
              <w:t>FINANCE</w:t>
            </w:r>
            <w:r>
              <w:rPr>
                <w:sz w:val="19"/>
              </w:rPr>
              <w:t>; strictly blocked if invoice paid (requires Novation).</w:t>
            </w:r>
          </w:p>
        </w:tc>
      </w:tr>
    </w:tbl>
    <w:p>
      <w:pPr>
        <w:spacing w:after="120" w:before="0"/>
      </w:pPr>
    </w:p>
    <w:p>
      <w:pPr>
        <w:pStyle w:val="Heading2"/>
        <w:spacing w:before="280" w:after="120"/>
      </w:pPr>
      <w:r>
        <w:rPr>
          <w:b/>
          <w:color w:val="1E56A0"/>
          <w:sz w:val="30"/>
        </w:rPr>
        <w:t>4. Go/No-Go Compliance Matrix</w:t>
      </w:r>
    </w:p>
    <w:p>
      <w:pPr>
        <w:pStyle w:val="Heading3"/>
        <w:spacing w:before="200" w:after="80"/>
      </w:pPr>
      <w:r>
        <w:rPr>
          <w:b/>
          <w:color w:val="326496"/>
          <w:sz w:val="26"/>
        </w:rPr>
        <w:t>🛑 10 NO-GO Pitfalls Evaluation (Section 18)</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EAECF0"/>
          <w:insideV w:val="none"/>
          <w:left w:val="none"/>
          <w:right w:val="none"/>
        </w:tblBorders>
      </w:tblPr>
      <w:tblGrid>
        <w:gridCol w:w="1337"/>
        <w:gridCol w:w="1337"/>
        <w:gridCol w:w="1337"/>
        <w:gridCol w:w="1337"/>
        <w:gridCol w:w="1337"/>
        <w:gridCol w:w="1337"/>
        <w:gridCol w:w="1337"/>
      </w:tblGrid>
      <w:tr>
        <w:tc>
          <w:tcPr>
            <w:tcW w:type="dxa" w:w="1337"/>
            <w:tcMar>
              <w:top w:w="80" w:type="dxa"/>
              <w:bottom w:w="80" w:type="dxa"/>
              <w:left w:w="120" w:type="dxa"/>
              <w:right w:w="120" w:type="dxa"/>
            </w:tcMar>
            <w:shd w:fill="F0F4F8"/>
          </w:tcPr>
          <w:p>
            <w:pPr>
              <w:spacing w:before="40" w:after="40"/>
            </w:pPr>
            <w:r>
              <w:rPr>
                <w:b/>
                <w:color w:val="102C57"/>
                <w:sz w:val="20"/>
              </w:rPr>
              <w:t>#</w:t>
            </w:r>
          </w:p>
        </w:tc>
        <w:tc>
          <w:tcPr>
            <w:tcW w:type="dxa" w:w="1337"/>
            <w:tcMar>
              <w:top w:w="80" w:type="dxa"/>
              <w:bottom w:w="80" w:type="dxa"/>
              <w:left w:w="120" w:type="dxa"/>
              <w:right w:w="120" w:type="dxa"/>
            </w:tcMar>
            <w:shd w:fill="F0F4F8"/>
          </w:tcPr>
          <w:p>
            <w:pPr>
              <w:spacing w:before="40" w:after="40"/>
            </w:pPr>
            <w:r>
              <w:rPr>
                <w:b/>
                <w:color w:val="102C57"/>
                <w:sz w:val="20"/>
              </w:rPr>
              <w:t>NO-GO Condition (Author Threat)</w:t>
            </w:r>
          </w:p>
        </w:tc>
        <w:tc>
          <w:tcPr>
            <w:tcW w:type="dxa" w:w="1337"/>
            <w:tcMar>
              <w:top w:w="80" w:type="dxa"/>
              <w:bottom w:w="80" w:type="dxa"/>
              <w:left w:w="120" w:type="dxa"/>
              <w:right w:w="120" w:type="dxa"/>
            </w:tcMar>
            <w:shd w:fill="F0F4F8"/>
          </w:tcPr>
          <w:p>
            <w:pPr>
              <w:spacing w:before="40" w:after="40"/>
            </w:pPr>
            <w:r>
              <w:rPr>
                <w:b/>
                <w:color w:val="102C57"/>
                <w:sz w:val="20"/>
              </w:rPr>
              <w:t>Decision Status</w:t>
            </w:r>
          </w:p>
        </w:tc>
        <w:tc>
          <w:tcPr>
            <w:tcW w:type="dxa" w:w="1337"/>
            <w:tcMar>
              <w:top w:w="80" w:type="dxa"/>
              <w:bottom w:w="80" w:type="dxa"/>
              <w:left w:w="120" w:type="dxa"/>
              <w:right w:w="120" w:type="dxa"/>
            </w:tcMar>
            <w:shd w:fill="F0F4F8"/>
          </w:tcPr>
          <w:p>
            <w:pPr>
              <w:spacing w:before="40" w:after="40"/>
            </w:pPr>
            <w:r>
              <w:rPr>
                <w:b/>
                <w:color w:val="102C57"/>
                <w:sz w:val="20"/>
              </w:rPr>
              <w:t>Design Status</w:t>
            </w:r>
          </w:p>
        </w:tc>
        <w:tc>
          <w:tcPr>
            <w:tcW w:type="dxa" w:w="1337"/>
            <w:tcMar>
              <w:top w:w="80" w:type="dxa"/>
              <w:bottom w:w="80" w:type="dxa"/>
              <w:left w:w="120" w:type="dxa"/>
              <w:right w:w="120" w:type="dxa"/>
            </w:tcMar>
            <w:shd w:fill="F0F4F8"/>
          </w:tcPr>
          <w:p>
            <w:pPr>
              <w:spacing w:before="40" w:after="40"/>
            </w:pPr>
            <w:r>
              <w:rPr>
                <w:b/>
                <w:color w:val="102C57"/>
                <w:sz w:val="20"/>
              </w:rPr>
              <w:t>Implementation Status</w:t>
            </w:r>
          </w:p>
        </w:tc>
        <w:tc>
          <w:tcPr>
            <w:tcW w:type="dxa" w:w="1337"/>
            <w:tcMar>
              <w:top w:w="80" w:type="dxa"/>
              <w:bottom w:w="80" w:type="dxa"/>
              <w:left w:w="120" w:type="dxa"/>
              <w:right w:w="120" w:type="dxa"/>
            </w:tcMar>
            <w:shd w:fill="F0F4F8"/>
          </w:tcPr>
          <w:p>
            <w:pPr>
              <w:spacing w:before="40" w:after="40"/>
            </w:pPr>
            <w:r>
              <w:rPr>
                <w:b/>
                <w:color w:val="102C57"/>
                <w:sz w:val="20"/>
              </w:rPr>
              <w:t>Test / Evidence Status</w:t>
            </w:r>
          </w:p>
        </w:tc>
        <w:tc>
          <w:tcPr>
            <w:tcW w:type="dxa" w:w="1337"/>
            <w:tcMar>
              <w:top w:w="80" w:type="dxa"/>
              <w:bottom w:w="80" w:type="dxa"/>
              <w:left w:w="120" w:type="dxa"/>
              <w:right w:w="120" w:type="dxa"/>
            </w:tcMar>
            <w:shd w:fill="F0F4F8"/>
          </w:tcPr>
          <w:p>
            <w:pPr>
              <w:spacing w:before="40" w:after="40"/>
            </w:pPr>
            <w:r>
              <w:rPr>
                <w:b/>
                <w:color w:val="102C57"/>
                <w:sz w:val="20"/>
              </w:rPr>
              <w:t>Target Safeguard &amp; Codebase Reality</w:t>
            </w:r>
          </w:p>
        </w:tc>
      </w:tr>
      <w:tr>
        <w:tc>
          <w:tcPr>
            <w:tcW w:type="dxa" w:w="1337"/>
            <w:tcMar>
              <w:top w:w="80" w:type="dxa"/>
              <w:bottom w:w="80" w:type="dxa"/>
              <w:left w:w="120" w:type="dxa"/>
              <w:right w:w="120" w:type="dxa"/>
            </w:tcMar>
            <w:shd w:fill="FFFFFF"/>
          </w:tcPr>
          <w:p>
            <w:pPr>
              <w:spacing w:before="40" w:after="40"/>
            </w:pPr>
            <w:r>
              <w:rPr>
                <w:b/>
                <w:sz w:val="19"/>
              </w:rPr>
              <w:t>1</w:t>
            </w:r>
          </w:p>
        </w:tc>
        <w:tc>
          <w:tcPr>
            <w:tcW w:type="dxa" w:w="1337"/>
            <w:tcMar>
              <w:top w:w="80" w:type="dxa"/>
              <w:bottom w:w="80" w:type="dxa"/>
              <w:left w:w="120" w:type="dxa"/>
              <w:right w:w="120" w:type="dxa"/>
            </w:tcMar>
            <w:shd w:fill="FFFFFF"/>
          </w:tcPr>
          <w:p>
            <w:pPr>
              <w:spacing w:before="40" w:after="40"/>
            </w:pPr>
            <w:r>
              <w:rPr>
                <w:i/>
                <w:sz w:val="19"/>
              </w:rPr>
              <w:t>Auto-spawn makes CLIENT OBSERVATION for every Lead</w:t>
            </w:r>
          </w:p>
        </w:tc>
        <w:tc>
          <w:tcPr>
            <w:tcW w:type="dxa" w:w="1337"/>
            <w:tcMar>
              <w:top w:w="80" w:type="dxa"/>
              <w:bottom w:w="80" w:type="dxa"/>
              <w:left w:w="120" w:type="dxa"/>
              <w:right w:w="120" w:type="dxa"/>
            </w:tcMar>
            <w:shd w:fill="FFFFFF"/>
          </w:tcPr>
          <w:p>
            <w:pPr>
              <w:spacing w:before="40" w:after="40"/>
            </w:pPr>
            <w:r>
              <w:rPr>
                <w:rFonts w:ascii="Consolas" w:hAnsi="Consolas"/>
                <w:sz w:val="19"/>
              </w:rPr>
              <w:t>PENDING APPROVAL</w:t>
            </w:r>
          </w:p>
        </w:tc>
        <w:tc>
          <w:tcPr>
            <w:tcW w:type="dxa" w:w="1337"/>
            <w:tcMar>
              <w:top w:w="80" w:type="dxa"/>
              <w:bottom w:w="80" w:type="dxa"/>
              <w:left w:w="120" w:type="dxa"/>
              <w:right w:w="120" w:type="dxa"/>
            </w:tcMar>
            <w:shd w:fill="FFFFFF"/>
          </w:tcPr>
          <w:p>
            <w:pPr>
              <w:spacing w:before="40" w:after="40"/>
            </w:pPr>
            <w:r>
              <w:rPr>
                <w:rFonts w:ascii="Consolas" w:hAnsi="Consolas"/>
                <w:sz w:val="19"/>
              </w:rPr>
              <w:t>SPECIFIED</w:t>
            </w:r>
          </w:p>
        </w:tc>
        <w:tc>
          <w:tcPr>
            <w:tcW w:type="dxa" w:w="1337"/>
            <w:tcMar>
              <w:top w:w="80" w:type="dxa"/>
              <w:bottom w:w="80" w:type="dxa"/>
              <w:left w:w="120" w:type="dxa"/>
              <w:right w:w="120" w:type="dxa"/>
            </w:tcMar>
            <w:shd w:fill="FFFFFF"/>
          </w:tcPr>
          <w:p>
            <w:pPr>
              <w:spacing w:before="40" w:after="40"/>
            </w:pPr>
            <w:r>
              <w:rPr>
                <w:rFonts w:ascii="Consolas" w:hAnsi="Consolas"/>
                <w:sz w:val="19"/>
              </w:rPr>
              <w:t>NOT IMPLEMENTED</w:t>
            </w:r>
          </w:p>
        </w:tc>
        <w:tc>
          <w:tcPr>
            <w:tcW w:type="dxa" w:w="1337"/>
            <w:tcMar>
              <w:top w:w="80" w:type="dxa"/>
              <w:bottom w:w="80" w:type="dxa"/>
              <w:left w:w="120" w:type="dxa"/>
              <w:right w:w="120" w:type="dxa"/>
            </w:tcMar>
            <w:shd w:fill="FFFFFF"/>
          </w:tcPr>
          <w:p>
            <w:pPr>
              <w:spacing w:before="40" w:after="40"/>
            </w:pPr>
            <w:r>
              <w:rPr>
                <w:rFonts w:ascii="Consolas" w:hAnsi="Consolas"/>
                <w:sz w:val="19"/>
              </w:rPr>
              <w:t>NOT TESTED</w:t>
            </w:r>
          </w:p>
        </w:tc>
        <w:tc>
          <w:tcPr>
            <w:tcW w:type="dxa" w:w="1337"/>
            <w:tcMar>
              <w:top w:w="80" w:type="dxa"/>
              <w:bottom w:w="80" w:type="dxa"/>
              <w:left w:w="120" w:type="dxa"/>
              <w:right w:w="120" w:type="dxa"/>
            </w:tcMar>
            <w:shd w:fill="FFFFFF"/>
          </w:tcPr>
          <w:p>
            <w:pPr>
              <w:spacing w:before="40" w:after="40"/>
            </w:pPr>
            <w:r>
              <w:rPr>
                <w:b/>
                <w:sz w:val="19"/>
              </w:rPr>
              <w:t>Target Safeguard</w:t>
            </w:r>
            <w:r>
              <w:rPr>
                <w:sz w:val="19"/>
              </w:rPr>
              <w:t>: Opt-in restricted PRESALES workspace; zero auto-spawning on lead creation.</w:t>
            </w:r>
          </w:p>
        </w:tc>
      </w:tr>
      <w:tr>
        <w:tc>
          <w:tcPr>
            <w:tcW w:type="dxa" w:w="1337"/>
            <w:tcMar>
              <w:top w:w="80" w:type="dxa"/>
              <w:bottom w:w="80" w:type="dxa"/>
              <w:left w:w="120" w:type="dxa"/>
              <w:right w:w="120" w:type="dxa"/>
            </w:tcMar>
            <w:shd w:fill="F9FAFB"/>
          </w:tcPr>
          <w:p>
            <w:pPr>
              <w:spacing w:before="40" w:after="40"/>
            </w:pPr>
            <w:r>
              <w:rPr>
                <w:b/>
                <w:sz w:val="19"/>
              </w:rPr>
              <w:t>2</w:t>
            </w:r>
          </w:p>
        </w:tc>
        <w:tc>
          <w:tcPr>
            <w:tcW w:type="dxa" w:w="1337"/>
            <w:tcMar>
              <w:top w:w="80" w:type="dxa"/>
              <w:bottom w:w="80" w:type="dxa"/>
              <w:left w:w="120" w:type="dxa"/>
              <w:right w:w="120" w:type="dxa"/>
            </w:tcMar>
            <w:shd w:fill="F9FAFB"/>
          </w:tcPr>
          <w:p>
            <w:pPr>
              <w:spacing w:before="40" w:after="40"/>
            </w:pPr>
            <w:r>
              <w:rPr>
                <w:i/>
                <w:sz w:val="19"/>
              </w:rPr>
              <w:t>Lead ID preview treated as reserved</w:t>
            </w:r>
          </w:p>
        </w:tc>
        <w:tc>
          <w:tcPr>
            <w:tcW w:type="dxa" w:w="1337"/>
            <w:tcMar>
              <w:top w:w="80" w:type="dxa"/>
              <w:bottom w:w="80" w:type="dxa"/>
              <w:left w:w="120" w:type="dxa"/>
              <w:right w:w="120" w:type="dxa"/>
            </w:tcMar>
            <w:shd w:fill="F9FAFB"/>
          </w:tcPr>
          <w:p>
            <w:pPr>
              <w:spacing w:before="40" w:after="40"/>
            </w:pPr>
            <w:r>
              <w:rPr>
                <w:rFonts w:ascii="Consolas" w:hAnsi="Consolas"/>
                <w:sz w:val="19"/>
              </w:rPr>
              <w:t>PENDING APPROVAL</w:t>
            </w:r>
          </w:p>
        </w:tc>
        <w:tc>
          <w:tcPr>
            <w:tcW w:type="dxa" w:w="1337"/>
            <w:tcMar>
              <w:top w:w="80" w:type="dxa"/>
              <w:bottom w:w="80" w:type="dxa"/>
              <w:left w:w="120" w:type="dxa"/>
              <w:right w:w="120" w:type="dxa"/>
            </w:tcMar>
            <w:shd w:fill="F9FAFB"/>
          </w:tcPr>
          <w:p>
            <w:pPr>
              <w:spacing w:before="40" w:after="40"/>
            </w:pPr>
            <w:r>
              <w:rPr>
                <w:rFonts w:ascii="Consolas" w:hAnsi="Consolas"/>
                <w:sz w:val="19"/>
              </w:rPr>
              <w:t>SPECIFIED</w:t>
            </w:r>
          </w:p>
        </w:tc>
        <w:tc>
          <w:tcPr>
            <w:tcW w:type="dxa" w:w="1337"/>
            <w:tcMar>
              <w:top w:w="80" w:type="dxa"/>
              <w:bottom w:w="80" w:type="dxa"/>
              <w:left w:w="120" w:type="dxa"/>
              <w:right w:w="120" w:type="dxa"/>
            </w:tcMar>
            <w:shd w:fill="F9FAFB"/>
          </w:tcPr>
          <w:p>
            <w:pPr>
              <w:spacing w:before="40" w:after="40"/>
            </w:pPr>
            <w:r>
              <w:rPr>
                <w:rFonts w:ascii="Consolas" w:hAnsi="Consolas"/>
                <w:sz w:val="19"/>
              </w:rPr>
              <w:t>NOT IMPLEMENTED</w:t>
            </w:r>
          </w:p>
        </w:tc>
        <w:tc>
          <w:tcPr>
            <w:tcW w:type="dxa" w:w="1337"/>
            <w:tcMar>
              <w:top w:w="80" w:type="dxa"/>
              <w:bottom w:w="80" w:type="dxa"/>
              <w:left w:w="120" w:type="dxa"/>
              <w:right w:w="120" w:type="dxa"/>
            </w:tcMar>
            <w:shd w:fill="F9FAFB"/>
          </w:tcPr>
          <w:p>
            <w:pPr>
              <w:spacing w:before="40" w:after="40"/>
            </w:pPr>
            <w:r>
              <w:rPr>
                <w:rFonts w:ascii="Consolas" w:hAnsi="Consolas"/>
                <w:sz w:val="19"/>
              </w:rPr>
              <w:t>NOT TESTED</w:t>
            </w:r>
          </w:p>
        </w:tc>
        <w:tc>
          <w:tcPr>
            <w:tcW w:type="dxa" w:w="1337"/>
            <w:tcMar>
              <w:top w:w="80" w:type="dxa"/>
              <w:bottom w:w="80" w:type="dxa"/>
              <w:left w:w="120" w:type="dxa"/>
              <w:right w:w="120" w:type="dxa"/>
            </w:tcMar>
            <w:shd w:fill="F9FAFB"/>
          </w:tcPr>
          <w:p>
            <w:pPr>
              <w:spacing w:before="40" w:after="40"/>
            </w:pPr>
            <w:r>
              <w:rPr>
                <w:b/>
                <w:sz w:val="19"/>
              </w:rPr>
              <w:t>Target Safeguard</w:t>
            </w:r>
            <w:r>
              <w:rPr>
                <w:sz w:val="19"/>
              </w:rPr>
              <w:t>: UI badge is non-authoritative; sequence allocated atomically on DB commit.</w:t>
            </w:r>
          </w:p>
        </w:tc>
      </w:tr>
      <w:tr>
        <w:tc>
          <w:tcPr>
            <w:tcW w:type="dxa" w:w="1337"/>
            <w:tcMar>
              <w:top w:w="80" w:type="dxa"/>
              <w:bottom w:w="80" w:type="dxa"/>
              <w:left w:w="120" w:type="dxa"/>
              <w:right w:w="120" w:type="dxa"/>
            </w:tcMar>
            <w:shd w:fill="FFFFFF"/>
          </w:tcPr>
          <w:p>
            <w:pPr>
              <w:spacing w:before="40" w:after="40"/>
            </w:pPr>
            <w:r>
              <w:rPr>
                <w:b/>
                <w:sz w:val="19"/>
              </w:rPr>
              <w:t>3</w:t>
            </w:r>
          </w:p>
        </w:tc>
        <w:tc>
          <w:tcPr>
            <w:tcW w:type="dxa" w:w="1337"/>
            <w:tcMar>
              <w:top w:w="80" w:type="dxa"/>
              <w:bottom w:w="80" w:type="dxa"/>
              <w:left w:w="120" w:type="dxa"/>
              <w:right w:w="120" w:type="dxa"/>
            </w:tcMar>
            <w:shd w:fill="FFFFFF"/>
          </w:tcPr>
          <w:p>
            <w:pPr>
              <w:spacing w:before="40" w:after="40"/>
            </w:pPr>
            <w:r>
              <w:rPr>
                <w:i/>
                <w:sz w:val="19"/>
              </w:rPr>
              <w:t>Lineage / contact validated in UI only</w:t>
            </w:r>
          </w:p>
        </w:tc>
        <w:tc>
          <w:tcPr>
            <w:tcW w:type="dxa" w:w="1337"/>
            <w:tcMar>
              <w:top w:w="80" w:type="dxa"/>
              <w:bottom w:w="80" w:type="dxa"/>
              <w:left w:w="120" w:type="dxa"/>
              <w:right w:w="120" w:type="dxa"/>
            </w:tcMar>
            <w:shd w:fill="FFFFFF"/>
          </w:tcPr>
          <w:p>
            <w:pPr>
              <w:spacing w:before="40" w:after="40"/>
            </w:pPr>
            <w:r>
              <w:rPr>
                <w:rFonts w:ascii="Consolas" w:hAnsi="Consolas"/>
                <w:sz w:val="19"/>
              </w:rPr>
              <w:t>PENDING APPROVAL</w:t>
            </w:r>
          </w:p>
        </w:tc>
        <w:tc>
          <w:tcPr>
            <w:tcW w:type="dxa" w:w="1337"/>
            <w:tcMar>
              <w:top w:w="80" w:type="dxa"/>
              <w:bottom w:w="80" w:type="dxa"/>
              <w:left w:w="120" w:type="dxa"/>
              <w:right w:w="120" w:type="dxa"/>
            </w:tcMar>
            <w:shd w:fill="FFFFFF"/>
          </w:tcPr>
          <w:p>
            <w:pPr>
              <w:spacing w:before="40" w:after="40"/>
            </w:pPr>
            <w:r>
              <w:rPr>
                <w:rFonts w:ascii="Consolas" w:hAnsi="Consolas"/>
                <w:sz w:val="19"/>
              </w:rPr>
              <w:t>SPECIFIED</w:t>
            </w:r>
          </w:p>
        </w:tc>
        <w:tc>
          <w:tcPr>
            <w:tcW w:type="dxa" w:w="1337"/>
            <w:tcMar>
              <w:top w:w="80" w:type="dxa"/>
              <w:bottom w:w="80" w:type="dxa"/>
              <w:left w:w="120" w:type="dxa"/>
              <w:right w:w="120" w:type="dxa"/>
            </w:tcMar>
            <w:shd w:fill="FFFFFF"/>
          </w:tcPr>
          <w:p>
            <w:pPr>
              <w:spacing w:before="40" w:after="40"/>
            </w:pPr>
            <w:r>
              <w:rPr>
                <w:rFonts w:ascii="Consolas" w:hAnsi="Consolas"/>
                <w:sz w:val="19"/>
              </w:rPr>
              <w:t>NOT IMPLEMENTED</w:t>
            </w:r>
          </w:p>
        </w:tc>
        <w:tc>
          <w:tcPr>
            <w:tcW w:type="dxa" w:w="1337"/>
            <w:tcMar>
              <w:top w:w="80" w:type="dxa"/>
              <w:bottom w:w="80" w:type="dxa"/>
              <w:left w:w="120" w:type="dxa"/>
              <w:right w:w="120" w:type="dxa"/>
            </w:tcMar>
            <w:shd w:fill="FFFFFF"/>
          </w:tcPr>
          <w:p>
            <w:pPr>
              <w:spacing w:before="40" w:after="40"/>
            </w:pPr>
            <w:r>
              <w:rPr>
                <w:rFonts w:ascii="Consolas" w:hAnsi="Consolas"/>
                <w:sz w:val="19"/>
              </w:rPr>
              <w:t>NOT TESTED</w:t>
            </w:r>
          </w:p>
        </w:tc>
        <w:tc>
          <w:tcPr>
            <w:tcW w:type="dxa" w:w="1337"/>
            <w:tcMar>
              <w:top w:w="80" w:type="dxa"/>
              <w:bottom w:w="80" w:type="dxa"/>
              <w:left w:w="120" w:type="dxa"/>
              <w:right w:w="120" w:type="dxa"/>
            </w:tcMar>
            <w:shd w:fill="FFFFFF"/>
          </w:tcPr>
          <w:p>
            <w:pPr>
              <w:spacing w:before="40" w:after="40"/>
            </w:pPr>
            <w:r>
              <w:rPr>
                <w:b/>
                <w:sz w:val="19"/>
              </w:rPr>
              <w:t>Target Safeguard</w:t>
            </w:r>
            <w:r>
              <w:rPr>
                <w:sz w:val="19"/>
              </w:rPr>
              <w:t>: Multi-tenant isolation and same-client validation enforced server-side.</w:t>
            </w:r>
          </w:p>
        </w:tc>
      </w:tr>
      <w:tr>
        <w:tc>
          <w:tcPr>
            <w:tcW w:type="dxa" w:w="1337"/>
            <w:tcMar>
              <w:top w:w="80" w:type="dxa"/>
              <w:bottom w:w="80" w:type="dxa"/>
              <w:left w:w="120" w:type="dxa"/>
              <w:right w:w="120" w:type="dxa"/>
            </w:tcMar>
            <w:shd w:fill="F9FAFB"/>
          </w:tcPr>
          <w:p>
            <w:pPr>
              <w:spacing w:before="40" w:after="40"/>
            </w:pPr>
            <w:r>
              <w:rPr>
                <w:b/>
                <w:sz w:val="19"/>
              </w:rPr>
              <w:t>4</w:t>
            </w:r>
          </w:p>
        </w:tc>
        <w:tc>
          <w:tcPr>
            <w:tcW w:type="dxa" w:w="1337"/>
            <w:tcMar>
              <w:top w:w="80" w:type="dxa"/>
              <w:bottom w:w="80" w:type="dxa"/>
              <w:left w:w="120" w:type="dxa"/>
              <w:right w:w="120" w:type="dxa"/>
            </w:tcMar>
            <w:shd w:fill="F9FAFB"/>
          </w:tcPr>
          <w:p>
            <w:pPr>
              <w:spacing w:before="40" w:after="40"/>
            </w:pPr>
            <w:r>
              <w:rPr>
                <w:i/>
                <w:sz w:val="19"/>
              </w:rPr>
              <w:t>Approval is only a timestamp on mutable Lead</w:t>
            </w:r>
          </w:p>
        </w:tc>
        <w:tc>
          <w:tcPr>
            <w:tcW w:type="dxa" w:w="1337"/>
            <w:tcMar>
              <w:top w:w="80" w:type="dxa"/>
              <w:bottom w:w="80" w:type="dxa"/>
              <w:left w:w="120" w:type="dxa"/>
              <w:right w:w="120" w:type="dxa"/>
            </w:tcMar>
            <w:shd w:fill="F9FAFB"/>
          </w:tcPr>
          <w:p>
            <w:pPr>
              <w:spacing w:before="40" w:after="40"/>
            </w:pPr>
            <w:r>
              <w:rPr>
                <w:rFonts w:ascii="Consolas" w:hAnsi="Consolas"/>
                <w:sz w:val="19"/>
              </w:rPr>
              <w:t>PENDING APPROVAL</w:t>
            </w:r>
          </w:p>
        </w:tc>
        <w:tc>
          <w:tcPr>
            <w:tcW w:type="dxa" w:w="1337"/>
            <w:tcMar>
              <w:top w:w="80" w:type="dxa"/>
              <w:bottom w:w="80" w:type="dxa"/>
              <w:left w:w="120" w:type="dxa"/>
              <w:right w:w="120" w:type="dxa"/>
            </w:tcMar>
            <w:shd w:fill="F9FAFB"/>
          </w:tcPr>
          <w:p>
            <w:pPr>
              <w:spacing w:before="40" w:after="40"/>
            </w:pPr>
            <w:r>
              <w:rPr>
                <w:rFonts w:ascii="Consolas" w:hAnsi="Consolas"/>
                <w:sz w:val="19"/>
              </w:rPr>
              <w:t>SPECIFIED</w:t>
            </w:r>
          </w:p>
        </w:tc>
        <w:tc>
          <w:tcPr>
            <w:tcW w:type="dxa" w:w="1337"/>
            <w:tcMar>
              <w:top w:w="80" w:type="dxa"/>
              <w:bottom w:w="80" w:type="dxa"/>
              <w:left w:w="120" w:type="dxa"/>
              <w:right w:w="120" w:type="dxa"/>
            </w:tcMar>
            <w:shd w:fill="F9FAFB"/>
          </w:tcPr>
          <w:p>
            <w:pPr>
              <w:spacing w:before="40" w:after="40"/>
            </w:pPr>
            <w:r>
              <w:rPr>
                <w:rFonts w:ascii="Consolas" w:hAnsi="Consolas"/>
                <w:sz w:val="19"/>
              </w:rPr>
              <w:t>NOT IMPLEMENTED</w:t>
            </w:r>
          </w:p>
        </w:tc>
        <w:tc>
          <w:tcPr>
            <w:tcW w:type="dxa" w:w="1337"/>
            <w:tcMar>
              <w:top w:w="80" w:type="dxa"/>
              <w:bottom w:w="80" w:type="dxa"/>
              <w:left w:w="120" w:type="dxa"/>
              <w:right w:w="120" w:type="dxa"/>
            </w:tcMar>
            <w:shd w:fill="F9FAFB"/>
          </w:tcPr>
          <w:p>
            <w:pPr>
              <w:spacing w:before="40" w:after="40"/>
            </w:pPr>
            <w:r>
              <w:rPr>
                <w:rFonts w:ascii="Consolas" w:hAnsi="Consolas"/>
                <w:sz w:val="19"/>
              </w:rPr>
              <w:t>NOT TESTED</w:t>
            </w:r>
          </w:p>
        </w:tc>
        <w:tc>
          <w:tcPr>
            <w:tcW w:type="dxa" w:w="1337"/>
            <w:tcMar>
              <w:top w:w="80" w:type="dxa"/>
              <w:bottom w:w="80" w:type="dxa"/>
              <w:left w:w="120" w:type="dxa"/>
              <w:right w:w="120" w:type="dxa"/>
            </w:tcMar>
            <w:shd w:fill="F9FAFB"/>
          </w:tcPr>
          <w:p>
            <w:pPr>
              <w:spacing w:before="40" w:after="40"/>
            </w:pPr>
            <w:r>
              <w:rPr>
                <w:b/>
                <w:sz w:val="19"/>
              </w:rPr>
              <w:t>Target Safeguard</w:t>
            </w:r>
            <w:r>
              <w:rPr>
                <w:sz w:val="19"/>
              </w:rPr>
              <w:t xml:space="preserve">: Immutable </w:t>
            </w:r>
            <w:r>
              <w:rPr>
                <w:rFonts w:ascii="Consolas" w:hAnsi="Consolas"/>
                <w:sz w:val="19"/>
              </w:rPr>
              <w:t>CommercialBudgetRevision</w:t>
            </w:r>
            <w:r>
              <w:rPr>
                <w:sz w:val="19"/>
              </w:rPr>
              <w:t xml:space="preserve"> hash binding; edits create new revisions.</w:t>
            </w:r>
          </w:p>
        </w:tc>
      </w:tr>
      <w:tr>
        <w:tc>
          <w:tcPr>
            <w:tcW w:type="dxa" w:w="1337"/>
            <w:tcMar>
              <w:top w:w="80" w:type="dxa"/>
              <w:bottom w:w="80" w:type="dxa"/>
              <w:left w:w="120" w:type="dxa"/>
              <w:right w:w="120" w:type="dxa"/>
            </w:tcMar>
            <w:shd w:fill="FFFFFF"/>
          </w:tcPr>
          <w:p>
            <w:pPr>
              <w:spacing w:before="40" w:after="40"/>
            </w:pPr>
            <w:r>
              <w:rPr>
                <w:b/>
                <w:sz w:val="19"/>
              </w:rPr>
              <w:t>5</w:t>
            </w:r>
          </w:p>
        </w:tc>
        <w:tc>
          <w:tcPr>
            <w:tcW w:type="dxa" w:w="1337"/>
            <w:tcMar>
              <w:top w:w="80" w:type="dxa"/>
              <w:bottom w:w="80" w:type="dxa"/>
              <w:left w:w="120" w:type="dxa"/>
              <w:right w:w="120" w:type="dxa"/>
            </w:tcMar>
            <w:shd w:fill="FFFFFF"/>
          </w:tcPr>
          <w:p>
            <w:pPr>
              <w:spacing w:before="40" w:after="40"/>
            </w:pPr>
            <w:r>
              <w:rPr>
                <w:i/>
                <w:sz w:val="19"/>
              </w:rPr>
              <w:t>Manual and Pipedrive margins calculate differently</w:t>
            </w:r>
          </w:p>
        </w:tc>
        <w:tc>
          <w:tcPr>
            <w:tcW w:type="dxa" w:w="1337"/>
            <w:tcMar>
              <w:top w:w="80" w:type="dxa"/>
              <w:bottom w:w="80" w:type="dxa"/>
              <w:left w:w="120" w:type="dxa"/>
              <w:right w:w="120" w:type="dxa"/>
            </w:tcMar>
            <w:shd w:fill="FFFFFF"/>
          </w:tcPr>
          <w:p>
            <w:pPr>
              <w:spacing w:before="40" w:after="40"/>
            </w:pPr>
            <w:r>
              <w:rPr>
                <w:rFonts w:ascii="Consolas" w:hAnsi="Consolas"/>
                <w:sz w:val="19"/>
              </w:rPr>
              <w:t>PENDING APPROVAL</w:t>
            </w:r>
          </w:p>
        </w:tc>
        <w:tc>
          <w:tcPr>
            <w:tcW w:type="dxa" w:w="1337"/>
            <w:tcMar>
              <w:top w:w="80" w:type="dxa"/>
              <w:bottom w:w="80" w:type="dxa"/>
              <w:left w:w="120" w:type="dxa"/>
              <w:right w:w="120" w:type="dxa"/>
            </w:tcMar>
            <w:shd w:fill="FFFFFF"/>
          </w:tcPr>
          <w:p>
            <w:pPr>
              <w:spacing w:before="40" w:after="40"/>
            </w:pPr>
            <w:r>
              <w:rPr>
                <w:rFonts w:ascii="Consolas" w:hAnsi="Consolas"/>
                <w:sz w:val="19"/>
              </w:rPr>
              <w:t>SPECIFIED</w:t>
            </w:r>
          </w:p>
        </w:tc>
        <w:tc>
          <w:tcPr>
            <w:tcW w:type="dxa" w:w="1337"/>
            <w:tcMar>
              <w:top w:w="80" w:type="dxa"/>
              <w:bottom w:w="80" w:type="dxa"/>
              <w:left w:w="120" w:type="dxa"/>
              <w:right w:w="120" w:type="dxa"/>
            </w:tcMar>
            <w:shd w:fill="FFFFFF"/>
          </w:tcPr>
          <w:p>
            <w:pPr>
              <w:spacing w:before="40" w:after="40"/>
            </w:pPr>
            <w:r>
              <w:rPr>
                <w:rFonts w:ascii="Consolas" w:hAnsi="Consolas"/>
                <w:sz w:val="19"/>
              </w:rPr>
              <w:t>NOT IMPLEMENTED</w:t>
            </w:r>
          </w:p>
        </w:tc>
        <w:tc>
          <w:tcPr>
            <w:tcW w:type="dxa" w:w="1337"/>
            <w:tcMar>
              <w:top w:w="80" w:type="dxa"/>
              <w:bottom w:w="80" w:type="dxa"/>
              <w:left w:w="120" w:type="dxa"/>
              <w:right w:w="120" w:type="dxa"/>
            </w:tcMar>
            <w:shd w:fill="FFFFFF"/>
          </w:tcPr>
          <w:p>
            <w:pPr>
              <w:spacing w:before="40" w:after="40"/>
            </w:pPr>
            <w:r>
              <w:rPr>
                <w:rFonts w:ascii="Consolas" w:hAnsi="Consolas"/>
                <w:sz w:val="19"/>
              </w:rPr>
              <w:t>NOT TESTED</w:t>
            </w:r>
          </w:p>
        </w:tc>
        <w:tc>
          <w:tcPr>
            <w:tcW w:type="dxa" w:w="1337"/>
            <w:tcMar>
              <w:top w:w="80" w:type="dxa"/>
              <w:bottom w:w="80" w:type="dxa"/>
              <w:left w:w="120" w:type="dxa"/>
              <w:right w:w="120" w:type="dxa"/>
            </w:tcMar>
            <w:shd w:fill="FFFFFF"/>
          </w:tcPr>
          <w:p>
            <w:pPr>
              <w:spacing w:before="40" w:after="40"/>
            </w:pPr>
            <w:r>
              <w:rPr>
                <w:b/>
                <w:sz w:val="19"/>
              </w:rPr>
              <w:t>Target Safeguard</w:t>
            </w:r>
            <w:r>
              <w:rPr>
                <w:sz w:val="19"/>
              </w:rPr>
              <w:t xml:space="preserve">: Unified </w:t>
            </w:r>
            <w:r>
              <w:rPr>
                <w:rFonts w:ascii="Consolas" w:hAnsi="Consolas"/>
                <w:sz w:val="19"/>
              </w:rPr>
              <w:t>calculateMargin()</w:t>
            </w:r>
            <w:r>
              <w:rPr>
                <w:sz w:val="19"/>
              </w:rPr>
              <w:t xml:space="preserve"> engine shared across manual and CRM deals.</w:t>
            </w:r>
          </w:p>
        </w:tc>
      </w:tr>
      <w:tr>
        <w:tc>
          <w:tcPr>
            <w:tcW w:type="dxa" w:w="1337"/>
            <w:tcMar>
              <w:top w:w="80" w:type="dxa"/>
              <w:bottom w:w="80" w:type="dxa"/>
              <w:left w:w="120" w:type="dxa"/>
              <w:right w:w="120" w:type="dxa"/>
            </w:tcMar>
            <w:shd w:fill="F9FAFB"/>
          </w:tcPr>
          <w:p>
            <w:pPr>
              <w:spacing w:before="40" w:after="40"/>
            </w:pPr>
            <w:r>
              <w:rPr>
                <w:b/>
                <w:sz w:val="19"/>
              </w:rPr>
              <w:t>6</w:t>
            </w:r>
          </w:p>
        </w:tc>
        <w:tc>
          <w:tcPr>
            <w:tcW w:type="dxa" w:w="1337"/>
            <w:tcMar>
              <w:top w:w="80" w:type="dxa"/>
              <w:bottom w:w="80" w:type="dxa"/>
              <w:left w:w="120" w:type="dxa"/>
              <w:right w:w="120" w:type="dxa"/>
            </w:tcMar>
            <w:shd w:fill="F9FAFB"/>
          </w:tcPr>
          <w:p>
            <w:pPr>
              <w:spacing w:before="40" w:after="40"/>
            </w:pPr>
            <w:r>
              <w:rPr>
                <w:i/>
                <w:sz w:val="19"/>
              </w:rPr>
              <w:t>approve-margin auto-creates delivery Project</w:t>
            </w:r>
          </w:p>
        </w:tc>
        <w:tc>
          <w:tcPr>
            <w:tcW w:type="dxa" w:w="1337"/>
            <w:tcMar>
              <w:top w:w="80" w:type="dxa"/>
              <w:bottom w:w="80" w:type="dxa"/>
              <w:left w:w="120" w:type="dxa"/>
              <w:right w:w="120" w:type="dxa"/>
            </w:tcMar>
            <w:shd w:fill="F9FAFB"/>
          </w:tcPr>
          <w:p>
            <w:pPr>
              <w:spacing w:before="40" w:after="40"/>
            </w:pPr>
            <w:r>
              <w:rPr>
                <w:rFonts w:ascii="Consolas" w:hAnsi="Consolas"/>
                <w:sz w:val="19"/>
              </w:rPr>
              <w:t>PENDING APPROVAL</w:t>
            </w:r>
          </w:p>
        </w:tc>
        <w:tc>
          <w:tcPr>
            <w:tcW w:type="dxa" w:w="1337"/>
            <w:tcMar>
              <w:top w:w="80" w:type="dxa"/>
              <w:bottom w:w="80" w:type="dxa"/>
              <w:left w:w="120" w:type="dxa"/>
              <w:right w:w="120" w:type="dxa"/>
            </w:tcMar>
            <w:shd w:fill="F9FAFB"/>
          </w:tcPr>
          <w:p>
            <w:pPr>
              <w:spacing w:before="40" w:after="40"/>
            </w:pPr>
            <w:r>
              <w:rPr>
                <w:rFonts w:ascii="Consolas" w:hAnsi="Consolas"/>
                <w:sz w:val="19"/>
              </w:rPr>
              <w:t>SPECIFIED</w:t>
            </w:r>
          </w:p>
        </w:tc>
        <w:tc>
          <w:tcPr>
            <w:tcW w:type="dxa" w:w="1337"/>
            <w:tcMar>
              <w:top w:w="80" w:type="dxa"/>
              <w:bottom w:w="80" w:type="dxa"/>
              <w:left w:w="120" w:type="dxa"/>
              <w:right w:w="120" w:type="dxa"/>
            </w:tcMar>
            <w:shd w:fill="F9FAFB"/>
          </w:tcPr>
          <w:p>
            <w:pPr>
              <w:spacing w:before="40" w:after="40"/>
            </w:pPr>
            <w:r>
              <w:rPr>
                <w:rFonts w:ascii="Consolas" w:hAnsi="Consolas"/>
                <w:sz w:val="19"/>
              </w:rPr>
              <w:t>NOT IMPLEMENTED</w:t>
            </w:r>
          </w:p>
        </w:tc>
        <w:tc>
          <w:tcPr>
            <w:tcW w:type="dxa" w:w="1337"/>
            <w:tcMar>
              <w:top w:w="80" w:type="dxa"/>
              <w:bottom w:w="80" w:type="dxa"/>
              <w:left w:w="120" w:type="dxa"/>
              <w:right w:w="120" w:type="dxa"/>
            </w:tcMar>
            <w:shd w:fill="F9FAFB"/>
          </w:tcPr>
          <w:p>
            <w:pPr>
              <w:spacing w:before="40" w:after="40"/>
            </w:pPr>
            <w:r>
              <w:rPr>
                <w:rFonts w:ascii="Consolas" w:hAnsi="Consolas"/>
                <w:sz w:val="19"/>
              </w:rPr>
              <w:t>NOT TESTED</w:t>
            </w:r>
          </w:p>
        </w:tc>
        <w:tc>
          <w:tcPr>
            <w:tcW w:type="dxa" w:w="1337"/>
            <w:tcMar>
              <w:top w:w="80" w:type="dxa"/>
              <w:bottom w:w="80" w:type="dxa"/>
              <w:left w:w="120" w:type="dxa"/>
              <w:right w:w="120" w:type="dxa"/>
            </w:tcMar>
            <w:shd w:fill="F9FAFB"/>
          </w:tcPr>
          <w:p>
            <w:pPr>
              <w:spacing w:before="40" w:after="40"/>
            </w:pPr>
            <w:r>
              <w:rPr>
                <w:b/>
                <w:sz w:val="19"/>
              </w:rPr>
              <w:t>Target Safeguard</w:t>
            </w:r>
            <w:r>
              <w:rPr>
                <w:sz w:val="19"/>
              </w:rPr>
              <w:t xml:space="preserve">: Approval only unlocks sales stages; delivery project created strictly on </w:t>
            </w:r>
            <w:r>
              <w:rPr>
                <w:rFonts w:ascii="Consolas" w:hAnsi="Consolas"/>
                <w:sz w:val="19"/>
              </w:rPr>
              <w:t>WON</w:t>
            </w:r>
            <w:r>
              <w:rPr>
                <w:sz w:val="19"/>
              </w:rPr>
              <w:t>.</w:t>
            </w:r>
          </w:p>
        </w:tc>
      </w:tr>
      <w:tr>
        <w:tc>
          <w:tcPr>
            <w:tcW w:type="dxa" w:w="1337"/>
            <w:tcMar>
              <w:top w:w="80" w:type="dxa"/>
              <w:bottom w:w="80" w:type="dxa"/>
              <w:left w:w="120" w:type="dxa"/>
              <w:right w:w="120" w:type="dxa"/>
            </w:tcMar>
            <w:shd w:fill="FFFFFF"/>
          </w:tcPr>
          <w:p>
            <w:pPr>
              <w:spacing w:before="40" w:after="40"/>
            </w:pPr>
            <w:r>
              <w:rPr>
                <w:b/>
                <w:sz w:val="19"/>
              </w:rPr>
              <w:t>7</w:t>
            </w:r>
          </w:p>
        </w:tc>
        <w:tc>
          <w:tcPr>
            <w:tcW w:type="dxa" w:w="1337"/>
            <w:tcMar>
              <w:top w:w="80" w:type="dxa"/>
              <w:bottom w:w="80" w:type="dxa"/>
              <w:left w:w="120" w:type="dxa"/>
              <w:right w:w="120" w:type="dxa"/>
            </w:tcMar>
            <w:shd w:fill="FFFFFF"/>
          </w:tcPr>
          <w:p>
            <w:pPr>
              <w:spacing w:before="40" w:after="40"/>
            </w:pPr>
            <w:r>
              <w:rPr>
                <w:i/>
                <w:sz w:val="19"/>
              </w:rPr>
              <w:t>New baseline engine outside ProjectBaseline</w:t>
            </w:r>
          </w:p>
        </w:tc>
        <w:tc>
          <w:tcPr>
            <w:tcW w:type="dxa" w:w="1337"/>
            <w:tcMar>
              <w:top w:w="80" w:type="dxa"/>
              <w:bottom w:w="80" w:type="dxa"/>
              <w:left w:w="120" w:type="dxa"/>
              <w:right w:w="120" w:type="dxa"/>
            </w:tcMar>
            <w:shd w:fill="FFFFFF"/>
          </w:tcPr>
          <w:p>
            <w:pPr>
              <w:spacing w:before="40" w:after="40"/>
            </w:pPr>
            <w:r>
              <w:rPr>
                <w:rFonts w:ascii="Consolas" w:hAnsi="Consolas"/>
                <w:sz w:val="19"/>
              </w:rPr>
              <w:t>PENDING APPROVAL</w:t>
            </w:r>
          </w:p>
        </w:tc>
        <w:tc>
          <w:tcPr>
            <w:tcW w:type="dxa" w:w="1337"/>
            <w:tcMar>
              <w:top w:w="80" w:type="dxa"/>
              <w:bottom w:w="80" w:type="dxa"/>
              <w:left w:w="120" w:type="dxa"/>
              <w:right w:w="120" w:type="dxa"/>
            </w:tcMar>
            <w:shd w:fill="FFFFFF"/>
          </w:tcPr>
          <w:p>
            <w:pPr>
              <w:spacing w:before="40" w:after="40"/>
            </w:pPr>
            <w:r>
              <w:rPr>
                <w:rFonts w:ascii="Consolas" w:hAnsi="Consolas"/>
                <w:sz w:val="19"/>
              </w:rPr>
              <w:t>SPECIFIED</w:t>
            </w:r>
          </w:p>
        </w:tc>
        <w:tc>
          <w:tcPr>
            <w:tcW w:type="dxa" w:w="1337"/>
            <w:tcMar>
              <w:top w:w="80" w:type="dxa"/>
              <w:bottom w:w="80" w:type="dxa"/>
              <w:left w:w="120" w:type="dxa"/>
              <w:right w:w="120" w:type="dxa"/>
            </w:tcMar>
            <w:shd w:fill="FFFFFF"/>
          </w:tcPr>
          <w:p>
            <w:pPr>
              <w:spacing w:before="40" w:after="40"/>
            </w:pPr>
            <w:r>
              <w:rPr>
                <w:rFonts w:ascii="Consolas" w:hAnsi="Consolas"/>
                <w:sz w:val="19"/>
              </w:rPr>
              <w:t>PARTIALLY IMPLEMENTED</w:t>
            </w:r>
          </w:p>
        </w:tc>
        <w:tc>
          <w:tcPr>
            <w:tcW w:type="dxa" w:w="1337"/>
            <w:tcMar>
              <w:top w:w="80" w:type="dxa"/>
              <w:bottom w:w="80" w:type="dxa"/>
              <w:left w:w="120" w:type="dxa"/>
              <w:right w:w="120" w:type="dxa"/>
            </w:tcMar>
            <w:shd w:fill="FFFFFF"/>
          </w:tcPr>
          <w:p>
            <w:pPr>
              <w:spacing w:before="40" w:after="40"/>
            </w:pPr>
            <w:r>
              <w:rPr>
                <w:rFonts w:ascii="Consolas" w:hAnsi="Consolas"/>
                <w:sz w:val="19"/>
              </w:rPr>
              <w:t>NOT TESTED</w:t>
            </w:r>
          </w:p>
        </w:tc>
        <w:tc>
          <w:tcPr>
            <w:tcW w:type="dxa" w:w="1337"/>
            <w:tcMar>
              <w:top w:w="80" w:type="dxa"/>
              <w:bottom w:w="80" w:type="dxa"/>
              <w:left w:w="120" w:type="dxa"/>
              <w:right w:w="120" w:type="dxa"/>
            </w:tcMar>
            <w:shd w:fill="FFFFFF"/>
          </w:tcPr>
          <w:p>
            <w:pPr>
              <w:spacing w:before="40" w:after="40"/>
            </w:pPr>
            <w:r>
              <w:rPr>
                <w:b/>
                <w:sz w:val="19"/>
              </w:rPr>
              <w:t>Target Safeguard</w:t>
            </w:r>
            <w:r>
              <w:rPr>
                <w:sz w:val="19"/>
              </w:rPr>
              <w:t xml:space="preserve">: Reuses and extends existing </w:t>
            </w:r>
            <w:r>
              <w:rPr>
                <w:rFonts w:ascii="Consolas" w:hAnsi="Consolas"/>
                <w:sz w:val="19"/>
              </w:rPr>
              <w:t>ProjectBaseline</w:t>
            </w:r>
            <w:r>
              <w:rPr>
                <w:sz w:val="19"/>
              </w:rPr>
              <w:t xml:space="preserve"> (</w:t>
            </w:r>
            <w:r>
              <w:rPr>
                <w:rFonts w:ascii="Consolas" w:hAnsi="Consolas"/>
                <w:sz w:val="19"/>
              </w:rPr>
              <w:t>source: ACTIVATION / CHANGE_REQUEST</w:t>
            </w:r>
            <w:r>
              <w:rPr>
                <w:sz w:val="19"/>
              </w:rPr>
              <w:t>).</w:t>
            </w:r>
          </w:p>
        </w:tc>
      </w:tr>
      <w:tr>
        <w:tc>
          <w:tcPr>
            <w:tcW w:type="dxa" w:w="1337"/>
            <w:tcMar>
              <w:top w:w="80" w:type="dxa"/>
              <w:bottom w:w="80" w:type="dxa"/>
              <w:left w:w="120" w:type="dxa"/>
              <w:right w:w="120" w:type="dxa"/>
            </w:tcMar>
            <w:shd w:fill="F9FAFB"/>
          </w:tcPr>
          <w:p>
            <w:pPr>
              <w:spacing w:before="40" w:after="40"/>
            </w:pPr>
            <w:r>
              <w:rPr>
                <w:b/>
                <w:sz w:val="19"/>
              </w:rPr>
              <w:t>8</w:t>
            </w:r>
          </w:p>
        </w:tc>
        <w:tc>
          <w:tcPr>
            <w:tcW w:type="dxa" w:w="1337"/>
            <w:tcMar>
              <w:top w:w="80" w:type="dxa"/>
              <w:bottom w:w="80" w:type="dxa"/>
              <w:left w:w="120" w:type="dxa"/>
              <w:right w:w="120" w:type="dxa"/>
            </w:tcMar>
            <w:shd w:fill="F9FAFB"/>
          </w:tcPr>
          <w:p>
            <w:pPr>
              <w:spacing w:before="40" w:after="40"/>
            </w:pPr>
            <w:r>
              <w:rPr>
                <w:i/>
                <w:sz w:val="19"/>
              </w:rPr>
              <w:t>Client.name permanently frozen</w:t>
            </w:r>
          </w:p>
        </w:tc>
        <w:tc>
          <w:tcPr>
            <w:tcW w:type="dxa" w:w="1337"/>
            <w:tcMar>
              <w:top w:w="80" w:type="dxa"/>
              <w:bottom w:w="80" w:type="dxa"/>
              <w:left w:w="120" w:type="dxa"/>
              <w:right w:w="120" w:type="dxa"/>
            </w:tcMar>
            <w:shd w:fill="F9FAFB"/>
          </w:tcPr>
          <w:p>
            <w:pPr>
              <w:spacing w:before="40" w:after="40"/>
            </w:pPr>
            <w:r>
              <w:rPr>
                <w:rFonts w:ascii="Consolas" w:hAnsi="Consolas"/>
                <w:sz w:val="19"/>
              </w:rPr>
              <w:t>APPROVED / IMPLEMENTED</w:t>
            </w:r>
          </w:p>
        </w:tc>
        <w:tc>
          <w:tcPr>
            <w:tcW w:type="dxa" w:w="1337"/>
            <w:tcMar>
              <w:top w:w="80" w:type="dxa"/>
              <w:bottom w:w="80" w:type="dxa"/>
              <w:left w:w="120" w:type="dxa"/>
              <w:right w:w="120" w:type="dxa"/>
            </w:tcMar>
            <w:shd w:fill="F9FAFB"/>
          </w:tcPr>
          <w:p>
            <w:pPr>
              <w:spacing w:before="40" w:after="40"/>
            </w:pPr>
            <w:r>
              <w:rPr>
                <w:rFonts w:ascii="Consolas" w:hAnsi="Consolas"/>
                <w:sz w:val="19"/>
              </w:rPr>
              <w:t>SPECIFIED</w:t>
            </w:r>
          </w:p>
        </w:tc>
        <w:tc>
          <w:tcPr>
            <w:tcW w:type="dxa" w:w="1337"/>
            <w:tcMar>
              <w:top w:w="80" w:type="dxa"/>
              <w:bottom w:w="80" w:type="dxa"/>
              <w:left w:w="120" w:type="dxa"/>
              <w:right w:w="120" w:type="dxa"/>
            </w:tcMar>
            <w:shd w:fill="F9FAFB"/>
          </w:tcPr>
          <w:p>
            <w:pPr>
              <w:spacing w:before="40" w:after="40"/>
            </w:pPr>
            <w:r>
              <w:rPr>
                <w:rFonts w:ascii="Consolas" w:hAnsi="Consolas"/>
                <w:sz w:val="19"/>
              </w:rPr>
              <w:t>IMPLEMENTED</w:t>
            </w:r>
            <w:r>
              <w:rPr>
                <w:sz w:val="19"/>
              </w:rPr>
              <w:t xml:space="preserve"> (Phase 1)</w:t>
            </w:r>
          </w:p>
        </w:tc>
        <w:tc>
          <w:tcPr>
            <w:tcW w:type="dxa" w:w="1337"/>
            <w:tcMar>
              <w:top w:w="80" w:type="dxa"/>
              <w:bottom w:w="80" w:type="dxa"/>
              <w:left w:w="120" w:type="dxa"/>
              <w:right w:w="120" w:type="dxa"/>
            </w:tcMar>
            <w:shd w:fill="F9FAFB"/>
          </w:tcPr>
          <w:p>
            <w:pPr>
              <w:spacing w:before="40" w:after="40"/>
            </w:pPr>
            <w:r>
              <w:rPr>
                <w:rFonts w:ascii="Consolas" w:hAnsi="Consolas"/>
                <w:sz w:val="19"/>
              </w:rPr>
              <w:t>TESTED</w:t>
            </w:r>
            <w:r>
              <w:rPr>
                <w:sz w:val="19"/>
              </w:rPr>
              <w:t xml:space="preserve"> (Phase 1)</w:t>
            </w:r>
          </w:p>
        </w:tc>
        <w:tc>
          <w:tcPr>
            <w:tcW w:type="dxa" w:w="1337"/>
            <w:tcMar>
              <w:top w:w="80" w:type="dxa"/>
              <w:bottom w:w="80" w:type="dxa"/>
              <w:left w:w="120" w:type="dxa"/>
              <w:right w:w="120" w:type="dxa"/>
            </w:tcMar>
            <w:shd w:fill="F9FAFB"/>
          </w:tcPr>
          <w:p>
            <w:pPr>
              <w:spacing w:before="40" w:after="40"/>
            </w:pPr>
            <w:r>
              <w:rPr>
                <w:b/>
                <w:sz w:val="19"/>
              </w:rPr>
              <w:t>Target Safeguard</w:t>
            </w:r>
            <w:r>
              <w:rPr>
                <w:sz w:val="19"/>
              </w:rPr>
              <w:t xml:space="preserve">: Locks </w:t>
            </w:r>
            <w:r>
              <w:rPr>
                <w:rFonts w:ascii="Consolas" w:hAnsi="Consolas"/>
                <w:sz w:val="19"/>
              </w:rPr>
              <w:t>Project.clientId</w:t>
            </w:r>
            <w:r>
              <w:rPr>
                <w:sz w:val="19"/>
              </w:rPr>
              <w:t xml:space="preserve"> (</w:t>
            </w:r>
            <w:r>
              <w:rPr>
                <w:rFonts w:ascii="Consolas" w:hAnsi="Consolas"/>
                <w:sz w:val="19"/>
              </w:rPr>
              <w:t>CLIENT_ATTRIBUTION_LOCKED</w:t>
            </w:r>
            <w:r>
              <w:rPr>
                <w:sz w:val="19"/>
              </w:rPr>
              <w:t xml:space="preserve">) while keeping </w:t>
            </w:r>
            <w:r>
              <w:rPr>
                <w:rFonts w:ascii="Consolas" w:hAnsi="Consolas"/>
                <w:sz w:val="19"/>
              </w:rPr>
              <w:t>Client.name</w:t>
            </w:r>
            <w:r>
              <w:rPr>
                <w:sz w:val="19"/>
              </w:rPr>
              <w:t xml:space="preserve"> editable.</w:t>
            </w:r>
          </w:p>
        </w:tc>
      </w:tr>
      <w:tr>
        <w:tc>
          <w:tcPr>
            <w:tcW w:type="dxa" w:w="1337"/>
            <w:tcMar>
              <w:top w:w="80" w:type="dxa"/>
              <w:bottom w:w="80" w:type="dxa"/>
              <w:left w:w="120" w:type="dxa"/>
              <w:right w:w="120" w:type="dxa"/>
            </w:tcMar>
            <w:shd w:fill="FFFFFF"/>
          </w:tcPr>
          <w:p>
            <w:pPr>
              <w:spacing w:before="40" w:after="40"/>
            </w:pPr>
            <w:r>
              <w:rPr>
                <w:b/>
                <w:sz w:val="19"/>
              </w:rPr>
              <w:t>9</w:t>
            </w:r>
          </w:p>
        </w:tc>
        <w:tc>
          <w:tcPr>
            <w:tcW w:type="dxa" w:w="1337"/>
            <w:tcMar>
              <w:top w:w="80" w:type="dxa"/>
              <w:bottom w:w="80" w:type="dxa"/>
              <w:left w:w="120" w:type="dxa"/>
              <w:right w:w="120" w:type="dxa"/>
            </w:tcMar>
            <w:shd w:fill="FFFFFF"/>
          </w:tcPr>
          <w:p>
            <w:pPr>
              <w:spacing w:before="40" w:after="40"/>
            </w:pPr>
            <w:r>
              <w:rPr>
                <w:i/>
                <w:sz w:val="19"/>
              </w:rPr>
              <w:t>New fields mandatory before imports are ready</w:t>
            </w:r>
          </w:p>
        </w:tc>
        <w:tc>
          <w:tcPr>
            <w:tcW w:type="dxa" w:w="1337"/>
            <w:tcMar>
              <w:top w:w="80" w:type="dxa"/>
              <w:bottom w:w="80" w:type="dxa"/>
              <w:left w:w="120" w:type="dxa"/>
              <w:right w:w="120" w:type="dxa"/>
            </w:tcMar>
            <w:shd w:fill="FFFFFF"/>
          </w:tcPr>
          <w:p>
            <w:pPr>
              <w:spacing w:before="40" w:after="40"/>
            </w:pPr>
            <w:r>
              <w:rPr>
                <w:rFonts w:ascii="Consolas" w:hAnsi="Consolas"/>
                <w:sz w:val="19"/>
              </w:rPr>
              <w:t>PENDING APPROVAL</w:t>
            </w:r>
          </w:p>
        </w:tc>
        <w:tc>
          <w:tcPr>
            <w:tcW w:type="dxa" w:w="1337"/>
            <w:tcMar>
              <w:top w:w="80" w:type="dxa"/>
              <w:bottom w:w="80" w:type="dxa"/>
              <w:left w:w="120" w:type="dxa"/>
              <w:right w:w="120" w:type="dxa"/>
            </w:tcMar>
            <w:shd w:fill="FFFFFF"/>
          </w:tcPr>
          <w:p>
            <w:pPr>
              <w:spacing w:before="40" w:after="40"/>
            </w:pPr>
            <w:r>
              <w:rPr>
                <w:rFonts w:ascii="Consolas" w:hAnsi="Consolas"/>
                <w:sz w:val="19"/>
              </w:rPr>
              <w:t>SPECIFIED</w:t>
            </w:r>
          </w:p>
        </w:tc>
        <w:tc>
          <w:tcPr>
            <w:tcW w:type="dxa" w:w="1337"/>
            <w:tcMar>
              <w:top w:w="80" w:type="dxa"/>
              <w:bottom w:w="80" w:type="dxa"/>
              <w:left w:w="120" w:type="dxa"/>
              <w:right w:w="120" w:type="dxa"/>
            </w:tcMar>
            <w:shd w:fill="FFFFFF"/>
          </w:tcPr>
          <w:p>
            <w:pPr>
              <w:spacing w:before="40" w:after="40"/>
            </w:pPr>
            <w:r>
              <w:rPr>
                <w:rFonts w:ascii="Consolas" w:hAnsi="Consolas"/>
                <w:sz w:val="19"/>
              </w:rPr>
              <w:t>NOT IMPLEMENTED</w:t>
            </w:r>
          </w:p>
        </w:tc>
        <w:tc>
          <w:tcPr>
            <w:tcW w:type="dxa" w:w="1337"/>
            <w:tcMar>
              <w:top w:w="80" w:type="dxa"/>
              <w:bottom w:w="80" w:type="dxa"/>
              <w:left w:w="120" w:type="dxa"/>
              <w:right w:w="120" w:type="dxa"/>
            </w:tcMar>
            <w:shd w:fill="FFFFFF"/>
          </w:tcPr>
          <w:p>
            <w:pPr>
              <w:spacing w:before="40" w:after="40"/>
            </w:pPr>
            <w:r>
              <w:rPr>
                <w:rFonts w:ascii="Consolas" w:hAnsi="Consolas"/>
                <w:sz w:val="19"/>
              </w:rPr>
              <w:t>NOT TESTED</w:t>
            </w:r>
          </w:p>
        </w:tc>
        <w:tc>
          <w:tcPr>
            <w:tcW w:type="dxa" w:w="1337"/>
            <w:tcMar>
              <w:top w:w="80" w:type="dxa"/>
              <w:bottom w:w="80" w:type="dxa"/>
              <w:left w:w="120" w:type="dxa"/>
              <w:right w:w="120" w:type="dxa"/>
            </w:tcMar>
            <w:shd w:fill="FFFFFF"/>
          </w:tcPr>
          <w:p>
            <w:pPr>
              <w:spacing w:before="40" w:after="40"/>
            </w:pPr>
            <w:r>
              <w:rPr>
                <w:b/>
                <w:sz w:val="19"/>
              </w:rPr>
              <w:t>Target Safeguard</w:t>
            </w:r>
            <w:r>
              <w:rPr>
                <w:sz w:val="19"/>
              </w:rPr>
              <w:t xml:space="preserve">: Optional at </w:t>
            </w:r>
            <w:r>
              <w:rPr>
                <w:rFonts w:ascii="Consolas" w:hAnsi="Consolas"/>
                <w:sz w:val="19"/>
              </w:rPr>
              <w:t>NEW</w:t>
            </w:r>
            <w:r>
              <w:rPr>
                <w:sz w:val="19"/>
              </w:rPr>
              <w:t xml:space="preserve"> stage; mandatory validation enforced at </w:t>
            </w:r>
            <w:r>
              <w:rPr>
                <w:rFonts w:ascii="Consolas" w:hAnsi="Consolas"/>
                <w:sz w:val="19"/>
              </w:rPr>
              <w:t>QUALIFIED</w:t>
            </w:r>
            <w:r>
              <w:rPr>
                <w:sz w:val="19"/>
              </w:rPr>
              <w:t>/</w:t>
            </w:r>
            <w:r>
              <w:rPr>
                <w:rFonts w:ascii="Consolas" w:hAnsi="Consolas"/>
                <w:sz w:val="19"/>
              </w:rPr>
              <w:t>PROPOSAL</w:t>
            </w:r>
            <w:r>
              <w:rPr>
                <w:sz w:val="19"/>
              </w:rPr>
              <w:t>.</w:t>
            </w:r>
          </w:p>
        </w:tc>
      </w:tr>
      <w:tr>
        <w:tc>
          <w:tcPr>
            <w:tcW w:type="dxa" w:w="1337"/>
            <w:tcMar>
              <w:top w:w="80" w:type="dxa"/>
              <w:bottom w:w="80" w:type="dxa"/>
              <w:left w:w="120" w:type="dxa"/>
              <w:right w:w="120" w:type="dxa"/>
            </w:tcMar>
            <w:shd w:fill="F9FAFB"/>
          </w:tcPr>
          <w:p>
            <w:pPr>
              <w:spacing w:before="40" w:after="40"/>
            </w:pPr>
            <w:r>
              <w:rPr>
                <w:b/>
                <w:sz w:val="19"/>
              </w:rPr>
              <w:t>10</w:t>
            </w:r>
          </w:p>
        </w:tc>
        <w:tc>
          <w:tcPr>
            <w:tcW w:type="dxa" w:w="1337"/>
            <w:tcMar>
              <w:top w:w="80" w:type="dxa"/>
              <w:bottom w:w="80" w:type="dxa"/>
              <w:left w:w="120" w:type="dxa"/>
              <w:right w:w="120" w:type="dxa"/>
            </w:tcMar>
            <w:shd w:fill="F9FAFB"/>
          </w:tcPr>
          <w:p>
            <w:pPr>
              <w:spacing w:before="40" w:after="40"/>
            </w:pPr>
            <w:r>
              <w:rPr>
                <w:i/>
                <w:sz w:val="19"/>
              </w:rPr>
              <w:t>New Float fields without precision policy</w:t>
            </w:r>
          </w:p>
        </w:tc>
        <w:tc>
          <w:tcPr>
            <w:tcW w:type="dxa" w:w="1337"/>
            <w:tcMar>
              <w:top w:w="80" w:type="dxa"/>
              <w:bottom w:w="80" w:type="dxa"/>
              <w:left w:w="120" w:type="dxa"/>
              <w:right w:w="120" w:type="dxa"/>
            </w:tcMar>
            <w:shd w:fill="F9FAFB"/>
          </w:tcPr>
          <w:p>
            <w:pPr>
              <w:spacing w:before="40" w:after="40"/>
            </w:pPr>
            <w:r>
              <w:rPr>
                <w:rFonts w:ascii="Consolas" w:hAnsi="Consolas"/>
                <w:sz w:val="19"/>
              </w:rPr>
              <w:t>PENDING APPROVAL</w:t>
            </w:r>
          </w:p>
        </w:tc>
        <w:tc>
          <w:tcPr>
            <w:tcW w:type="dxa" w:w="1337"/>
            <w:tcMar>
              <w:top w:w="80" w:type="dxa"/>
              <w:bottom w:w="80" w:type="dxa"/>
              <w:left w:w="120" w:type="dxa"/>
              <w:right w:w="120" w:type="dxa"/>
            </w:tcMar>
            <w:shd w:fill="F9FAFB"/>
          </w:tcPr>
          <w:p>
            <w:pPr>
              <w:spacing w:before="40" w:after="40"/>
            </w:pPr>
            <w:r>
              <w:rPr>
                <w:rFonts w:ascii="Consolas" w:hAnsi="Consolas"/>
                <w:sz w:val="19"/>
              </w:rPr>
              <w:t>SPECIFIED</w:t>
            </w:r>
          </w:p>
        </w:tc>
        <w:tc>
          <w:tcPr>
            <w:tcW w:type="dxa" w:w="1337"/>
            <w:tcMar>
              <w:top w:w="80" w:type="dxa"/>
              <w:bottom w:w="80" w:type="dxa"/>
              <w:left w:w="120" w:type="dxa"/>
              <w:right w:w="120" w:type="dxa"/>
            </w:tcMar>
            <w:shd w:fill="F9FAFB"/>
          </w:tcPr>
          <w:p>
            <w:pPr>
              <w:spacing w:before="40" w:after="40"/>
            </w:pPr>
            <w:r>
              <w:rPr>
                <w:rFonts w:ascii="Consolas" w:hAnsi="Consolas"/>
                <w:sz w:val="19"/>
              </w:rPr>
              <w:t>NOT IMPLEMENTED</w:t>
            </w:r>
          </w:p>
        </w:tc>
        <w:tc>
          <w:tcPr>
            <w:tcW w:type="dxa" w:w="1337"/>
            <w:tcMar>
              <w:top w:w="80" w:type="dxa"/>
              <w:bottom w:w="80" w:type="dxa"/>
              <w:left w:w="120" w:type="dxa"/>
              <w:right w:w="120" w:type="dxa"/>
            </w:tcMar>
            <w:shd w:fill="F9FAFB"/>
          </w:tcPr>
          <w:p>
            <w:pPr>
              <w:spacing w:before="40" w:after="40"/>
            </w:pPr>
            <w:r>
              <w:rPr>
                <w:rFonts w:ascii="Consolas" w:hAnsi="Consolas"/>
                <w:sz w:val="19"/>
              </w:rPr>
              <w:t>NOT TESTED</w:t>
            </w:r>
          </w:p>
        </w:tc>
        <w:tc>
          <w:tcPr>
            <w:tcW w:type="dxa" w:w="1337"/>
            <w:tcMar>
              <w:top w:w="80" w:type="dxa"/>
              <w:bottom w:w="80" w:type="dxa"/>
              <w:left w:w="120" w:type="dxa"/>
              <w:right w:w="120" w:type="dxa"/>
            </w:tcMar>
            <w:shd w:fill="F9FAFB"/>
          </w:tcPr>
          <w:p>
            <w:pPr>
              <w:spacing w:before="40" w:after="40"/>
            </w:pPr>
            <w:r>
              <w:rPr>
                <w:b/>
                <w:sz w:val="19"/>
              </w:rPr>
              <w:t>Target Safeguard</w:t>
            </w:r>
            <w:r>
              <w:rPr>
                <w:sz w:val="19"/>
              </w:rPr>
              <w:t xml:space="preserve">: Strict </w:t>
            </w:r>
            <w:r>
              <w:rPr>
                <w:rFonts w:ascii="Consolas" w:hAnsi="Consolas"/>
                <w:sz w:val="19"/>
              </w:rPr>
              <w:t>Decimal</w:t>
            </w:r>
            <w:r>
              <w:rPr>
                <w:sz w:val="19"/>
              </w:rPr>
              <w:t xml:space="preserve"> precision policy and explicit rounding rules.</w:t>
            </w:r>
          </w:p>
        </w:tc>
      </w:tr>
    </w:tbl>
    <w:p>
      <w:pPr>
        <w:spacing w:after="120" w:before="0"/>
      </w:pPr>
    </w:p>
    <w:p>
      <w:pPr>
        <w:pStyle w:val="Heading3"/>
        <w:spacing w:before="200" w:after="80"/>
      </w:pPr>
      <w:r>
        <w:rPr>
          <w:b/>
          <w:color w:val="326496"/>
          <w:sz w:val="26"/>
        </w:rPr>
        <w:t>🟢 8 GO Prerequisites Evaluation (Section 18)</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EAECF0"/>
          <w:insideV w:val="none"/>
          <w:left w:val="none"/>
          <w:right w:val="none"/>
        </w:tblBorders>
      </w:tblPr>
      <w:tblGrid>
        <w:gridCol w:w="1337"/>
        <w:gridCol w:w="1337"/>
        <w:gridCol w:w="1337"/>
        <w:gridCol w:w="1337"/>
        <w:gridCol w:w="1337"/>
        <w:gridCol w:w="1337"/>
        <w:gridCol w:w="1337"/>
      </w:tblGrid>
      <w:tr>
        <w:tc>
          <w:tcPr>
            <w:tcW w:type="dxa" w:w="1337"/>
            <w:tcMar>
              <w:top w:w="80" w:type="dxa"/>
              <w:bottom w:w="80" w:type="dxa"/>
              <w:left w:w="120" w:type="dxa"/>
              <w:right w:w="120" w:type="dxa"/>
            </w:tcMar>
            <w:shd w:fill="F0F4F8"/>
          </w:tcPr>
          <w:p>
            <w:pPr>
              <w:spacing w:before="40" w:after="40"/>
            </w:pPr>
            <w:r>
              <w:rPr>
                <w:b/>
                <w:color w:val="102C57"/>
                <w:sz w:val="20"/>
              </w:rPr>
              <w:t>#</w:t>
            </w:r>
          </w:p>
        </w:tc>
        <w:tc>
          <w:tcPr>
            <w:tcW w:type="dxa" w:w="1337"/>
            <w:tcMar>
              <w:top w:w="80" w:type="dxa"/>
              <w:bottom w:w="80" w:type="dxa"/>
              <w:left w:w="120" w:type="dxa"/>
              <w:right w:w="120" w:type="dxa"/>
            </w:tcMar>
            <w:shd w:fill="F0F4F8"/>
          </w:tcPr>
          <w:p>
            <w:pPr>
              <w:spacing w:before="40" w:after="40"/>
            </w:pPr>
            <w:r>
              <w:rPr>
                <w:b/>
                <w:color w:val="102C57"/>
                <w:sz w:val="20"/>
              </w:rPr>
              <w:t>GO Prerequisite (Author Requirement)</w:t>
            </w:r>
          </w:p>
        </w:tc>
        <w:tc>
          <w:tcPr>
            <w:tcW w:type="dxa" w:w="1337"/>
            <w:tcMar>
              <w:top w:w="80" w:type="dxa"/>
              <w:bottom w:w="80" w:type="dxa"/>
              <w:left w:w="120" w:type="dxa"/>
              <w:right w:w="120" w:type="dxa"/>
            </w:tcMar>
            <w:shd w:fill="F0F4F8"/>
          </w:tcPr>
          <w:p>
            <w:pPr>
              <w:spacing w:before="40" w:after="40"/>
            </w:pPr>
            <w:r>
              <w:rPr>
                <w:b/>
                <w:color w:val="102C57"/>
                <w:sz w:val="20"/>
              </w:rPr>
              <w:t>Decision Status</w:t>
            </w:r>
          </w:p>
        </w:tc>
        <w:tc>
          <w:tcPr>
            <w:tcW w:type="dxa" w:w="1337"/>
            <w:tcMar>
              <w:top w:w="80" w:type="dxa"/>
              <w:bottom w:w="80" w:type="dxa"/>
              <w:left w:w="120" w:type="dxa"/>
              <w:right w:w="120" w:type="dxa"/>
            </w:tcMar>
            <w:shd w:fill="F0F4F8"/>
          </w:tcPr>
          <w:p>
            <w:pPr>
              <w:spacing w:before="40" w:after="40"/>
            </w:pPr>
            <w:r>
              <w:rPr>
                <w:b/>
                <w:color w:val="102C57"/>
                <w:sz w:val="20"/>
              </w:rPr>
              <w:t>Design Status</w:t>
            </w:r>
          </w:p>
        </w:tc>
        <w:tc>
          <w:tcPr>
            <w:tcW w:type="dxa" w:w="1337"/>
            <w:tcMar>
              <w:top w:w="80" w:type="dxa"/>
              <w:bottom w:w="80" w:type="dxa"/>
              <w:left w:w="120" w:type="dxa"/>
              <w:right w:w="120" w:type="dxa"/>
            </w:tcMar>
            <w:shd w:fill="F0F4F8"/>
          </w:tcPr>
          <w:p>
            <w:pPr>
              <w:spacing w:before="40" w:after="40"/>
            </w:pPr>
            <w:r>
              <w:rPr>
                <w:b/>
                <w:color w:val="102C57"/>
                <w:sz w:val="20"/>
              </w:rPr>
              <w:t>Implementation Status</w:t>
            </w:r>
          </w:p>
        </w:tc>
        <w:tc>
          <w:tcPr>
            <w:tcW w:type="dxa" w:w="1337"/>
            <w:tcMar>
              <w:top w:w="80" w:type="dxa"/>
              <w:bottom w:w="80" w:type="dxa"/>
              <w:left w:w="120" w:type="dxa"/>
              <w:right w:w="120" w:type="dxa"/>
            </w:tcMar>
            <w:shd w:fill="F0F4F8"/>
          </w:tcPr>
          <w:p>
            <w:pPr>
              <w:spacing w:before="40" w:after="40"/>
            </w:pPr>
            <w:r>
              <w:rPr>
                <w:b/>
                <w:color w:val="102C57"/>
                <w:sz w:val="20"/>
              </w:rPr>
              <w:t>Test / Evidence Status</w:t>
            </w:r>
          </w:p>
        </w:tc>
        <w:tc>
          <w:tcPr>
            <w:tcW w:type="dxa" w:w="1337"/>
            <w:tcMar>
              <w:top w:w="80" w:type="dxa"/>
              <w:bottom w:w="80" w:type="dxa"/>
              <w:left w:w="120" w:type="dxa"/>
              <w:right w:w="120" w:type="dxa"/>
            </w:tcMar>
            <w:shd w:fill="F0F4F8"/>
          </w:tcPr>
          <w:p>
            <w:pPr>
              <w:spacing w:before="40" w:after="40"/>
            </w:pPr>
            <w:r>
              <w:rPr>
                <w:b/>
                <w:color w:val="102C57"/>
                <w:sz w:val="20"/>
              </w:rPr>
              <w:t>Target Verification Scope</w:t>
            </w:r>
          </w:p>
        </w:tc>
      </w:tr>
      <w:tr>
        <w:tc>
          <w:tcPr>
            <w:tcW w:type="dxa" w:w="1337"/>
            <w:tcMar>
              <w:top w:w="80" w:type="dxa"/>
              <w:bottom w:w="80" w:type="dxa"/>
              <w:left w:w="120" w:type="dxa"/>
              <w:right w:w="120" w:type="dxa"/>
            </w:tcMar>
            <w:shd w:fill="FFFFFF"/>
          </w:tcPr>
          <w:p>
            <w:pPr>
              <w:spacing w:before="40" w:after="40"/>
            </w:pPr>
            <w:r>
              <w:rPr>
                <w:b/>
                <w:sz w:val="19"/>
              </w:rPr>
              <w:t>1</w:t>
            </w:r>
          </w:p>
        </w:tc>
        <w:tc>
          <w:tcPr>
            <w:tcW w:type="dxa" w:w="1337"/>
            <w:tcMar>
              <w:top w:w="80" w:type="dxa"/>
              <w:bottom w:w="80" w:type="dxa"/>
              <w:left w:w="120" w:type="dxa"/>
              <w:right w:w="120" w:type="dxa"/>
            </w:tcMar>
            <w:shd w:fill="FFFFFF"/>
          </w:tcPr>
          <w:p>
            <w:pPr>
              <w:spacing w:before="40" w:after="40"/>
            </w:pPr>
            <w:r>
              <w:rPr>
                <w:i/>
                <w:sz w:val="19"/>
              </w:rPr>
              <w:t>Domain decisions and role/security matrix approved</w:t>
            </w:r>
          </w:p>
        </w:tc>
        <w:tc>
          <w:tcPr>
            <w:tcW w:type="dxa" w:w="1337"/>
            <w:tcMar>
              <w:top w:w="80" w:type="dxa"/>
              <w:bottom w:w="80" w:type="dxa"/>
              <w:left w:w="120" w:type="dxa"/>
              <w:right w:w="120" w:type="dxa"/>
            </w:tcMar>
            <w:shd w:fill="FFFFFF"/>
          </w:tcPr>
          <w:p>
            <w:pPr>
              <w:spacing w:before="40" w:after="40"/>
            </w:pPr>
            <w:r>
              <w:rPr>
                <w:rFonts w:ascii="Consolas" w:hAnsi="Consolas"/>
                <w:sz w:val="19"/>
              </w:rPr>
              <w:t>PENDING APPROVAL</w:t>
            </w:r>
          </w:p>
        </w:tc>
        <w:tc>
          <w:tcPr>
            <w:tcW w:type="dxa" w:w="1337"/>
            <w:tcMar>
              <w:top w:w="80" w:type="dxa"/>
              <w:bottom w:w="80" w:type="dxa"/>
              <w:left w:w="120" w:type="dxa"/>
              <w:right w:w="120" w:type="dxa"/>
            </w:tcMar>
            <w:shd w:fill="FFFFFF"/>
          </w:tcPr>
          <w:p>
            <w:pPr>
              <w:spacing w:before="40" w:after="40"/>
            </w:pPr>
            <w:r>
              <w:rPr>
                <w:rFonts w:ascii="Consolas" w:hAnsi="Consolas"/>
                <w:sz w:val="19"/>
              </w:rPr>
              <w:t>SPECIFIED</w:t>
            </w:r>
          </w:p>
        </w:tc>
        <w:tc>
          <w:tcPr>
            <w:tcW w:type="dxa" w:w="1337"/>
            <w:tcMar>
              <w:top w:w="80" w:type="dxa"/>
              <w:bottom w:w="80" w:type="dxa"/>
              <w:left w:w="120" w:type="dxa"/>
              <w:right w:w="120" w:type="dxa"/>
            </w:tcMar>
            <w:shd w:fill="FFFFFF"/>
          </w:tcPr>
          <w:p>
            <w:pPr>
              <w:spacing w:before="40" w:after="40"/>
            </w:pPr>
            <w:r>
              <w:rPr>
                <w:rFonts w:ascii="Consolas" w:hAnsi="Consolas"/>
                <w:sz w:val="19"/>
              </w:rPr>
              <w:t>NOT IMPLEMENTED</w:t>
            </w:r>
          </w:p>
        </w:tc>
        <w:tc>
          <w:tcPr>
            <w:tcW w:type="dxa" w:w="1337"/>
            <w:tcMar>
              <w:top w:w="80" w:type="dxa"/>
              <w:bottom w:w="80" w:type="dxa"/>
              <w:left w:w="120" w:type="dxa"/>
              <w:right w:w="120" w:type="dxa"/>
            </w:tcMar>
            <w:shd w:fill="FFFFFF"/>
          </w:tcPr>
          <w:p>
            <w:pPr>
              <w:spacing w:before="40" w:after="40"/>
            </w:pPr>
            <w:r>
              <w:rPr>
                <w:rFonts w:ascii="Consolas" w:hAnsi="Consolas"/>
                <w:sz w:val="19"/>
              </w:rPr>
              <w:t>NOT TESTED</w:t>
            </w:r>
          </w:p>
        </w:tc>
        <w:tc>
          <w:tcPr>
            <w:tcW w:type="dxa" w:w="1337"/>
            <w:tcMar>
              <w:top w:w="80" w:type="dxa"/>
              <w:bottom w:w="80" w:type="dxa"/>
              <w:left w:w="120" w:type="dxa"/>
              <w:right w:w="120" w:type="dxa"/>
            </w:tcMar>
            <w:shd w:fill="FFFFFF"/>
          </w:tcPr>
          <w:p>
            <w:pPr>
              <w:spacing w:before="40" w:after="40"/>
            </w:pPr>
            <w:r>
              <w:rPr>
                <w:sz w:val="19"/>
              </w:rPr>
              <w:t>Complete role matrix and Separation of Duties (SoD) specified.</w:t>
            </w:r>
          </w:p>
        </w:tc>
      </w:tr>
      <w:tr>
        <w:tc>
          <w:tcPr>
            <w:tcW w:type="dxa" w:w="1337"/>
            <w:tcMar>
              <w:top w:w="80" w:type="dxa"/>
              <w:bottom w:w="80" w:type="dxa"/>
              <w:left w:w="120" w:type="dxa"/>
              <w:right w:w="120" w:type="dxa"/>
            </w:tcMar>
            <w:shd w:fill="F9FAFB"/>
          </w:tcPr>
          <w:p>
            <w:pPr>
              <w:spacing w:before="40" w:after="40"/>
            </w:pPr>
            <w:r>
              <w:rPr>
                <w:b/>
                <w:sz w:val="19"/>
              </w:rPr>
              <w:t>2</w:t>
            </w:r>
          </w:p>
        </w:tc>
        <w:tc>
          <w:tcPr>
            <w:tcW w:type="dxa" w:w="1337"/>
            <w:tcMar>
              <w:top w:w="80" w:type="dxa"/>
              <w:bottom w:w="80" w:type="dxa"/>
              <w:left w:w="120" w:type="dxa"/>
              <w:right w:w="120" w:type="dxa"/>
            </w:tcMar>
            <w:shd w:fill="F9FAFB"/>
          </w:tcPr>
          <w:p>
            <w:pPr>
              <w:spacing w:before="40" w:after="40"/>
            </w:pPr>
            <w:r>
              <w:rPr>
                <w:i/>
                <w:sz w:val="19"/>
              </w:rPr>
              <w:t>Canonical models and immutable revision strategy accepted</w:t>
            </w:r>
          </w:p>
        </w:tc>
        <w:tc>
          <w:tcPr>
            <w:tcW w:type="dxa" w:w="1337"/>
            <w:tcMar>
              <w:top w:w="80" w:type="dxa"/>
              <w:bottom w:w="80" w:type="dxa"/>
              <w:left w:w="120" w:type="dxa"/>
              <w:right w:w="120" w:type="dxa"/>
            </w:tcMar>
            <w:shd w:fill="F9FAFB"/>
          </w:tcPr>
          <w:p>
            <w:pPr>
              <w:spacing w:before="40" w:after="40"/>
            </w:pPr>
            <w:r>
              <w:rPr>
                <w:rFonts w:ascii="Consolas" w:hAnsi="Consolas"/>
                <w:sz w:val="19"/>
              </w:rPr>
              <w:t>PENDING APPROVAL</w:t>
            </w:r>
          </w:p>
        </w:tc>
        <w:tc>
          <w:tcPr>
            <w:tcW w:type="dxa" w:w="1337"/>
            <w:tcMar>
              <w:top w:w="80" w:type="dxa"/>
              <w:bottom w:w="80" w:type="dxa"/>
              <w:left w:w="120" w:type="dxa"/>
              <w:right w:w="120" w:type="dxa"/>
            </w:tcMar>
            <w:shd w:fill="F9FAFB"/>
          </w:tcPr>
          <w:p>
            <w:pPr>
              <w:spacing w:before="40" w:after="40"/>
            </w:pPr>
            <w:r>
              <w:rPr>
                <w:rFonts w:ascii="Consolas" w:hAnsi="Consolas"/>
                <w:sz w:val="19"/>
              </w:rPr>
              <w:t>SPECIFIED</w:t>
            </w:r>
          </w:p>
        </w:tc>
        <w:tc>
          <w:tcPr>
            <w:tcW w:type="dxa" w:w="1337"/>
            <w:tcMar>
              <w:top w:w="80" w:type="dxa"/>
              <w:bottom w:w="80" w:type="dxa"/>
              <w:left w:w="120" w:type="dxa"/>
              <w:right w:w="120" w:type="dxa"/>
            </w:tcMar>
            <w:shd w:fill="F9FAFB"/>
          </w:tcPr>
          <w:p>
            <w:pPr>
              <w:spacing w:before="40" w:after="40"/>
            </w:pPr>
            <w:r>
              <w:rPr>
                <w:rFonts w:ascii="Consolas" w:hAnsi="Consolas"/>
                <w:sz w:val="19"/>
              </w:rPr>
              <w:t>NOT IMPLEMENTED</w:t>
            </w:r>
          </w:p>
        </w:tc>
        <w:tc>
          <w:tcPr>
            <w:tcW w:type="dxa" w:w="1337"/>
            <w:tcMar>
              <w:top w:w="80" w:type="dxa"/>
              <w:bottom w:w="80" w:type="dxa"/>
              <w:left w:w="120" w:type="dxa"/>
              <w:right w:w="120" w:type="dxa"/>
            </w:tcMar>
            <w:shd w:fill="F9FAFB"/>
          </w:tcPr>
          <w:p>
            <w:pPr>
              <w:spacing w:before="40" w:after="40"/>
            </w:pPr>
            <w:r>
              <w:rPr>
                <w:rFonts w:ascii="Consolas" w:hAnsi="Consolas"/>
                <w:sz w:val="19"/>
              </w:rPr>
              <w:t>NOT TESTED</w:t>
            </w:r>
          </w:p>
        </w:tc>
        <w:tc>
          <w:tcPr>
            <w:tcW w:type="dxa" w:w="1337"/>
            <w:tcMar>
              <w:top w:w="80" w:type="dxa"/>
              <w:bottom w:w="80" w:type="dxa"/>
              <w:left w:w="120" w:type="dxa"/>
              <w:right w:w="120" w:type="dxa"/>
            </w:tcMar>
            <w:shd w:fill="F9FAFB"/>
          </w:tcPr>
          <w:p>
            <w:pPr>
              <w:spacing w:before="40" w:after="40"/>
            </w:pPr>
            <w:r>
              <w:rPr>
                <w:sz w:val="19"/>
              </w:rPr>
              <w:t xml:space="preserve">Normalized models and versioned </w:t>
            </w:r>
            <w:r>
              <w:rPr>
                <w:rFonts w:ascii="Consolas" w:hAnsi="Consolas"/>
                <w:sz w:val="19"/>
              </w:rPr>
              <w:t>CommercialBudgetRevision</w:t>
            </w:r>
            <w:r>
              <w:rPr>
                <w:sz w:val="19"/>
              </w:rPr>
              <w:t xml:space="preserve"> specified.</w:t>
            </w:r>
          </w:p>
        </w:tc>
      </w:tr>
      <w:tr>
        <w:tc>
          <w:tcPr>
            <w:tcW w:type="dxa" w:w="1337"/>
            <w:tcMar>
              <w:top w:w="80" w:type="dxa"/>
              <w:bottom w:w="80" w:type="dxa"/>
              <w:left w:w="120" w:type="dxa"/>
              <w:right w:w="120" w:type="dxa"/>
            </w:tcMar>
            <w:shd w:fill="FFFFFF"/>
          </w:tcPr>
          <w:p>
            <w:pPr>
              <w:spacing w:before="40" w:after="40"/>
            </w:pPr>
            <w:r>
              <w:rPr>
                <w:b/>
                <w:sz w:val="19"/>
              </w:rPr>
              <w:t>3</w:t>
            </w:r>
          </w:p>
        </w:tc>
        <w:tc>
          <w:tcPr>
            <w:tcW w:type="dxa" w:w="1337"/>
            <w:tcMar>
              <w:top w:w="80" w:type="dxa"/>
              <w:bottom w:w="80" w:type="dxa"/>
              <w:left w:w="120" w:type="dxa"/>
              <w:right w:w="120" w:type="dxa"/>
            </w:tcMar>
            <w:shd w:fill="FFFFFF"/>
          </w:tcPr>
          <w:p>
            <w:pPr>
              <w:spacing w:before="40" w:after="40"/>
            </w:pPr>
            <w:r>
              <w:rPr>
                <w:i/>
                <w:sz w:val="19"/>
              </w:rPr>
              <w:t>Client/contact/lineage/BU constraints enforced server-side</w:t>
            </w:r>
          </w:p>
        </w:tc>
        <w:tc>
          <w:tcPr>
            <w:tcW w:type="dxa" w:w="1337"/>
            <w:tcMar>
              <w:top w:w="80" w:type="dxa"/>
              <w:bottom w:w="80" w:type="dxa"/>
              <w:left w:w="120" w:type="dxa"/>
              <w:right w:w="120" w:type="dxa"/>
            </w:tcMar>
            <w:shd w:fill="FFFFFF"/>
          </w:tcPr>
          <w:p>
            <w:pPr>
              <w:spacing w:before="40" w:after="40"/>
            </w:pPr>
            <w:r>
              <w:rPr>
                <w:rFonts w:ascii="Consolas" w:hAnsi="Consolas"/>
                <w:sz w:val="19"/>
              </w:rPr>
              <w:t>PENDING APPROVAL</w:t>
            </w:r>
          </w:p>
        </w:tc>
        <w:tc>
          <w:tcPr>
            <w:tcW w:type="dxa" w:w="1337"/>
            <w:tcMar>
              <w:top w:w="80" w:type="dxa"/>
              <w:bottom w:w="80" w:type="dxa"/>
              <w:left w:w="120" w:type="dxa"/>
              <w:right w:w="120" w:type="dxa"/>
            </w:tcMar>
            <w:shd w:fill="FFFFFF"/>
          </w:tcPr>
          <w:p>
            <w:pPr>
              <w:spacing w:before="40" w:after="40"/>
            </w:pPr>
            <w:r>
              <w:rPr>
                <w:rFonts w:ascii="Consolas" w:hAnsi="Consolas"/>
                <w:sz w:val="19"/>
              </w:rPr>
              <w:t>SPECIFIED</w:t>
            </w:r>
          </w:p>
        </w:tc>
        <w:tc>
          <w:tcPr>
            <w:tcW w:type="dxa" w:w="1337"/>
            <w:tcMar>
              <w:top w:w="80" w:type="dxa"/>
              <w:bottom w:w="80" w:type="dxa"/>
              <w:left w:w="120" w:type="dxa"/>
              <w:right w:w="120" w:type="dxa"/>
            </w:tcMar>
            <w:shd w:fill="FFFFFF"/>
          </w:tcPr>
          <w:p>
            <w:pPr>
              <w:spacing w:before="40" w:after="40"/>
            </w:pPr>
            <w:r>
              <w:rPr>
                <w:rFonts w:ascii="Consolas" w:hAnsi="Consolas"/>
                <w:sz w:val="19"/>
              </w:rPr>
              <w:t>NOT IMPLEMENTED</w:t>
            </w:r>
          </w:p>
        </w:tc>
        <w:tc>
          <w:tcPr>
            <w:tcW w:type="dxa" w:w="1337"/>
            <w:tcMar>
              <w:top w:w="80" w:type="dxa"/>
              <w:bottom w:w="80" w:type="dxa"/>
              <w:left w:w="120" w:type="dxa"/>
              <w:right w:w="120" w:type="dxa"/>
            </w:tcMar>
            <w:shd w:fill="FFFFFF"/>
          </w:tcPr>
          <w:p>
            <w:pPr>
              <w:spacing w:before="40" w:after="40"/>
            </w:pPr>
            <w:r>
              <w:rPr>
                <w:rFonts w:ascii="Consolas" w:hAnsi="Consolas"/>
                <w:sz w:val="19"/>
              </w:rPr>
              <w:t>NOT TESTED</w:t>
            </w:r>
          </w:p>
        </w:tc>
        <w:tc>
          <w:tcPr>
            <w:tcW w:type="dxa" w:w="1337"/>
            <w:tcMar>
              <w:top w:w="80" w:type="dxa"/>
              <w:bottom w:w="80" w:type="dxa"/>
              <w:left w:w="120" w:type="dxa"/>
              <w:right w:w="120" w:type="dxa"/>
            </w:tcMar>
            <w:shd w:fill="FFFFFF"/>
          </w:tcPr>
          <w:p>
            <w:pPr>
              <w:spacing w:before="40" w:after="40"/>
            </w:pPr>
            <w:r>
              <w:rPr>
                <w:sz w:val="19"/>
              </w:rPr>
              <w:t>Server-side validation middleware and Prisma transaction constraints specified.</w:t>
            </w:r>
          </w:p>
        </w:tc>
      </w:tr>
      <w:tr>
        <w:tc>
          <w:tcPr>
            <w:tcW w:type="dxa" w:w="1337"/>
            <w:tcMar>
              <w:top w:w="80" w:type="dxa"/>
              <w:bottom w:w="80" w:type="dxa"/>
              <w:left w:w="120" w:type="dxa"/>
              <w:right w:w="120" w:type="dxa"/>
            </w:tcMar>
            <w:shd w:fill="F9FAFB"/>
          </w:tcPr>
          <w:p>
            <w:pPr>
              <w:spacing w:before="40" w:after="40"/>
            </w:pPr>
            <w:r>
              <w:rPr>
                <w:b/>
                <w:sz w:val="19"/>
              </w:rPr>
              <w:t>4</w:t>
            </w:r>
          </w:p>
        </w:tc>
        <w:tc>
          <w:tcPr>
            <w:tcW w:type="dxa" w:w="1337"/>
            <w:tcMar>
              <w:top w:w="80" w:type="dxa"/>
              <w:bottom w:w="80" w:type="dxa"/>
              <w:left w:w="120" w:type="dxa"/>
              <w:right w:w="120" w:type="dxa"/>
            </w:tcMar>
            <w:shd w:fill="F9FAFB"/>
          </w:tcPr>
          <w:p>
            <w:pPr>
              <w:spacing w:before="40" w:after="40"/>
            </w:pPr>
            <w:r>
              <w:rPr>
                <w:i/>
                <w:sz w:val="19"/>
              </w:rPr>
              <w:t>PRESALES workspace isolated and idempotent</w:t>
            </w:r>
          </w:p>
        </w:tc>
        <w:tc>
          <w:tcPr>
            <w:tcW w:type="dxa" w:w="1337"/>
            <w:tcMar>
              <w:top w:w="80" w:type="dxa"/>
              <w:bottom w:w="80" w:type="dxa"/>
              <w:left w:w="120" w:type="dxa"/>
              <w:right w:w="120" w:type="dxa"/>
            </w:tcMar>
            <w:shd w:fill="F9FAFB"/>
          </w:tcPr>
          <w:p>
            <w:pPr>
              <w:spacing w:before="40" w:after="40"/>
            </w:pPr>
            <w:r>
              <w:rPr>
                <w:rFonts w:ascii="Consolas" w:hAnsi="Consolas"/>
                <w:sz w:val="19"/>
              </w:rPr>
              <w:t>PENDING APPROVAL</w:t>
            </w:r>
          </w:p>
        </w:tc>
        <w:tc>
          <w:tcPr>
            <w:tcW w:type="dxa" w:w="1337"/>
            <w:tcMar>
              <w:top w:w="80" w:type="dxa"/>
              <w:bottom w:w="80" w:type="dxa"/>
              <w:left w:w="120" w:type="dxa"/>
              <w:right w:w="120" w:type="dxa"/>
            </w:tcMar>
            <w:shd w:fill="F9FAFB"/>
          </w:tcPr>
          <w:p>
            <w:pPr>
              <w:spacing w:before="40" w:after="40"/>
            </w:pPr>
            <w:r>
              <w:rPr>
                <w:rFonts w:ascii="Consolas" w:hAnsi="Consolas"/>
                <w:sz w:val="19"/>
              </w:rPr>
              <w:t>SPECIFIED</w:t>
            </w:r>
          </w:p>
        </w:tc>
        <w:tc>
          <w:tcPr>
            <w:tcW w:type="dxa" w:w="1337"/>
            <w:tcMar>
              <w:top w:w="80" w:type="dxa"/>
              <w:bottom w:w="80" w:type="dxa"/>
              <w:left w:w="120" w:type="dxa"/>
              <w:right w:w="120" w:type="dxa"/>
            </w:tcMar>
            <w:shd w:fill="F9FAFB"/>
          </w:tcPr>
          <w:p>
            <w:pPr>
              <w:spacing w:before="40" w:after="40"/>
            </w:pPr>
            <w:r>
              <w:rPr>
                <w:rFonts w:ascii="Consolas" w:hAnsi="Consolas"/>
                <w:sz w:val="19"/>
              </w:rPr>
              <w:t>NOT IMPLEMENTED</w:t>
            </w:r>
          </w:p>
        </w:tc>
        <w:tc>
          <w:tcPr>
            <w:tcW w:type="dxa" w:w="1337"/>
            <w:tcMar>
              <w:top w:w="80" w:type="dxa"/>
              <w:bottom w:w="80" w:type="dxa"/>
              <w:left w:w="120" w:type="dxa"/>
              <w:right w:w="120" w:type="dxa"/>
            </w:tcMar>
            <w:shd w:fill="F9FAFB"/>
          </w:tcPr>
          <w:p>
            <w:pPr>
              <w:spacing w:before="40" w:after="40"/>
            </w:pPr>
            <w:r>
              <w:rPr>
                <w:rFonts w:ascii="Consolas" w:hAnsi="Consolas"/>
                <w:sz w:val="19"/>
              </w:rPr>
              <w:t>NOT TESTED</w:t>
            </w:r>
          </w:p>
        </w:tc>
        <w:tc>
          <w:tcPr>
            <w:tcW w:type="dxa" w:w="1337"/>
            <w:tcMar>
              <w:top w:w="80" w:type="dxa"/>
              <w:bottom w:w="80" w:type="dxa"/>
              <w:left w:w="120" w:type="dxa"/>
              <w:right w:w="120" w:type="dxa"/>
            </w:tcMar>
            <w:shd w:fill="F9FAFB"/>
          </w:tcPr>
          <w:p>
            <w:pPr>
              <w:spacing w:before="40" w:after="40"/>
            </w:pPr>
            <w:r>
              <w:rPr>
                <w:sz w:val="19"/>
              </w:rPr>
              <w:t>Presales CAC isolated from delivery EVM, BAC, and billing milestones.</w:t>
            </w:r>
          </w:p>
        </w:tc>
      </w:tr>
      <w:tr>
        <w:tc>
          <w:tcPr>
            <w:tcW w:type="dxa" w:w="1337"/>
            <w:tcMar>
              <w:top w:w="80" w:type="dxa"/>
              <w:bottom w:w="80" w:type="dxa"/>
              <w:left w:w="120" w:type="dxa"/>
              <w:right w:w="120" w:type="dxa"/>
            </w:tcMar>
            <w:shd w:fill="FFFFFF"/>
          </w:tcPr>
          <w:p>
            <w:pPr>
              <w:spacing w:before="40" w:after="40"/>
            </w:pPr>
            <w:r>
              <w:rPr>
                <w:b/>
                <w:sz w:val="19"/>
              </w:rPr>
              <w:t>5</w:t>
            </w:r>
          </w:p>
        </w:tc>
        <w:tc>
          <w:tcPr>
            <w:tcW w:type="dxa" w:w="1337"/>
            <w:tcMar>
              <w:top w:w="80" w:type="dxa"/>
              <w:bottom w:w="80" w:type="dxa"/>
              <w:left w:w="120" w:type="dxa"/>
              <w:right w:w="120" w:type="dxa"/>
            </w:tcMar>
            <w:shd w:fill="FFFFFF"/>
          </w:tcPr>
          <w:p>
            <w:pPr>
              <w:spacing w:before="40" w:after="40"/>
            </w:pPr>
            <w:r>
              <w:rPr>
                <w:i/>
                <w:sz w:val="19"/>
              </w:rPr>
              <w:t>Pipedrive/CSV mappings have quarantine path</w:t>
            </w:r>
          </w:p>
        </w:tc>
        <w:tc>
          <w:tcPr>
            <w:tcW w:type="dxa" w:w="1337"/>
            <w:tcMar>
              <w:top w:w="80" w:type="dxa"/>
              <w:bottom w:w="80" w:type="dxa"/>
              <w:left w:w="120" w:type="dxa"/>
              <w:right w:w="120" w:type="dxa"/>
            </w:tcMar>
            <w:shd w:fill="FFFFFF"/>
          </w:tcPr>
          <w:p>
            <w:pPr>
              <w:spacing w:before="40" w:after="40"/>
            </w:pPr>
            <w:r>
              <w:rPr>
                <w:rFonts w:ascii="Consolas" w:hAnsi="Consolas"/>
                <w:sz w:val="19"/>
              </w:rPr>
              <w:t>PENDING APPROVAL</w:t>
            </w:r>
          </w:p>
        </w:tc>
        <w:tc>
          <w:tcPr>
            <w:tcW w:type="dxa" w:w="1337"/>
            <w:tcMar>
              <w:top w:w="80" w:type="dxa"/>
              <w:bottom w:w="80" w:type="dxa"/>
              <w:left w:w="120" w:type="dxa"/>
              <w:right w:w="120" w:type="dxa"/>
            </w:tcMar>
            <w:shd w:fill="FFFFFF"/>
          </w:tcPr>
          <w:p>
            <w:pPr>
              <w:spacing w:before="40" w:after="40"/>
            </w:pPr>
            <w:r>
              <w:rPr>
                <w:rFonts w:ascii="Consolas" w:hAnsi="Consolas"/>
                <w:sz w:val="19"/>
              </w:rPr>
              <w:t>SPECIFIED</w:t>
            </w:r>
          </w:p>
        </w:tc>
        <w:tc>
          <w:tcPr>
            <w:tcW w:type="dxa" w:w="1337"/>
            <w:tcMar>
              <w:top w:w="80" w:type="dxa"/>
              <w:bottom w:w="80" w:type="dxa"/>
              <w:left w:w="120" w:type="dxa"/>
              <w:right w:w="120" w:type="dxa"/>
            </w:tcMar>
            <w:shd w:fill="FFFFFF"/>
          </w:tcPr>
          <w:p>
            <w:pPr>
              <w:spacing w:before="40" w:after="40"/>
            </w:pPr>
            <w:r>
              <w:rPr>
                <w:rFonts w:ascii="Consolas" w:hAnsi="Consolas"/>
                <w:sz w:val="19"/>
              </w:rPr>
              <w:t>NOT IMPLEMENTED</w:t>
            </w:r>
          </w:p>
        </w:tc>
        <w:tc>
          <w:tcPr>
            <w:tcW w:type="dxa" w:w="1337"/>
            <w:tcMar>
              <w:top w:w="80" w:type="dxa"/>
              <w:bottom w:w="80" w:type="dxa"/>
              <w:left w:w="120" w:type="dxa"/>
              <w:right w:w="120" w:type="dxa"/>
            </w:tcMar>
            <w:shd w:fill="FFFFFF"/>
          </w:tcPr>
          <w:p>
            <w:pPr>
              <w:spacing w:before="40" w:after="40"/>
            </w:pPr>
            <w:r>
              <w:rPr>
                <w:rFonts w:ascii="Consolas" w:hAnsi="Consolas"/>
                <w:sz w:val="19"/>
              </w:rPr>
              <w:t>NOT TESTED</w:t>
            </w:r>
          </w:p>
        </w:tc>
        <w:tc>
          <w:tcPr>
            <w:tcW w:type="dxa" w:w="1337"/>
            <w:tcMar>
              <w:top w:w="80" w:type="dxa"/>
              <w:bottom w:w="80" w:type="dxa"/>
              <w:left w:w="120" w:type="dxa"/>
              <w:right w:w="120" w:type="dxa"/>
            </w:tcMar>
            <w:shd w:fill="FFFFFF"/>
          </w:tcPr>
          <w:p>
            <w:pPr>
              <w:spacing w:before="40" w:after="40"/>
            </w:pPr>
            <w:r>
              <w:rPr>
                <w:rFonts w:ascii="Consolas" w:hAnsi="Consolas"/>
                <w:sz w:val="19"/>
              </w:rPr>
              <w:t>UNCLASSIFIED</w:t>
            </w:r>
            <w:r>
              <w:rPr>
                <w:sz w:val="19"/>
              </w:rPr>
              <w:t xml:space="preserve"> sector and </w:t>
            </w:r>
            <w:r>
              <w:rPr>
                <w:rFonts w:ascii="Consolas" w:hAnsi="Consolas"/>
                <w:sz w:val="19"/>
              </w:rPr>
              <w:t>UNVERIFIED</w:t>
            </w:r>
            <w:r>
              <w:rPr>
                <w:sz w:val="19"/>
              </w:rPr>
              <w:t xml:space="preserve"> margin quarantine workflows specified.</w:t>
            </w:r>
          </w:p>
        </w:tc>
      </w:tr>
      <w:tr>
        <w:tc>
          <w:tcPr>
            <w:tcW w:type="dxa" w:w="1337"/>
            <w:tcMar>
              <w:top w:w="80" w:type="dxa"/>
              <w:bottom w:w="80" w:type="dxa"/>
              <w:left w:w="120" w:type="dxa"/>
              <w:right w:w="120" w:type="dxa"/>
            </w:tcMar>
            <w:shd w:fill="F9FAFB"/>
          </w:tcPr>
          <w:p>
            <w:pPr>
              <w:spacing w:before="40" w:after="40"/>
            </w:pPr>
            <w:r>
              <w:rPr>
                <w:b/>
                <w:sz w:val="19"/>
              </w:rPr>
              <w:t>6</w:t>
            </w:r>
          </w:p>
        </w:tc>
        <w:tc>
          <w:tcPr>
            <w:tcW w:type="dxa" w:w="1337"/>
            <w:tcMar>
              <w:top w:w="80" w:type="dxa"/>
              <w:bottom w:w="80" w:type="dxa"/>
              <w:left w:w="120" w:type="dxa"/>
              <w:right w:w="120" w:type="dxa"/>
            </w:tcMar>
            <w:shd w:fill="F9FAFB"/>
          </w:tcPr>
          <w:p>
            <w:pPr>
              <w:spacing w:before="40" w:after="40"/>
            </w:pPr>
            <w:r>
              <w:rPr>
                <w:i/>
                <w:sz w:val="19"/>
              </w:rPr>
              <w:t>Approval/conversion/baseline lifecycle atomic</w:t>
            </w:r>
          </w:p>
        </w:tc>
        <w:tc>
          <w:tcPr>
            <w:tcW w:type="dxa" w:w="1337"/>
            <w:tcMar>
              <w:top w:w="80" w:type="dxa"/>
              <w:bottom w:w="80" w:type="dxa"/>
              <w:left w:w="120" w:type="dxa"/>
              <w:right w:w="120" w:type="dxa"/>
            </w:tcMar>
            <w:shd w:fill="F9FAFB"/>
          </w:tcPr>
          <w:p>
            <w:pPr>
              <w:spacing w:before="40" w:after="40"/>
            </w:pPr>
            <w:r>
              <w:rPr>
                <w:rFonts w:ascii="Consolas" w:hAnsi="Consolas"/>
                <w:sz w:val="19"/>
              </w:rPr>
              <w:t>PENDING APPROVAL</w:t>
            </w:r>
          </w:p>
        </w:tc>
        <w:tc>
          <w:tcPr>
            <w:tcW w:type="dxa" w:w="1337"/>
            <w:tcMar>
              <w:top w:w="80" w:type="dxa"/>
              <w:bottom w:w="80" w:type="dxa"/>
              <w:left w:w="120" w:type="dxa"/>
              <w:right w:w="120" w:type="dxa"/>
            </w:tcMar>
            <w:shd w:fill="F9FAFB"/>
          </w:tcPr>
          <w:p>
            <w:pPr>
              <w:spacing w:before="40" w:after="40"/>
            </w:pPr>
            <w:r>
              <w:rPr>
                <w:rFonts w:ascii="Consolas" w:hAnsi="Consolas"/>
                <w:sz w:val="19"/>
              </w:rPr>
              <w:t>SPECIFIED</w:t>
            </w:r>
          </w:p>
        </w:tc>
        <w:tc>
          <w:tcPr>
            <w:tcW w:type="dxa" w:w="1337"/>
            <w:tcMar>
              <w:top w:w="80" w:type="dxa"/>
              <w:bottom w:w="80" w:type="dxa"/>
              <w:left w:w="120" w:type="dxa"/>
              <w:right w:w="120" w:type="dxa"/>
            </w:tcMar>
            <w:shd w:fill="F9FAFB"/>
          </w:tcPr>
          <w:p>
            <w:pPr>
              <w:spacing w:before="40" w:after="40"/>
            </w:pPr>
            <w:r>
              <w:rPr>
                <w:rFonts w:ascii="Consolas" w:hAnsi="Consolas"/>
                <w:sz w:val="19"/>
              </w:rPr>
              <w:t>NOT IMPLEMENTED</w:t>
            </w:r>
          </w:p>
        </w:tc>
        <w:tc>
          <w:tcPr>
            <w:tcW w:type="dxa" w:w="1337"/>
            <w:tcMar>
              <w:top w:w="80" w:type="dxa"/>
              <w:bottom w:w="80" w:type="dxa"/>
              <w:left w:w="120" w:type="dxa"/>
              <w:right w:w="120" w:type="dxa"/>
            </w:tcMar>
            <w:shd w:fill="F9FAFB"/>
          </w:tcPr>
          <w:p>
            <w:pPr>
              <w:spacing w:before="40" w:after="40"/>
            </w:pPr>
            <w:r>
              <w:rPr>
                <w:rFonts w:ascii="Consolas" w:hAnsi="Consolas"/>
                <w:sz w:val="19"/>
              </w:rPr>
              <w:t>NOT TESTED</w:t>
            </w:r>
          </w:p>
        </w:tc>
        <w:tc>
          <w:tcPr>
            <w:tcW w:type="dxa" w:w="1337"/>
            <w:tcMar>
              <w:top w:w="80" w:type="dxa"/>
              <w:bottom w:w="80" w:type="dxa"/>
              <w:left w:w="120" w:type="dxa"/>
              <w:right w:w="120" w:type="dxa"/>
            </w:tcMar>
            <w:shd w:fill="F9FAFB"/>
          </w:tcPr>
          <w:p>
            <w:pPr>
              <w:spacing w:before="40" w:after="40"/>
            </w:pPr>
            <w:r>
              <w:rPr>
                <w:sz w:val="19"/>
              </w:rPr>
              <w:t>Atomic conversion transaction and baseline auto-sync specified.</w:t>
            </w:r>
          </w:p>
        </w:tc>
      </w:tr>
      <w:tr>
        <w:tc>
          <w:tcPr>
            <w:tcW w:type="dxa" w:w="1337"/>
            <w:tcMar>
              <w:top w:w="80" w:type="dxa"/>
              <w:bottom w:w="80" w:type="dxa"/>
              <w:left w:w="120" w:type="dxa"/>
              <w:right w:w="120" w:type="dxa"/>
            </w:tcMar>
            <w:shd w:fill="FFFFFF"/>
          </w:tcPr>
          <w:p>
            <w:pPr>
              <w:spacing w:before="40" w:after="40"/>
            </w:pPr>
            <w:r>
              <w:rPr>
                <w:b/>
                <w:sz w:val="19"/>
              </w:rPr>
              <w:t>7</w:t>
            </w:r>
          </w:p>
        </w:tc>
        <w:tc>
          <w:tcPr>
            <w:tcW w:type="dxa" w:w="1337"/>
            <w:tcMar>
              <w:top w:w="80" w:type="dxa"/>
              <w:bottom w:w="80" w:type="dxa"/>
              <w:left w:w="120" w:type="dxa"/>
              <w:right w:w="120" w:type="dxa"/>
            </w:tcMar>
            <w:shd w:fill="FFFFFF"/>
          </w:tcPr>
          <w:p>
            <w:pPr>
              <w:spacing w:before="40" w:after="40"/>
            </w:pPr>
            <w:r>
              <w:rPr>
                <w:i/>
                <w:sz w:val="19"/>
              </w:rPr>
              <w:t>Project.clientId lock and correction workflow tested</w:t>
            </w:r>
          </w:p>
        </w:tc>
        <w:tc>
          <w:tcPr>
            <w:tcW w:type="dxa" w:w="1337"/>
            <w:tcMar>
              <w:top w:w="80" w:type="dxa"/>
              <w:bottom w:w="80" w:type="dxa"/>
              <w:left w:w="120" w:type="dxa"/>
              <w:right w:w="120" w:type="dxa"/>
            </w:tcMar>
            <w:shd w:fill="FFFFFF"/>
          </w:tcPr>
          <w:p>
            <w:pPr>
              <w:spacing w:before="40" w:after="40"/>
            </w:pPr>
            <w:r>
              <w:rPr>
                <w:rFonts w:ascii="Consolas" w:hAnsi="Consolas"/>
                <w:sz w:val="19"/>
              </w:rPr>
              <w:t>APPROVED / IMPLEMENTED</w:t>
            </w:r>
          </w:p>
        </w:tc>
        <w:tc>
          <w:tcPr>
            <w:tcW w:type="dxa" w:w="1337"/>
            <w:tcMar>
              <w:top w:w="80" w:type="dxa"/>
              <w:bottom w:w="80" w:type="dxa"/>
              <w:left w:w="120" w:type="dxa"/>
              <w:right w:w="120" w:type="dxa"/>
            </w:tcMar>
            <w:shd w:fill="FFFFFF"/>
          </w:tcPr>
          <w:p>
            <w:pPr>
              <w:spacing w:before="40" w:after="40"/>
            </w:pPr>
            <w:r>
              <w:rPr>
                <w:rFonts w:ascii="Consolas" w:hAnsi="Consolas"/>
                <w:sz w:val="19"/>
              </w:rPr>
              <w:t>SPECIFIED</w:t>
            </w:r>
          </w:p>
        </w:tc>
        <w:tc>
          <w:tcPr>
            <w:tcW w:type="dxa" w:w="1337"/>
            <w:tcMar>
              <w:top w:w="80" w:type="dxa"/>
              <w:bottom w:w="80" w:type="dxa"/>
              <w:left w:w="120" w:type="dxa"/>
              <w:right w:w="120" w:type="dxa"/>
            </w:tcMar>
            <w:shd w:fill="FFFFFF"/>
          </w:tcPr>
          <w:p>
            <w:pPr>
              <w:spacing w:before="40" w:after="40"/>
            </w:pPr>
            <w:r>
              <w:rPr>
                <w:rFonts w:ascii="Consolas" w:hAnsi="Consolas"/>
                <w:sz w:val="19"/>
              </w:rPr>
              <w:t>IMPLEMENTED</w:t>
            </w:r>
            <w:r>
              <w:rPr>
                <w:sz w:val="19"/>
              </w:rPr>
              <w:t xml:space="preserve"> (Phase 1 Lock)</w:t>
            </w:r>
          </w:p>
        </w:tc>
        <w:tc>
          <w:tcPr>
            <w:tcW w:type="dxa" w:w="1337"/>
            <w:tcMar>
              <w:top w:w="80" w:type="dxa"/>
              <w:bottom w:w="80" w:type="dxa"/>
              <w:left w:w="120" w:type="dxa"/>
              <w:right w:w="120" w:type="dxa"/>
            </w:tcMar>
            <w:shd w:fill="FFFFFF"/>
          </w:tcPr>
          <w:p>
            <w:pPr>
              <w:spacing w:before="40" w:after="40"/>
            </w:pPr>
            <w:r>
              <w:rPr>
                <w:rFonts w:ascii="Consolas" w:hAnsi="Consolas"/>
                <w:sz w:val="19"/>
              </w:rPr>
              <w:t>TESTED</w:t>
            </w:r>
            <w:r>
              <w:rPr>
                <w:sz w:val="19"/>
              </w:rPr>
              <w:t xml:space="preserve"> (Phase 1 Lock)</w:t>
            </w:r>
          </w:p>
        </w:tc>
        <w:tc>
          <w:tcPr>
            <w:tcW w:type="dxa" w:w="1337"/>
            <w:tcMar>
              <w:top w:w="80" w:type="dxa"/>
              <w:bottom w:w="80" w:type="dxa"/>
              <w:left w:w="120" w:type="dxa"/>
              <w:right w:w="120" w:type="dxa"/>
            </w:tcMar>
            <w:shd w:fill="FFFFFF"/>
          </w:tcPr>
          <w:p>
            <w:pPr>
              <w:spacing w:before="40" w:after="40"/>
            </w:pPr>
            <w:r>
              <w:rPr>
                <w:sz w:val="19"/>
              </w:rPr>
              <w:t>Hard lock (</w:t>
            </w:r>
            <w:r>
              <w:rPr>
                <w:rFonts w:ascii="Consolas" w:hAnsi="Consolas"/>
                <w:sz w:val="19"/>
              </w:rPr>
              <w:t>CLIENT_ATTRIBUTION_LOCKED</w:t>
            </w:r>
            <w:r>
              <w:rPr>
                <w:sz w:val="19"/>
              </w:rPr>
              <w:t>) verified live; Phase 2 dual-approval specified.</w:t>
            </w:r>
          </w:p>
        </w:tc>
      </w:tr>
      <w:tr>
        <w:tc>
          <w:tcPr>
            <w:tcW w:type="dxa" w:w="1337"/>
            <w:tcMar>
              <w:top w:w="80" w:type="dxa"/>
              <w:bottom w:w="80" w:type="dxa"/>
              <w:left w:w="120" w:type="dxa"/>
              <w:right w:w="120" w:type="dxa"/>
            </w:tcMar>
            <w:shd w:fill="F9FAFB"/>
          </w:tcPr>
          <w:p>
            <w:pPr>
              <w:spacing w:before="40" w:after="40"/>
            </w:pPr>
            <w:r>
              <w:rPr>
                <w:b/>
                <w:sz w:val="19"/>
              </w:rPr>
              <w:t>8</w:t>
            </w:r>
          </w:p>
        </w:tc>
        <w:tc>
          <w:tcPr>
            <w:tcW w:type="dxa" w:w="1337"/>
            <w:tcMar>
              <w:top w:w="80" w:type="dxa"/>
              <w:bottom w:w="80" w:type="dxa"/>
              <w:left w:w="120" w:type="dxa"/>
              <w:right w:w="120" w:type="dxa"/>
            </w:tcMar>
            <w:shd w:fill="F9FAFB"/>
          </w:tcPr>
          <w:p>
            <w:pPr>
              <w:spacing w:before="40" w:after="40"/>
            </w:pPr>
            <w:r>
              <w:rPr>
                <w:i/>
                <w:sz w:val="19"/>
              </w:rPr>
              <w:t>Legacy compatibility and invoice regressions verified</w:t>
            </w:r>
          </w:p>
        </w:tc>
        <w:tc>
          <w:tcPr>
            <w:tcW w:type="dxa" w:w="1337"/>
            <w:tcMar>
              <w:top w:w="80" w:type="dxa"/>
              <w:bottom w:w="80" w:type="dxa"/>
              <w:left w:w="120" w:type="dxa"/>
              <w:right w:w="120" w:type="dxa"/>
            </w:tcMar>
            <w:shd w:fill="F9FAFB"/>
          </w:tcPr>
          <w:p>
            <w:pPr>
              <w:spacing w:before="40" w:after="40"/>
            </w:pPr>
            <w:r>
              <w:rPr>
                <w:rFonts w:ascii="Consolas" w:hAnsi="Consolas"/>
                <w:sz w:val="19"/>
              </w:rPr>
              <w:t>PENDING APPROVAL</w:t>
            </w:r>
          </w:p>
        </w:tc>
        <w:tc>
          <w:tcPr>
            <w:tcW w:type="dxa" w:w="1337"/>
            <w:tcMar>
              <w:top w:w="80" w:type="dxa"/>
              <w:bottom w:w="80" w:type="dxa"/>
              <w:left w:w="120" w:type="dxa"/>
              <w:right w:w="120" w:type="dxa"/>
            </w:tcMar>
            <w:shd w:fill="F9FAFB"/>
          </w:tcPr>
          <w:p>
            <w:pPr>
              <w:spacing w:before="40" w:after="40"/>
            </w:pPr>
            <w:r>
              <w:rPr>
                <w:rFonts w:ascii="Consolas" w:hAnsi="Consolas"/>
                <w:sz w:val="19"/>
              </w:rPr>
              <w:t>SPECIFIED</w:t>
            </w:r>
          </w:p>
        </w:tc>
        <w:tc>
          <w:tcPr>
            <w:tcW w:type="dxa" w:w="1337"/>
            <w:tcMar>
              <w:top w:w="80" w:type="dxa"/>
              <w:bottom w:w="80" w:type="dxa"/>
              <w:left w:w="120" w:type="dxa"/>
              <w:right w:w="120" w:type="dxa"/>
            </w:tcMar>
            <w:shd w:fill="F9FAFB"/>
          </w:tcPr>
          <w:p>
            <w:pPr>
              <w:spacing w:before="40" w:after="40"/>
            </w:pPr>
            <w:r>
              <w:rPr>
                <w:rFonts w:ascii="Consolas" w:hAnsi="Consolas"/>
                <w:sz w:val="19"/>
              </w:rPr>
              <w:t>NOT IMPLEMENTED</w:t>
            </w:r>
          </w:p>
        </w:tc>
        <w:tc>
          <w:tcPr>
            <w:tcW w:type="dxa" w:w="1337"/>
            <w:tcMar>
              <w:top w:w="80" w:type="dxa"/>
              <w:bottom w:w="80" w:type="dxa"/>
              <w:left w:w="120" w:type="dxa"/>
              <w:right w:w="120" w:type="dxa"/>
            </w:tcMar>
            <w:shd w:fill="F9FAFB"/>
          </w:tcPr>
          <w:p>
            <w:pPr>
              <w:spacing w:before="40" w:after="40"/>
            </w:pPr>
            <w:r>
              <w:rPr>
                <w:rFonts w:ascii="Consolas" w:hAnsi="Consolas"/>
                <w:sz w:val="19"/>
              </w:rPr>
              <w:t>NOT TESTED</w:t>
            </w:r>
          </w:p>
        </w:tc>
        <w:tc>
          <w:tcPr>
            <w:tcW w:type="dxa" w:w="1337"/>
            <w:tcMar>
              <w:top w:w="80" w:type="dxa"/>
              <w:bottom w:w="80" w:type="dxa"/>
              <w:left w:w="120" w:type="dxa"/>
              <w:right w:w="120" w:type="dxa"/>
            </w:tcMar>
            <w:shd w:fill="F9FAFB"/>
          </w:tcPr>
          <w:p>
            <w:pPr>
              <w:spacing w:before="40" w:after="40"/>
            </w:pPr>
            <w:r>
              <w:rPr>
                <w:sz w:val="19"/>
              </w:rPr>
              <w:t>6-month dual-write compatibility window and invoice protection rules specified.</w:t>
            </w:r>
          </w:p>
        </w:tc>
      </w:tr>
    </w:tbl>
    <w:p>
      <w:pPr>
        <w:spacing w:after="120" w:before="0"/>
      </w:pPr>
    </w:p>
    <w:p>
      <w:pPr>
        <w:pStyle w:val="Heading2"/>
        <w:spacing w:before="280" w:after="120"/>
      </w:pPr>
      <w:r>
        <w:rPr>
          <w:b/>
          <w:color w:val="1E56A0"/>
          <w:sz w:val="30"/>
        </w:rPr>
        <w:t>5. Implementation Readiness &amp; Sign-Off</w:t>
      </w:r>
    </w:p>
    <w:tbl>
      <w:tblPr>
        <w:tblW w:type="auto" w:w="0"/>
        <w:jc w:val="center"/>
        <w:tblLook w:firstColumn="1" w:firstRow="1" w:lastColumn="0" w:lastRow="0" w:noHBand="0" w:noVBand="1" w:val="04A0"/>
      </w:tblPr>
      <w:tblGrid>
        <w:gridCol w:w="9360"/>
      </w:tblGrid>
      <w:tr>
        <w:tc>
          <w:tcPr>
            <w:tcW w:type="dxa" w:w="9360"/>
            <w:shd w:fill="EBF3FB"/>
            <w:tcMar>
              <w:top w:w="100" w:type="dxa"/>
              <w:bottom w:w="100" w:type="dxa"/>
              <w:left w:w="180" w:type="dxa"/>
              <w:right w:w="180" w:type="dxa"/>
            </w:tcMar>
          </w:tcPr>
          <w:p>
            <w:pPr>
              <w:spacing w:before="40" w:after="40"/>
            </w:pPr>
            <w:r>
              <w:rPr>
                <w:sz w:val="21"/>
              </w:rPr>
              <w:t xml:space="preserve">[!IMPORTANT] </w:t>
            </w:r>
            <w:r>
              <w:rPr>
                <w:b/>
                <w:color w:val="102C57"/>
                <w:sz w:val="21"/>
              </w:rPr>
              <w:t>Document Status</w:t>
            </w:r>
            <w:r>
              <w:rPr>
                <w:sz w:val="21"/>
              </w:rPr>
              <w:t xml:space="preserve">: </w:t>
            </w:r>
            <w:r>
              <w:rPr>
                <w:rFonts w:ascii="Consolas" w:hAnsi="Consolas"/>
                <w:sz w:val="21"/>
              </w:rPr>
              <w:t>Decision Baseline Candidate — Pending Final Stakeholder Sign-Off</w:t>
            </w:r>
            <w:r>
              <w:rPr>
                <w:sz w:val="21"/>
              </w:rPr>
              <w:t xml:space="preserve">   With all 21 clarification items resolved with proposed decisions, complete narrative rationales, edge-case ambiguity resolutions, illustrative technical reference specifications, dedicated DEMO-11 baseline sync architecture with PostgreSQL partial unique index, and the granular FSD Traceability Matrix (DEMO-01 to DEMO-12), this document is formally submitted as the </w:t>
            </w:r>
            <w:r>
              <w:rPr>
                <w:b/>
                <w:color w:val="102C57"/>
                <w:sz w:val="21"/>
              </w:rPr>
              <w:t>Final Decision Baseline Candidate (v0.08)</w:t>
            </w:r>
            <w:r>
              <w:rPr>
                <w:sz w:val="21"/>
              </w:rPr>
              <w:t xml:space="preserve"> for final stakeholder sign-off and baseline promotion to v1.00.</w:t>
            </w:r>
          </w:p>
        </w:tc>
      </w:tr>
    </w:tbl>
    <w:p>
      <w:pPr>
        <w:spacing w:after="80" w:before="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