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1B1B"/>
          <w:sz w:val="22"/>
        </w:rPr>
        <w:t>SECUREPROFIT HUB</w:t>
      </w:r>
    </w:p>
    <w:p>
      <w:pPr>
        <w:jc w:val="center"/>
      </w:pPr>
      <w:r>
        <w:rPr>
          <w:b/>
          <w:color w:val="242E3E"/>
          <w:sz w:val="50"/>
        </w:rPr>
        <w:t>Sales Module and Pipedrive</w:t>
        <w:br/>
        <w:t>Integration Feasibility Analysis</w:t>
      </w:r>
    </w:p>
    <w:p>
      <w:pPr>
        <w:jc w:val="center"/>
      </w:pPr>
      <w:r>
        <w:rPr>
          <w:color w:val="5A5A5A"/>
          <w:sz w:val="26"/>
        </w:rPr>
        <w:t>Options, Pros and Cons, Risks, and Recommendation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90" w:type="dxa"/>
              <w:start w:w="100" w:type="dxa"/>
              <w:bottom w:w="90" w:type="dxa"/>
              <w:end w:w="100" w:type="dxa"/>
            </w:tcMar>
            <w:shd w:fill="991B1B"/>
          </w:tcPr>
          <w:p>
            <w:r/>
            <w:r>
              <w:rPr>
                <w:b/>
                <w:color w:val="FFFFFF"/>
                <w:sz w:val="18"/>
              </w:rPr>
              <w:t>Document</w:t>
            </w:r>
          </w:p>
        </w:tc>
        <w:tc>
          <w:tcPr>
            <w:tcW w:type="dxa" w:w="5040"/>
            <w:vAlign w:val="center"/>
            <w:tcMar>
              <w:top w:w="90" w:type="dxa"/>
              <w:start w:w="100" w:type="dxa"/>
              <w:bottom w:w="90" w:type="dxa"/>
              <w:end w:w="100" w:type="dxa"/>
            </w:tcMar>
          </w:tcPr>
          <w:p>
            <w:r/>
            <w:r>
              <w:rPr>
                <w:b w:val="0"/>
                <w:sz w:val="18"/>
              </w:rPr>
              <w:t>Technical Assessment</w:t>
            </w:r>
          </w:p>
        </w:tc>
      </w:tr>
      <w:tr>
        <w:tc>
          <w:tcPr>
            <w:tcW w:type="dxa" w:w="5040"/>
            <w:vAlign w:val="center"/>
            <w:tcMar>
              <w:top w:w="90" w:type="dxa"/>
              <w:start w:w="100" w:type="dxa"/>
              <w:bottom w:w="90" w:type="dxa"/>
              <w:end w:w="100" w:type="dxa"/>
            </w:tcMar>
            <w:shd w:fill="991B1B"/>
          </w:tcPr>
          <w:p>
            <w:r/>
            <w:r>
              <w:rPr>
                <w:b/>
                <w:color w:val="FFFFFF"/>
                <w:sz w:val="18"/>
              </w:rPr>
              <w:t>Scope</w:t>
            </w:r>
          </w:p>
        </w:tc>
        <w:tc>
          <w:tcPr>
            <w:tcW w:type="dxa" w:w="5040"/>
            <w:vAlign w:val="center"/>
            <w:tcMar>
              <w:top w:w="90" w:type="dxa"/>
              <w:start w:w="100" w:type="dxa"/>
              <w:bottom w:w="90" w:type="dxa"/>
              <w:end w:w="100" w:type="dxa"/>
            </w:tcMar>
          </w:tcPr>
          <w:p>
            <w:r/>
            <w:r>
              <w:rPr>
                <w:b w:val="0"/>
                <w:sz w:val="18"/>
              </w:rPr>
              <w:t>Sales Pipeline, CRM, and Pipedrive</w:t>
            </w:r>
          </w:p>
        </w:tc>
      </w:tr>
      <w:tr>
        <w:tc>
          <w:tcPr>
            <w:tcW w:type="dxa" w:w="5040"/>
            <w:vAlign w:val="center"/>
            <w:tcMar>
              <w:top w:w="90" w:type="dxa"/>
              <w:start w:w="100" w:type="dxa"/>
              <w:bottom w:w="90" w:type="dxa"/>
              <w:end w:w="100" w:type="dxa"/>
            </w:tcMar>
            <w:shd w:fill="991B1B"/>
          </w:tcPr>
          <w:p>
            <w:r/>
            <w:r>
              <w:rPr>
                <w:b/>
                <w:color w:val="FFFFFF"/>
                <w:sz w:val="18"/>
              </w:rPr>
              <w:t>Language</w:t>
            </w:r>
          </w:p>
        </w:tc>
        <w:tc>
          <w:tcPr>
            <w:tcW w:type="dxa" w:w="5040"/>
            <w:vAlign w:val="center"/>
            <w:tcMar>
              <w:top w:w="90" w:type="dxa"/>
              <w:start w:w="100" w:type="dxa"/>
              <w:bottom w:w="90" w:type="dxa"/>
              <w:end w:w="100" w:type="dxa"/>
            </w:tcMar>
          </w:tcPr>
          <w:p>
            <w:r/>
            <w:r>
              <w:rPr>
                <w:b w:val="0"/>
                <w:sz w:val="18"/>
              </w:rPr>
              <w:t>English</w:t>
            </w:r>
          </w:p>
        </w:tc>
      </w:tr>
      <w:tr>
        <w:tc>
          <w:tcPr>
            <w:tcW w:type="dxa" w:w="5040"/>
            <w:vAlign w:val="center"/>
            <w:tcMar>
              <w:top w:w="90" w:type="dxa"/>
              <w:start w:w="100" w:type="dxa"/>
              <w:bottom w:w="90" w:type="dxa"/>
              <w:end w:w="100" w:type="dxa"/>
            </w:tcMar>
            <w:shd w:fill="991B1B"/>
          </w:tcPr>
          <w:p>
            <w:r/>
            <w:r>
              <w:rPr>
                <w:b/>
                <w:color w:val="FFFFFF"/>
                <w:sz w:val="18"/>
              </w:rPr>
              <w:t>Date</w:t>
            </w:r>
          </w:p>
        </w:tc>
        <w:tc>
          <w:tcPr>
            <w:tcW w:type="dxa" w:w="5040"/>
            <w:vAlign w:val="center"/>
            <w:tcMar>
              <w:top w:w="90" w:type="dxa"/>
              <w:start w:w="100" w:type="dxa"/>
              <w:bottom w:w="90" w:type="dxa"/>
              <w:end w:w="100" w:type="dxa"/>
            </w:tcMar>
          </w:tcPr>
          <w:p>
            <w:r/>
            <w:r>
              <w:rPr>
                <w:b w:val="0"/>
                <w:sz w:val="18"/>
              </w:rPr>
              <w:t>3 September 2026</w:t>
            </w:r>
          </w:p>
        </w:tc>
      </w:tr>
    </w:tbl>
    <w:p>
      <w:r>
        <w:br w:type="page"/>
      </w:r>
    </w:p>
    <w:p>
      <w:pPr>
        <w:pStyle w:val="Heading1"/>
      </w:pPr>
      <w:r>
        <w:t>Executive Summary</w:t>
      </w:r>
    </w:p>
    <w:p>
      <w:r>
        <w:t>SecureProfit Hub can technically be extended into a Sales/CRM module covering the core functions of Pipedrive and integrated directly with project delivery, billing, and profitability. The main foundations already exist, so this is not a greenfield CRM build.</w:t>
      </w:r>
    </w:p>
    <w:p>
      <w:r>
        <w:rPr>
          <w:b/>
        </w:rPr>
        <w:t xml:space="preserve">Primary recommendation: </w:t>
      </w:r>
      <w:r>
        <w:t>adopt a hybrid model. Keep Pipedrive for early lead management, communications, activity automation, and mobile CRM. Make SecureProfit the system of record for qualified opportunities, commercial governance, proposals, project conversion, delivery, billing, and profitability.</w:t>
      </w:r>
    </w:p>
    <w:p>
      <w:pPr>
        <w:pStyle w:val="Heading1"/>
      </w:pPr>
      <w:r>
        <w:t>1. Current SecureProfit Capabilities</w:t>
      </w:r>
    </w:p>
    <w:p>
      <w:pPr>
        <w:pStyle w:val="ListBullet"/>
      </w:pPr>
      <w:r>
        <w:t>Six-stage pipeline: NEW, QUALIFIED, PROPOSAL, NEGOTIATION, WON, and LOST.</w:t>
      </w:r>
    </w:p>
    <w:p>
      <w:pPr>
        <w:pStyle w:val="ListBullet"/>
      </w:pPr>
      <w:r>
        <w:t>Kanban and list views, search, filters, and ownership by SALES users.</w:t>
      </w:r>
    </w:p>
    <w:p>
      <w:pPr>
        <w:pStyle w:val="ListBullet"/>
      </w:pPr>
      <w:r>
        <w:t>Estimated value, probability, expected close date, contact, company, region, and lost reason.</w:t>
      </w:r>
    </w:p>
    <w:p>
      <w:pPr>
        <w:pStyle w:val="ListBullet"/>
      </w:pPr>
      <w:r>
        <w:t>CALL, EMAIL, MEETING, and NOTE activities with outcome and next action.</w:t>
      </w:r>
    </w:p>
    <w:p>
      <w:pPr>
        <w:pStyle w:val="ListBullet"/>
      </w:pPr>
      <w:r>
        <w:t>Weighted pipeline, funnel and conversion analytics, and expected revenue projections.</w:t>
      </w:r>
    </w:p>
    <w:p>
      <w:pPr>
        <w:pStyle w:val="ListBullet"/>
      </w:pPr>
      <w:r>
        <w:t>Lead reassignment, CSV import, and Lead-to-Project conversion.</w:t>
      </w:r>
    </w:p>
    <w:p>
      <w:pPr>
        <w:pStyle w:val="ListBullet"/>
      </w:pPr>
      <w:r>
        <w:t>One-way Pipedrive Deal-to-SecureProfit Lead import through manual sync, periodic sync, and webhooks.</w:t>
      </w:r>
    </w:p>
    <w:p>
      <w:pPr>
        <w:pStyle w:val="ListBullet"/>
      </w:pPr>
      <w:r>
        <w:t>Default owner and Pipedrive stage mapping administration.</w:t>
      </w:r>
    </w:p>
    <w:p>
      <w:r>
        <w:t>Assessment: SecureProfit already provides a solid basic CRM foundation, but it is not yet equivalent to a full CRM for email, calendar, workflow automation, proposals, quotations, products and line items, or historical forecasting.</w:t>
      </w:r>
    </w:p>
    <w:p>
      <w:pPr>
        <w:pStyle w:val="Heading1"/>
      </w:pPr>
      <w:r>
        <w:t>2. Option 1 — Continue Using Pipedrive</w:t>
      </w:r>
    </w:p>
    <w:p>
      <w:r>
        <w:t>SecureProfit retains the current one-way integration while Pipedrive remains the primary Sales workspace.</w:t>
      </w:r>
    </w:p>
    <w:p>
      <w:pPr>
        <w:pStyle w:val="Heading2"/>
      </w:pPr>
      <w:r>
        <w:t>Advantages</w:t>
      </w:r>
    </w:p>
    <w:p>
      <w:pPr>
        <w:pStyle w:val="ListBullet"/>
      </w:pPr>
      <w:r>
        <w:t>Lowest implementation risk and minimal process change.</w:t>
      </w:r>
    </w:p>
    <w:p>
      <w:pPr>
        <w:pStyle w:val="ListBullet"/>
      </w:pPr>
      <w:r>
        <w:t>Retains mature configurable pipelines, activity scheduling, reminders, email, workflow automation, reporting, mobile apps, and third-party integrations.</w:t>
      </w:r>
    </w:p>
    <w:p>
      <w:pPr>
        <w:pStyle w:val="ListBullet"/>
      </w:pPr>
      <w:r>
        <w:t>Avoids rebuilding and maintaining an entire CRM platform.</w:t>
      </w:r>
    </w:p>
    <w:p>
      <w:pPr>
        <w:pStyle w:val="Heading2"/>
      </w:pPr>
      <w:r>
        <w:t>Disadvantages</w:t>
      </w:r>
    </w:p>
    <w:p>
      <w:pPr>
        <w:pStyle w:val="ListBullet"/>
      </w:pPr>
      <w:r>
        <w:t>Two applications and licensing arrangements remain.</w:t>
      </w:r>
    </w:p>
    <w:p>
      <w:pPr>
        <w:pStyle w:val="ListBullet"/>
      </w:pPr>
      <w:r>
        <w:t>Data is distributed and double entry may continue.</w:t>
      </w:r>
    </w:p>
    <w:p>
      <w:pPr>
        <w:pStyle w:val="ListBullet"/>
      </w:pPr>
      <w:r>
        <w:t>The current synchronization direction is Pipedrive to SecureProfit only.</w:t>
      </w:r>
    </w:p>
    <w:p>
      <w:pPr>
        <w:pStyle w:val="ListBullet"/>
      </w:pPr>
      <w:r>
        <w:t>Pipedrive does not own SecureProfit delivery, billing, cost, and profitability lifecycles.</w:t>
      </w:r>
    </w:p>
    <w:p>
      <w:pPr>
        <w:pStyle w:val="ListBullet"/>
      </w:pPr>
      <w:r>
        <w:t>Continued dependency on Pipedrive APIs, tokens, webhooks, and custom fields.</w:t>
      </w:r>
    </w:p>
    <w:p>
      <w:r>
        <w:rPr>
          <w:b/>
        </w:rPr>
        <w:t xml:space="preserve">Suitable when: </w:t>
      </w:r>
      <w:r>
        <w:t>Sales relies heavily on Pipedrive automation, email, calendar, and mobile functionality, while SecureProfit only needs pipeline visibility.</w:t>
      </w:r>
    </w:p>
    <w:p>
      <w:pPr>
        <w:pStyle w:val="Heading1"/>
      </w:pPr>
      <w:r>
        <w:t>3. Option 2 — Build a Full CRM in SecureProfit</w:t>
      </w:r>
    </w:p>
    <w:p>
      <w:r>
        <w:t>All Sales processes move into SecureProfit and Pipedrive is eventually retired.</w:t>
      </w:r>
    </w:p>
    <w:p>
      <w:pPr>
        <w:pStyle w:val="Heading2"/>
      </w:pPr>
      <w:r>
        <w:t>Advantages</w:t>
      </w:r>
    </w:p>
    <w:p>
      <w:pPr>
        <w:pStyle w:val="ListBullet"/>
      </w:pPr>
      <w:r>
        <w:t>One system from Lead through Project, Billing, Revenue, and Profitability.</w:t>
      </w:r>
    </w:p>
    <w:p>
      <w:pPr>
        <w:pStyle w:val="ListBullet"/>
      </w:pPr>
      <w:r>
        <w:t>No double entry or dependency on Pipedrive data structures.</w:t>
      </w:r>
    </w:p>
    <w:p>
      <w:pPr>
        <w:pStyle w:val="ListBullet"/>
      </w:pPr>
      <w:r>
        <w:t>Governance, approvals, audit, and reporting can be fully tailored.</w:t>
      </w:r>
    </w:p>
    <w:p>
      <w:pPr>
        <w:pStyle w:val="ListBullet"/>
      </w:pPr>
      <w:r>
        <w:t>Potential reduction in external CRM licensing costs.</w:t>
      </w:r>
    </w:p>
    <w:p>
      <w:pPr>
        <w:pStyle w:val="Heading2"/>
      </w:pPr>
      <w:r>
        <w:t>Disadvantages</w:t>
      </w:r>
    </w:p>
    <w:p>
      <w:pPr>
        <w:pStyle w:val="ListBullet"/>
      </w:pPr>
      <w:r>
        <w:t>Highest development and maintenance cost.</w:t>
      </w:r>
    </w:p>
    <w:p>
      <w:pPr>
        <w:pStyle w:val="ListBullet"/>
      </w:pPr>
      <w:r>
        <w:t>Requires email and calendar synchronization, reminders, automation, flexible pipelines, proposals, quotations, product lines, duplicate detection, forecast snapshots, and a full mobile Sales experience.</w:t>
      </w:r>
    </w:p>
    <w:p>
      <w:pPr>
        <w:pStyle w:val="ListBullet"/>
      </w:pPr>
      <w:r>
        <w:t>Higher user adoption and process-change risk.</w:t>
      </w:r>
    </w:p>
    <w:p>
      <w:pPr>
        <w:pStyle w:val="ListBullet"/>
      </w:pPr>
      <w:r>
        <w:t>CRM development may distract from SecureProfit’s core PSA and profitability capabilities.</w:t>
      </w:r>
    </w:p>
    <w:p>
      <w:r>
        <w:rPr>
          <w:b/>
        </w:rPr>
        <w:t xml:space="preserve">Suitable when: </w:t>
      </w:r>
      <w:r>
        <w:t>the organization is committed to retiring Pipedrive, Sales processes are highly specialized, and there is a long-term commitment to operate a CRM product.</w:t>
      </w:r>
    </w:p>
    <w:p>
      <w:pPr>
        <w:pStyle w:val="Heading1"/>
      </w:pPr>
      <w:r>
        <w:t>4. Option 3 — Integrated Hybrid Model (Recommended)</w:t>
      </w:r>
    </w:p>
    <w:p>
      <w:r>
        <w:t>SecureProfit develops a Sales &amp; Commercial Module rather than attempting to copy the entire Pipedrive product.</w:t>
      </w:r>
    </w:p>
    <w:p>
      <w:pPr>
        <w:pStyle w:val="Heading2"/>
      </w:pPr>
      <w:r>
        <w:t>Advantages</w:t>
      </w:r>
    </w:p>
    <w:p>
      <w:pPr>
        <w:pStyle w:val="ListBullet"/>
      </w:pPr>
      <w:r>
        <w:t>Combines Pipedrive’s mature CRM capabilities with SecureProfit’s commercial and delivery controls.</w:t>
      </w:r>
    </w:p>
    <w:p>
      <w:pPr>
        <w:pStyle w:val="ListBullet"/>
      </w:pPr>
      <w:r>
        <w:t>Lower migration and user-change risk.</w:t>
      </w:r>
    </w:p>
    <w:p>
      <w:pPr>
        <w:pStyle w:val="ListBullet"/>
      </w:pPr>
      <w:r>
        <w:t>Enables end-to-end Sales-to-Profit reporting.</w:t>
      </w:r>
    </w:p>
    <w:p>
      <w:pPr>
        <w:pStyle w:val="ListBullet"/>
      </w:pPr>
      <w:r>
        <w:t>Qualified opportunity through project activation can follow one auditable governance process.</w:t>
      </w:r>
    </w:p>
    <w:p>
      <w:pPr>
        <w:pStyle w:val="Heading2"/>
      </w:pPr>
      <w:r>
        <w:t>Disadvantages</w:t>
      </w:r>
    </w:p>
    <w:p>
      <w:pPr>
        <w:pStyle w:val="ListBullet"/>
      </w:pPr>
      <w:r>
        <w:t>Two applications remain in use.</w:t>
      </w:r>
    </w:p>
    <w:p>
      <w:pPr>
        <w:pStyle w:val="ListBullet"/>
      </w:pPr>
      <w:r>
        <w:t>A clear system of record is required for every process and field.</w:t>
      </w:r>
    </w:p>
    <w:p>
      <w:pPr>
        <w:pStyle w:val="ListBullet"/>
      </w:pPr>
      <w:r>
        <w:t>Reconciliation, synchronization monitoring, and conflict rules are required.</w:t>
      </w:r>
    </w:p>
    <w:p>
      <w:pPr>
        <w:pStyle w:val="ListBullet"/>
      </w:pPr>
      <w:r>
        <w:t>Pipedrive licensing cannot be removed immediately.</w:t>
      </w:r>
    </w:p>
    <w:p>
      <w:r>
        <w:rPr>
          <w:b/>
        </w:rPr>
        <w:t xml:space="preserve">Suitable when: </w:t>
      </w:r>
      <w:r>
        <w:t>the organization wants end-to-end integration without rebuilding email, calendar, automation, and mobile CRM at the same time.</w:t>
      </w:r>
    </w:p>
    <w:p>
      <w:pPr>
        <w:pStyle w:val="Heading1"/>
      </w:pPr>
      <w:r>
        <w:t>5. Recommended System of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90" w:type="dxa"/>
              <w:start w:w="100" w:type="dxa"/>
              <w:bottom w:w="90" w:type="dxa"/>
              <w:end w:w="100" w:type="dxa"/>
            </w:tcMar>
            <w:shd w:fill="24303E"/>
          </w:tcPr>
          <w:p>
            <w:r/>
            <w:r>
              <w:rPr>
                <w:b/>
                <w:color w:val="FFFFFF"/>
                <w:sz w:val="18"/>
              </w:rPr>
              <w:t>Information or process</w:t>
            </w:r>
          </w:p>
        </w:tc>
        <w:tc>
          <w:tcPr>
            <w:tcW w:type="dxa" w:w="5040"/>
            <w:vAlign w:val="center"/>
            <w:tcMar>
              <w:top w:w="90" w:type="dxa"/>
              <w:start w:w="100" w:type="dxa"/>
              <w:bottom w:w="90" w:type="dxa"/>
              <w:end w:w="100" w:type="dxa"/>
            </w:tcMar>
            <w:shd w:fill="24303E"/>
          </w:tcPr>
          <w:p>
            <w:r/>
            <w:r>
              <w:rPr>
                <w:b/>
                <w:color w:val="FFFFFF"/>
                <w:sz w:val="18"/>
              </w:rPr>
              <w:t>Primary system</w:t>
            </w:r>
          </w:p>
        </w:tc>
      </w:tr>
      <w:tr>
        <w:tc>
          <w:tcPr>
            <w:tcW w:type="dxa" w:w="5040"/>
            <w:vAlign w:val="center"/>
            <w:tcMar>
              <w:top w:w="90" w:type="dxa"/>
              <w:start w:w="100" w:type="dxa"/>
              <w:bottom w:w="90" w:type="dxa"/>
              <w:end w:w="100" w:type="dxa"/>
            </w:tcMar>
            <w:shd w:fill="FFFFFF"/>
          </w:tcPr>
          <w:p>
            <w:r/>
            <w:r>
              <w:rPr>
                <w:b w:val="0"/>
                <w:sz w:val="18"/>
              </w:rPr>
              <w:t>Early leads and communications</w:t>
            </w:r>
          </w:p>
        </w:tc>
        <w:tc>
          <w:tcPr>
            <w:tcW w:type="dxa" w:w="5040"/>
            <w:vAlign w:val="center"/>
            <w:tcMar>
              <w:top w:w="90" w:type="dxa"/>
              <w:start w:w="100" w:type="dxa"/>
              <w:bottom w:w="90" w:type="dxa"/>
              <w:end w:w="100" w:type="dxa"/>
            </w:tcMar>
            <w:shd w:fill="FFFFFF"/>
          </w:tcPr>
          <w:p>
            <w:r/>
            <w:r>
              <w:rPr>
                <w:b w:val="0"/>
                <w:sz w:val="18"/>
              </w:rPr>
              <w:t>Pipedrive</w:t>
            </w:r>
          </w:p>
        </w:tc>
      </w:tr>
      <w:tr>
        <w:tc>
          <w:tcPr>
            <w:tcW w:type="dxa" w:w="5040"/>
            <w:vAlign w:val="center"/>
            <w:tcMar>
              <w:top w:w="90" w:type="dxa"/>
              <w:start w:w="100" w:type="dxa"/>
              <w:bottom w:w="90" w:type="dxa"/>
              <w:end w:w="100" w:type="dxa"/>
            </w:tcMar>
            <w:shd w:fill="F3F4F6"/>
          </w:tcPr>
          <w:p>
            <w:r/>
            <w:r>
              <w:rPr>
                <w:b w:val="0"/>
                <w:sz w:val="18"/>
              </w:rPr>
              <w:t>Email, calendar, reminders, and activity automation</w:t>
            </w:r>
          </w:p>
        </w:tc>
        <w:tc>
          <w:tcPr>
            <w:tcW w:type="dxa" w:w="5040"/>
            <w:vAlign w:val="center"/>
            <w:tcMar>
              <w:top w:w="90" w:type="dxa"/>
              <w:start w:w="100" w:type="dxa"/>
              <w:bottom w:w="90" w:type="dxa"/>
              <w:end w:w="100" w:type="dxa"/>
            </w:tcMar>
            <w:shd w:fill="F3F4F6"/>
          </w:tcPr>
          <w:p>
            <w:r/>
            <w:r>
              <w:rPr>
                <w:b w:val="0"/>
                <w:sz w:val="18"/>
              </w:rPr>
              <w:t>Pipedrive</w:t>
            </w:r>
          </w:p>
        </w:tc>
      </w:tr>
      <w:tr>
        <w:tc>
          <w:tcPr>
            <w:tcW w:type="dxa" w:w="5040"/>
            <w:vAlign w:val="center"/>
            <w:tcMar>
              <w:top w:w="90" w:type="dxa"/>
              <w:start w:w="100" w:type="dxa"/>
              <w:bottom w:w="90" w:type="dxa"/>
              <w:end w:w="100" w:type="dxa"/>
            </w:tcMar>
            <w:shd w:fill="FFFFFF"/>
          </w:tcPr>
          <w:p>
            <w:r/>
            <w:r>
              <w:rPr>
                <w:b w:val="0"/>
                <w:sz w:val="18"/>
              </w:rPr>
              <w:t>Qualified opportunities</w:t>
            </w:r>
          </w:p>
        </w:tc>
        <w:tc>
          <w:tcPr>
            <w:tcW w:type="dxa" w:w="5040"/>
            <w:vAlign w:val="center"/>
            <w:tcMar>
              <w:top w:w="90" w:type="dxa"/>
              <w:start w:w="100" w:type="dxa"/>
              <w:bottom w:w="90" w:type="dxa"/>
              <w:end w:w="100" w:type="dxa"/>
            </w:tcMar>
            <w:shd w:fill="FFFFFF"/>
          </w:tcPr>
          <w:p>
            <w:r/>
            <w:r>
              <w:rPr>
                <w:b w:val="0"/>
                <w:sz w:val="18"/>
              </w:rPr>
              <w:t>SecureProfit</w:t>
            </w:r>
          </w:p>
        </w:tc>
      </w:tr>
      <w:tr>
        <w:tc>
          <w:tcPr>
            <w:tcW w:type="dxa" w:w="5040"/>
            <w:vAlign w:val="center"/>
            <w:tcMar>
              <w:top w:w="90" w:type="dxa"/>
              <w:start w:w="100" w:type="dxa"/>
              <w:bottom w:w="90" w:type="dxa"/>
              <w:end w:w="100" w:type="dxa"/>
            </w:tcMar>
            <w:shd w:fill="F3F4F6"/>
          </w:tcPr>
          <w:p>
            <w:r/>
            <w:r>
              <w:rPr>
                <w:b w:val="0"/>
                <w:sz w:val="18"/>
              </w:rPr>
              <w:t>Commercial budget, cost, and planned margin</w:t>
            </w:r>
          </w:p>
        </w:tc>
        <w:tc>
          <w:tcPr>
            <w:tcW w:type="dxa" w:w="5040"/>
            <w:vAlign w:val="center"/>
            <w:tcMar>
              <w:top w:w="90" w:type="dxa"/>
              <w:start w:w="100" w:type="dxa"/>
              <w:bottom w:w="90" w:type="dxa"/>
              <w:end w:w="100" w:type="dxa"/>
            </w:tcMar>
            <w:shd w:fill="F3F4F6"/>
          </w:tcPr>
          <w:p>
            <w:r/>
            <w:r>
              <w:rPr>
                <w:b w:val="0"/>
                <w:sz w:val="18"/>
              </w:rPr>
              <w:t>SecureProfit</w:t>
            </w:r>
          </w:p>
        </w:tc>
      </w:tr>
      <w:tr>
        <w:tc>
          <w:tcPr>
            <w:tcW w:type="dxa" w:w="5040"/>
            <w:vAlign w:val="center"/>
            <w:tcMar>
              <w:top w:w="90" w:type="dxa"/>
              <w:start w:w="100" w:type="dxa"/>
              <w:bottom w:w="90" w:type="dxa"/>
              <w:end w:w="100" w:type="dxa"/>
            </w:tcMar>
            <w:shd w:fill="FFFFFF"/>
          </w:tcPr>
          <w:p>
            <w:r/>
            <w:r>
              <w:rPr>
                <w:b w:val="0"/>
                <w:sz w:val="18"/>
              </w:rPr>
              <w:t>Proposal and commercial approval</w:t>
            </w:r>
          </w:p>
        </w:tc>
        <w:tc>
          <w:tcPr>
            <w:tcW w:type="dxa" w:w="5040"/>
            <w:vAlign w:val="center"/>
            <w:tcMar>
              <w:top w:w="90" w:type="dxa"/>
              <w:start w:w="100" w:type="dxa"/>
              <w:bottom w:w="90" w:type="dxa"/>
              <w:end w:w="100" w:type="dxa"/>
            </w:tcMar>
            <w:shd w:fill="FFFFFF"/>
          </w:tcPr>
          <w:p>
            <w:r/>
            <w:r>
              <w:rPr>
                <w:b w:val="0"/>
                <w:sz w:val="18"/>
              </w:rPr>
              <w:t>SecureProfit</w:t>
            </w:r>
          </w:p>
        </w:tc>
      </w:tr>
      <w:tr>
        <w:tc>
          <w:tcPr>
            <w:tcW w:type="dxa" w:w="5040"/>
            <w:vAlign w:val="center"/>
            <w:tcMar>
              <w:top w:w="90" w:type="dxa"/>
              <w:start w:w="100" w:type="dxa"/>
              <w:bottom w:w="90" w:type="dxa"/>
              <w:end w:w="100" w:type="dxa"/>
            </w:tcMar>
            <w:shd w:fill="F3F4F6"/>
          </w:tcPr>
          <w:p>
            <w:r/>
            <w:r>
              <w:rPr>
                <w:b w:val="0"/>
                <w:sz w:val="18"/>
              </w:rPr>
              <w:t>Contract and PO readiness</w:t>
            </w:r>
          </w:p>
        </w:tc>
        <w:tc>
          <w:tcPr>
            <w:tcW w:type="dxa" w:w="5040"/>
            <w:vAlign w:val="center"/>
            <w:tcMar>
              <w:top w:w="90" w:type="dxa"/>
              <w:start w:w="100" w:type="dxa"/>
              <w:bottom w:w="90" w:type="dxa"/>
              <w:end w:w="100" w:type="dxa"/>
            </w:tcMar>
            <w:shd w:fill="F3F4F6"/>
          </w:tcPr>
          <w:p>
            <w:r/>
            <w:r>
              <w:rPr>
                <w:b w:val="0"/>
                <w:sz w:val="18"/>
              </w:rPr>
              <w:t>SecureProfit</w:t>
            </w:r>
          </w:p>
        </w:tc>
      </w:tr>
      <w:tr>
        <w:tc>
          <w:tcPr>
            <w:tcW w:type="dxa" w:w="5040"/>
            <w:vAlign w:val="center"/>
            <w:tcMar>
              <w:top w:w="90" w:type="dxa"/>
              <w:start w:w="100" w:type="dxa"/>
              <w:bottom w:w="90" w:type="dxa"/>
              <w:end w:w="100" w:type="dxa"/>
            </w:tcMar>
            <w:shd w:fill="FFFFFF"/>
          </w:tcPr>
          <w:p>
            <w:r/>
            <w:r>
              <w:rPr>
                <w:b w:val="0"/>
                <w:sz w:val="18"/>
              </w:rPr>
              <w:t>Project creation and activation</w:t>
            </w:r>
          </w:p>
        </w:tc>
        <w:tc>
          <w:tcPr>
            <w:tcW w:type="dxa" w:w="5040"/>
            <w:vAlign w:val="center"/>
            <w:tcMar>
              <w:top w:w="90" w:type="dxa"/>
              <w:start w:w="100" w:type="dxa"/>
              <w:bottom w:w="90" w:type="dxa"/>
              <w:end w:w="100" w:type="dxa"/>
            </w:tcMar>
            <w:shd w:fill="FFFFFF"/>
          </w:tcPr>
          <w:p>
            <w:r/>
            <w:r>
              <w:rPr>
                <w:b w:val="0"/>
                <w:sz w:val="18"/>
              </w:rPr>
              <w:t>SecureProfit</w:t>
            </w:r>
          </w:p>
        </w:tc>
      </w:tr>
      <w:tr>
        <w:tc>
          <w:tcPr>
            <w:tcW w:type="dxa" w:w="5040"/>
            <w:vAlign w:val="center"/>
            <w:tcMar>
              <w:top w:w="90" w:type="dxa"/>
              <w:start w:w="100" w:type="dxa"/>
              <w:bottom w:w="90" w:type="dxa"/>
              <w:end w:w="100" w:type="dxa"/>
            </w:tcMar>
            <w:shd w:fill="F3F4F6"/>
          </w:tcPr>
          <w:p>
            <w:r/>
            <w:r>
              <w:rPr>
                <w:b w:val="0"/>
                <w:sz w:val="18"/>
              </w:rPr>
              <w:t>Delivery, billing, revenue, cost, and profitability</w:t>
            </w:r>
          </w:p>
        </w:tc>
        <w:tc>
          <w:tcPr>
            <w:tcW w:type="dxa" w:w="5040"/>
            <w:vAlign w:val="center"/>
            <w:tcMar>
              <w:top w:w="90" w:type="dxa"/>
              <w:start w:w="100" w:type="dxa"/>
              <w:bottom w:w="90" w:type="dxa"/>
              <w:end w:w="100" w:type="dxa"/>
            </w:tcMar>
            <w:shd w:fill="F3F4F6"/>
          </w:tcPr>
          <w:p>
            <w:r/>
            <w:r>
              <w:rPr>
                <w:b w:val="0"/>
                <w:sz w:val="18"/>
              </w:rPr>
              <w:t>SecureProfit</w:t>
            </w:r>
          </w:p>
        </w:tc>
      </w:tr>
      <w:tr>
        <w:tc>
          <w:tcPr>
            <w:tcW w:type="dxa" w:w="5040"/>
            <w:vAlign w:val="center"/>
            <w:tcMar>
              <w:top w:w="90" w:type="dxa"/>
              <w:start w:w="100" w:type="dxa"/>
              <w:bottom w:w="90" w:type="dxa"/>
              <w:end w:w="100" w:type="dxa"/>
            </w:tcMar>
            <w:shd w:fill="FFFFFF"/>
          </w:tcPr>
          <w:p>
            <w:r/>
            <w:r>
              <w:rPr>
                <w:b w:val="0"/>
                <w:sz w:val="18"/>
              </w:rPr>
              <w:t>Executive end-to-end reporting</w:t>
            </w:r>
          </w:p>
        </w:tc>
        <w:tc>
          <w:tcPr>
            <w:tcW w:type="dxa" w:w="5040"/>
            <w:vAlign w:val="center"/>
            <w:tcMar>
              <w:top w:w="90" w:type="dxa"/>
              <w:start w:w="100" w:type="dxa"/>
              <w:bottom w:w="90" w:type="dxa"/>
              <w:end w:w="100" w:type="dxa"/>
            </w:tcMar>
            <w:shd w:fill="FFFFFF"/>
          </w:tcPr>
          <w:p>
            <w:r/>
            <w:r>
              <w:rPr>
                <w:b w:val="0"/>
                <w:sz w:val="18"/>
              </w:rPr>
              <w:t>SecureProfit</w:t>
            </w:r>
          </w:p>
        </w:tc>
      </w:tr>
    </w:tbl>
    <w:p>
      <w:pPr>
        <w:pStyle w:val="Heading1"/>
      </w:pPr>
      <w:r>
        <w:t>6. Functional Gaps to Build</w:t>
      </w:r>
    </w:p>
    <w:p>
      <w:pPr>
        <w:pStyle w:val="Heading2"/>
      </w:pPr>
      <w:r>
        <w:t>Opportunity and pipeline</w:t>
      </w:r>
    </w:p>
    <w:p>
      <w:pPr>
        <w:pStyle w:val="ListBullet"/>
      </w:pPr>
      <w:r>
        <w:t>Configurable pipelines and stages.</w:t>
      </w:r>
    </w:p>
    <w:p>
      <w:pPr>
        <w:pStyle w:val="ListBullet"/>
      </w:pPr>
      <w:r>
        <w:t>Stage history, stage aging, and mandatory fields by stage.</w:t>
      </w:r>
    </w:p>
    <w:p>
      <w:pPr>
        <w:pStyle w:val="ListBullet"/>
      </w:pPr>
      <w:r>
        <w:t>Win/loss governance, expected close history, and probability history.</w:t>
      </w:r>
    </w:p>
    <w:p>
      <w:pPr>
        <w:pStyle w:val="Heading2"/>
      </w:pPr>
      <w:r>
        <w:t>Accounts and contacts</w:t>
      </w:r>
    </w:p>
    <w:p>
      <w:pPr>
        <w:pStyle w:val="ListBullet"/>
      </w:pPr>
      <w:r>
        <w:t>Separate prospect organizations, clients, and contacts.</w:t>
      </w:r>
    </w:p>
    <w:p>
      <w:pPr>
        <w:pStyle w:val="ListBullet"/>
      </w:pPr>
      <w:r>
        <w:t>Duplicate detection using name, email, domain, and Pipedrive identifiers.</w:t>
      </w:r>
    </w:p>
    <w:p>
      <w:pPr>
        <w:pStyle w:val="ListBullet"/>
      </w:pPr>
      <w:r>
        <w:t>Multiple contacts per opportunity and a safe merge process.</w:t>
      </w:r>
    </w:p>
    <w:p>
      <w:pPr>
        <w:pStyle w:val="Heading2"/>
      </w:pPr>
      <w:r>
        <w:t>Activity management</w:t>
      </w:r>
    </w:p>
    <w:p>
      <w:pPr>
        <w:pStyle w:val="ListBullet"/>
      </w:pPr>
      <w:r>
        <w:t>Tasks, due dates, reminders, assignees, mandatory next actions, and an overdue dashboard.</w:t>
      </w:r>
    </w:p>
    <w:p>
      <w:pPr>
        <w:pStyle w:val="ListBullet"/>
      </w:pPr>
      <w:r>
        <w:t>Calendar integration only when justified by a critical business requirement.</w:t>
      </w:r>
    </w:p>
    <w:p>
      <w:pPr>
        <w:pStyle w:val="Heading2"/>
      </w:pPr>
      <w:r>
        <w:t>Products and commercial scope</w:t>
      </w:r>
    </w:p>
    <w:p>
      <w:pPr>
        <w:pStyle w:val="ListBullet"/>
      </w:pPr>
      <w:r>
        <w:t>Service or product catalog and opportunity line items.</w:t>
      </w:r>
    </w:p>
    <w:p>
      <w:pPr>
        <w:pStyle w:val="ListBullet"/>
      </w:pPr>
      <w:r>
        <w:t>Quantity, rate, discount, tax, currency, and recurring versus one-time revenue.</w:t>
      </w:r>
    </w:p>
    <w:p>
      <w:pPr>
        <w:pStyle w:val="ListBullet"/>
      </w:pPr>
      <w:r>
        <w:t>Estimated delivery cost, planned margin, and commercial assumptions.</w:t>
      </w:r>
    </w:p>
    <w:p>
      <w:pPr>
        <w:pStyle w:val="Heading2"/>
      </w:pPr>
      <w:r>
        <w:t>Proposals and quotations</w:t>
      </w:r>
    </w:p>
    <w:p>
      <w:pPr>
        <w:pStyle w:val="ListBullet"/>
      </w:pPr>
      <w:r>
        <w:t>Versioning, approvals, document generation, expiry, revision history, and acceptance status.</w:t>
      </w:r>
    </w:p>
    <w:p>
      <w:pPr>
        <w:pStyle w:val="Heading2"/>
      </w:pPr>
      <w:r>
        <w:t>Sales-to-project handover</w:t>
      </w:r>
    </w:p>
    <w:p>
      <w:pPr>
        <w:pStyle w:val="ListBullet"/>
      </w:pPr>
      <w:r>
        <w:t>Immutable scope and commercial snapshots, accepted proposal, contract or PO, planned revenue, cost, margin, milestones, resource assumptions, risks, checklist, and conversion audit.</w:t>
      </w:r>
    </w:p>
    <w:p>
      <w:pPr>
        <w:pStyle w:val="Heading2"/>
      </w:pPr>
      <w:r>
        <w:t>Forecasting and analytics</w:t>
      </w:r>
    </w:p>
    <w:p>
      <w:pPr>
        <w:pStyle w:val="ListBullet"/>
      </w:pPr>
      <w:r>
        <w:t>Forecasts by owner, business unit, service, region, and period.</w:t>
      </w:r>
    </w:p>
    <w:p>
      <w:pPr>
        <w:pStyle w:val="ListBullet"/>
      </w:pPr>
      <w:r>
        <w:t>Commit, best-case, upside, and monthly forecast snapshots.</w:t>
      </w:r>
    </w:p>
    <w:p>
      <w:pPr>
        <w:pStyle w:val="ListBullet"/>
      </w:pPr>
      <w:r>
        <w:t>Forecast versus actual revenue and proposed margin versus actual project margin.</w:t>
      </w:r>
    </w:p>
    <w:p>
      <w:pPr>
        <w:pStyle w:val="Heading1"/>
      </w:pPr>
      <w:r>
        <w:t>7. Current Integration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90" w:type="dxa"/>
              <w:start w:w="100" w:type="dxa"/>
              <w:bottom w:w="90" w:type="dxa"/>
              <w:end w:w="100" w:type="dxa"/>
            </w:tcMar>
            <w:shd w:fill="991B1B"/>
          </w:tcPr>
          <w:p>
            <w:r/>
            <w:r>
              <w:rPr>
                <w:b/>
                <w:color w:val="FFFFFF"/>
                <w:sz w:val="18"/>
              </w:rPr>
              <w:t>No.</w:t>
            </w:r>
          </w:p>
        </w:tc>
        <w:tc>
          <w:tcPr>
            <w:tcW w:type="dxa" w:w="3360"/>
            <w:vAlign w:val="center"/>
            <w:tcMar>
              <w:top w:w="90" w:type="dxa"/>
              <w:start w:w="100" w:type="dxa"/>
              <w:bottom w:w="90" w:type="dxa"/>
              <w:end w:w="100" w:type="dxa"/>
            </w:tcMar>
            <w:shd w:fill="991B1B"/>
          </w:tcPr>
          <w:p>
            <w:r/>
            <w:r>
              <w:rPr>
                <w:b/>
                <w:color w:val="FFFFFF"/>
                <w:sz w:val="18"/>
              </w:rPr>
              <w:t>Risk</w:t>
            </w:r>
          </w:p>
        </w:tc>
        <w:tc>
          <w:tcPr>
            <w:tcW w:type="dxa" w:w="3360"/>
            <w:vAlign w:val="center"/>
            <w:tcMar>
              <w:top w:w="90" w:type="dxa"/>
              <w:start w:w="100" w:type="dxa"/>
              <w:bottom w:w="90" w:type="dxa"/>
              <w:end w:w="100" w:type="dxa"/>
            </w:tcMar>
            <w:shd w:fill="991B1B"/>
          </w:tcPr>
          <w:p>
            <w:r/>
            <w:r>
              <w:rPr>
                <w:b/>
                <w:color w:val="FFFFFF"/>
                <w:sz w:val="18"/>
              </w:rPr>
              <w:t>Impact</w:t>
            </w:r>
          </w:p>
        </w:tc>
      </w:tr>
      <w:tr>
        <w:tc>
          <w:tcPr>
            <w:tcW w:type="dxa" w:w="3360"/>
            <w:vAlign w:val="center"/>
            <w:tcMar>
              <w:top w:w="90" w:type="dxa"/>
              <w:start w:w="100" w:type="dxa"/>
              <w:bottom w:w="90" w:type="dxa"/>
              <w:end w:w="100" w:type="dxa"/>
            </w:tcMar>
          </w:tcPr>
          <w:p>
            <w:r/>
            <w:r>
              <w:rPr>
                <w:b w:val="0"/>
                <w:sz w:val="17"/>
              </w:rPr>
              <w:t>1</w:t>
            </w:r>
          </w:p>
        </w:tc>
        <w:tc>
          <w:tcPr>
            <w:tcW w:type="dxa" w:w="3360"/>
            <w:vAlign w:val="center"/>
            <w:tcMar>
              <w:top w:w="90" w:type="dxa"/>
              <w:start w:w="100" w:type="dxa"/>
              <w:bottom w:w="90" w:type="dxa"/>
              <w:end w:w="100" w:type="dxa"/>
            </w:tcMar>
          </w:tcPr>
          <w:p>
            <w:r/>
            <w:r>
              <w:rPr>
                <w:b/>
                <w:sz w:val="17"/>
              </w:rPr>
              <w:t>One-way synchronization</w:t>
            </w:r>
          </w:p>
        </w:tc>
        <w:tc>
          <w:tcPr>
            <w:tcW w:type="dxa" w:w="3360"/>
            <w:vAlign w:val="center"/>
            <w:tcMar>
              <w:top w:w="90" w:type="dxa"/>
              <w:start w:w="100" w:type="dxa"/>
              <w:bottom w:w="90" w:type="dxa"/>
              <w:end w:w="100" w:type="dxa"/>
            </w:tcMar>
          </w:tcPr>
          <w:p>
            <w:r/>
            <w:r>
              <w:rPr>
                <w:b w:val="0"/>
                <w:sz w:val="17"/>
              </w:rPr>
              <w:t>SecureProfit changes are not written back to Pipedrive.</w:t>
            </w:r>
          </w:p>
        </w:tc>
      </w:tr>
      <w:tr>
        <w:tc>
          <w:tcPr>
            <w:tcW w:type="dxa" w:w="3360"/>
            <w:vAlign w:val="center"/>
            <w:tcMar>
              <w:top w:w="90" w:type="dxa"/>
              <w:start w:w="100" w:type="dxa"/>
              <w:bottom w:w="90" w:type="dxa"/>
              <w:end w:w="100" w:type="dxa"/>
            </w:tcMar>
            <w:shd w:fill="F9FAFB"/>
          </w:tcPr>
          <w:p>
            <w:r/>
            <w:r>
              <w:rPr>
                <w:b w:val="0"/>
                <w:sz w:val="17"/>
              </w:rPr>
              <w:t>2</w:t>
            </w:r>
          </w:p>
        </w:tc>
        <w:tc>
          <w:tcPr>
            <w:tcW w:type="dxa" w:w="3360"/>
            <w:vAlign w:val="center"/>
            <w:tcMar>
              <w:top w:w="90" w:type="dxa"/>
              <w:start w:w="100" w:type="dxa"/>
              <w:bottom w:w="90" w:type="dxa"/>
              <w:end w:w="100" w:type="dxa"/>
            </w:tcMar>
            <w:shd w:fill="F9FAFB"/>
          </w:tcPr>
          <w:p>
            <w:r/>
            <w:r>
              <w:rPr>
                <w:b/>
                <w:sz w:val="17"/>
              </w:rPr>
              <w:t>Static foreign-exchange rates</w:t>
            </w:r>
          </w:p>
        </w:tc>
        <w:tc>
          <w:tcPr>
            <w:tcW w:type="dxa" w:w="3360"/>
            <w:vAlign w:val="center"/>
            <w:tcMar>
              <w:top w:w="90" w:type="dxa"/>
              <w:start w:w="100" w:type="dxa"/>
              <w:bottom w:w="90" w:type="dxa"/>
              <w:end w:w="100" w:type="dxa"/>
            </w:tcMar>
            <w:shd w:fill="F9FAFB"/>
          </w:tcPr>
          <w:p>
            <w:r/>
            <w:r>
              <w:rPr>
                <w:b w:val="0"/>
                <w:sz w:val="17"/>
              </w:rPr>
              <w:t>Foreign-currency Deal values use estimates that may become stale.</w:t>
            </w:r>
          </w:p>
        </w:tc>
      </w:tr>
      <w:tr>
        <w:tc>
          <w:tcPr>
            <w:tcW w:type="dxa" w:w="3360"/>
            <w:vAlign w:val="center"/>
            <w:tcMar>
              <w:top w:w="90" w:type="dxa"/>
              <w:start w:w="100" w:type="dxa"/>
              <w:bottom w:w="90" w:type="dxa"/>
              <w:end w:w="100" w:type="dxa"/>
            </w:tcMar>
          </w:tcPr>
          <w:p>
            <w:r/>
            <w:r>
              <w:rPr>
                <w:b w:val="0"/>
                <w:sz w:val="17"/>
              </w:rPr>
              <w:t>3</w:t>
            </w:r>
          </w:p>
        </w:tc>
        <w:tc>
          <w:tcPr>
            <w:tcW w:type="dxa" w:w="3360"/>
            <w:vAlign w:val="center"/>
            <w:tcMar>
              <w:top w:w="90" w:type="dxa"/>
              <w:start w:w="100" w:type="dxa"/>
              <w:bottom w:w="90" w:type="dxa"/>
              <w:end w:w="100" w:type="dxa"/>
            </w:tcMar>
          </w:tcPr>
          <w:p>
            <w:r/>
            <w:r>
              <w:rPr>
                <w:b/>
                <w:sz w:val="17"/>
              </w:rPr>
              <w:t>Organization matching</w:t>
            </w:r>
          </w:p>
        </w:tc>
        <w:tc>
          <w:tcPr>
            <w:tcW w:type="dxa" w:w="3360"/>
            <w:vAlign w:val="center"/>
            <w:tcMar>
              <w:top w:w="90" w:type="dxa"/>
              <w:start w:w="100" w:type="dxa"/>
              <w:bottom w:w="90" w:type="dxa"/>
              <w:end w:w="100" w:type="dxa"/>
            </w:tcMar>
          </w:tcPr>
          <w:p>
            <w:r/>
            <w:r>
              <w:rPr>
                <w:b w:val="0"/>
                <w:sz w:val="17"/>
              </w:rPr>
              <w:t>Name-based matching may link a Deal to the wrong Client.</w:t>
            </w:r>
          </w:p>
        </w:tc>
      </w:tr>
      <w:tr>
        <w:tc>
          <w:tcPr>
            <w:tcW w:type="dxa" w:w="3360"/>
            <w:vAlign w:val="center"/>
            <w:tcMar>
              <w:top w:w="90" w:type="dxa"/>
              <w:start w:w="100" w:type="dxa"/>
              <w:bottom w:w="90" w:type="dxa"/>
              <w:end w:w="100" w:type="dxa"/>
            </w:tcMar>
            <w:shd w:fill="F9FAFB"/>
          </w:tcPr>
          <w:p>
            <w:r/>
            <w:r>
              <w:rPr>
                <w:b w:val="0"/>
                <w:sz w:val="17"/>
              </w:rPr>
              <w:t>4</w:t>
            </w:r>
          </w:p>
        </w:tc>
        <w:tc>
          <w:tcPr>
            <w:tcW w:type="dxa" w:w="3360"/>
            <w:vAlign w:val="center"/>
            <w:tcMar>
              <w:top w:w="90" w:type="dxa"/>
              <w:start w:w="100" w:type="dxa"/>
              <w:bottom w:w="90" w:type="dxa"/>
              <w:end w:w="100" w:type="dxa"/>
            </w:tcMar>
            <w:shd w:fill="F9FAFB"/>
          </w:tcPr>
          <w:p>
            <w:r/>
            <w:r>
              <w:rPr>
                <w:b/>
                <w:sz w:val="17"/>
              </w:rPr>
              <w:t>Owner matching</w:t>
            </w:r>
          </w:p>
        </w:tc>
        <w:tc>
          <w:tcPr>
            <w:tcW w:type="dxa" w:w="3360"/>
            <w:vAlign w:val="center"/>
            <w:tcMar>
              <w:top w:w="90" w:type="dxa"/>
              <w:start w:w="100" w:type="dxa"/>
              <w:bottom w:w="90" w:type="dxa"/>
              <w:end w:w="100" w:type="dxa"/>
            </w:tcMar>
            <w:shd w:fill="F9FAFB"/>
          </w:tcPr>
          <w:p>
            <w:r/>
            <w:r>
              <w:rPr>
                <w:b w:val="0"/>
                <w:sz w:val="17"/>
              </w:rPr>
              <w:t>Email differences may route Leads to the default owner.</w:t>
            </w:r>
          </w:p>
        </w:tc>
      </w:tr>
      <w:tr>
        <w:tc>
          <w:tcPr>
            <w:tcW w:type="dxa" w:w="3360"/>
            <w:vAlign w:val="center"/>
            <w:tcMar>
              <w:top w:w="90" w:type="dxa"/>
              <w:start w:w="100" w:type="dxa"/>
              <w:bottom w:w="90" w:type="dxa"/>
              <w:end w:w="100" w:type="dxa"/>
            </w:tcMar>
          </w:tcPr>
          <w:p>
            <w:r/>
            <w:r>
              <w:rPr>
                <w:b w:val="0"/>
                <w:sz w:val="17"/>
              </w:rPr>
              <w:t>5</w:t>
            </w:r>
          </w:p>
        </w:tc>
        <w:tc>
          <w:tcPr>
            <w:tcW w:type="dxa" w:w="3360"/>
            <w:vAlign w:val="center"/>
            <w:tcMar>
              <w:top w:w="90" w:type="dxa"/>
              <w:start w:w="100" w:type="dxa"/>
              <w:bottom w:w="90" w:type="dxa"/>
              <w:end w:w="100" w:type="dxa"/>
            </w:tcMar>
          </w:tcPr>
          <w:p>
            <w:r/>
            <w:r>
              <w:rPr>
                <w:b/>
                <w:sz w:val="17"/>
              </w:rPr>
              <w:t>Stage mapping</w:t>
            </w:r>
          </w:p>
        </w:tc>
        <w:tc>
          <w:tcPr>
            <w:tcW w:type="dxa" w:w="3360"/>
            <w:vAlign w:val="center"/>
            <w:tcMar>
              <w:top w:w="90" w:type="dxa"/>
              <w:start w:w="100" w:type="dxa"/>
              <w:bottom w:w="90" w:type="dxa"/>
              <w:end w:w="100" w:type="dxa"/>
            </w:tcMar>
          </w:tcPr>
          <w:p>
            <w:r/>
            <w:r>
              <w:rPr>
                <w:b w:val="0"/>
                <w:sz w:val="17"/>
              </w:rPr>
              <w:t>Unmapped stages become NEW and can conceal configuration errors.</w:t>
            </w:r>
          </w:p>
        </w:tc>
      </w:tr>
      <w:tr>
        <w:tc>
          <w:tcPr>
            <w:tcW w:type="dxa" w:w="3360"/>
            <w:vAlign w:val="center"/>
            <w:tcMar>
              <w:top w:w="90" w:type="dxa"/>
              <w:start w:w="100" w:type="dxa"/>
              <w:bottom w:w="90" w:type="dxa"/>
              <w:end w:w="100" w:type="dxa"/>
            </w:tcMar>
            <w:shd w:fill="F9FAFB"/>
          </w:tcPr>
          <w:p>
            <w:r/>
            <w:r>
              <w:rPr>
                <w:b w:val="0"/>
                <w:sz w:val="17"/>
              </w:rPr>
              <w:t>6</w:t>
            </w:r>
          </w:p>
        </w:tc>
        <w:tc>
          <w:tcPr>
            <w:tcW w:type="dxa" w:w="3360"/>
            <w:vAlign w:val="center"/>
            <w:tcMar>
              <w:top w:w="90" w:type="dxa"/>
              <w:start w:w="100" w:type="dxa"/>
              <w:bottom w:w="90" w:type="dxa"/>
              <w:end w:w="100" w:type="dxa"/>
            </w:tcMar>
            <w:shd w:fill="F9FAFB"/>
          </w:tcPr>
          <w:p>
            <w:r/>
            <w:r>
              <w:rPr>
                <w:b/>
                <w:sz w:val="17"/>
              </w:rPr>
              <w:t>Custom fields</w:t>
            </w:r>
          </w:p>
        </w:tc>
        <w:tc>
          <w:tcPr>
            <w:tcW w:type="dxa" w:w="3360"/>
            <w:vAlign w:val="center"/>
            <w:tcMar>
              <w:top w:w="90" w:type="dxa"/>
              <w:start w:w="100" w:type="dxa"/>
              <w:bottom w:w="90" w:type="dxa"/>
              <w:end w:w="100" w:type="dxa"/>
            </w:tcMar>
            <w:shd w:fill="F9FAFB"/>
          </w:tcPr>
          <w:p>
            <w:r/>
            <w:r>
              <w:rPr>
                <w:b w:val="0"/>
                <w:sz w:val="17"/>
              </w:rPr>
              <w:t>Account-specific keys change when fields are recreated.</w:t>
            </w:r>
          </w:p>
        </w:tc>
      </w:tr>
      <w:tr>
        <w:tc>
          <w:tcPr>
            <w:tcW w:type="dxa" w:w="3360"/>
            <w:vAlign w:val="center"/>
            <w:tcMar>
              <w:top w:w="90" w:type="dxa"/>
              <w:start w:w="100" w:type="dxa"/>
              <w:bottom w:w="90" w:type="dxa"/>
              <w:end w:w="100" w:type="dxa"/>
            </w:tcMar>
          </w:tcPr>
          <w:p>
            <w:r/>
            <w:r>
              <w:rPr>
                <w:b w:val="0"/>
                <w:sz w:val="17"/>
              </w:rPr>
              <w:t>7</w:t>
            </w:r>
          </w:p>
        </w:tc>
        <w:tc>
          <w:tcPr>
            <w:tcW w:type="dxa" w:w="3360"/>
            <w:vAlign w:val="center"/>
            <w:tcMar>
              <w:top w:w="90" w:type="dxa"/>
              <w:start w:w="100" w:type="dxa"/>
              <w:bottom w:w="90" w:type="dxa"/>
              <w:end w:w="100" w:type="dxa"/>
            </w:tcMar>
          </w:tcPr>
          <w:p>
            <w:r/>
            <w:r>
              <w:rPr>
                <w:b/>
                <w:sz w:val="17"/>
              </w:rPr>
              <w:t>Webhook and reconciliation</w:t>
            </w:r>
          </w:p>
        </w:tc>
        <w:tc>
          <w:tcPr>
            <w:tcW w:type="dxa" w:w="3360"/>
            <w:vAlign w:val="center"/>
            <w:tcMar>
              <w:top w:w="90" w:type="dxa"/>
              <w:start w:w="100" w:type="dxa"/>
              <w:bottom w:w="90" w:type="dxa"/>
              <w:end w:w="100" w:type="dxa"/>
            </w:tcMar>
          </w:tcPr>
          <w:p>
            <w:r/>
            <w:r>
              <w:rPr>
                <w:b w:val="0"/>
                <w:sz w:val="17"/>
              </w:rPr>
              <w:t>Asynchronous failures require monitoring and sync-based recovery.</w:t>
            </w:r>
          </w:p>
        </w:tc>
      </w:tr>
      <w:tr>
        <w:tc>
          <w:tcPr>
            <w:tcW w:type="dxa" w:w="3360"/>
            <w:vAlign w:val="center"/>
            <w:tcMar>
              <w:top w:w="90" w:type="dxa"/>
              <w:start w:w="100" w:type="dxa"/>
              <w:bottom w:w="90" w:type="dxa"/>
              <w:end w:w="100" w:type="dxa"/>
            </w:tcMar>
            <w:shd w:fill="F9FAFB"/>
          </w:tcPr>
          <w:p>
            <w:r/>
            <w:r>
              <w:rPr>
                <w:b w:val="0"/>
                <w:sz w:val="17"/>
              </w:rPr>
              <w:t>8</w:t>
            </w:r>
          </w:p>
        </w:tc>
        <w:tc>
          <w:tcPr>
            <w:tcW w:type="dxa" w:w="3360"/>
            <w:vAlign w:val="center"/>
            <w:tcMar>
              <w:top w:w="90" w:type="dxa"/>
              <w:start w:w="100" w:type="dxa"/>
              <w:bottom w:w="90" w:type="dxa"/>
              <w:end w:w="100" w:type="dxa"/>
            </w:tcMar>
            <w:shd w:fill="F9FAFB"/>
          </w:tcPr>
          <w:p>
            <w:r/>
            <w:r>
              <w:rPr>
                <w:b/>
                <w:sz w:val="17"/>
              </w:rPr>
              <w:t>Commercial completeness</w:t>
            </w:r>
          </w:p>
        </w:tc>
        <w:tc>
          <w:tcPr>
            <w:tcW w:type="dxa" w:w="3360"/>
            <w:vAlign w:val="center"/>
            <w:tcMar>
              <w:top w:w="90" w:type="dxa"/>
              <w:start w:w="100" w:type="dxa"/>
              <w:bottom w:w="90" w:type="dxa"/>
              <w:end w:w="100" w:type="dxa"/>
            </w:tcMar>
            <w:shd w:fill="F9FAFB"/>
          </w:tcPr>
          <w:p>
            <w:r/>
            <w:r>
              <w:rPr>
                <w:b w:val="0"/>
                <w:sz w:val="17"/>
              </w:rPr>
              <w:t>Products, line items, proposal versioning, and full commercial approvals are not yet available.</w:t>
            </w:r>
          </w:p>
        </w:tc>
      </w:tr>
    </w:tbl>
    <w:p>
      <w:pPr>
        <w:pStyle w:val="Heading1"/>
      </w:pPr>
      <w:r>
        <w:t>8. Recommended Process Model</w:t>
      </w:r>
    </w:p>
    <w:p>
      <w:pPr>
        <w:spacing w:after="40"/>
        <w:jc w:val="center"/>
        <w:shd w:fill="991B1B"/>
      </w:pPr>
      <w:r>
        <w:rPr>
          <w:b/>
          <w:color w:val="FFFFFF"/>
        </w:rPr>
        <w:t>Pipedrive Lead</w:t>
      </w:r>
    </w:p>
    <w:p>
      <w:pPr>
        <w:spacing w:after="40"/>
        <w:jc w:val="center"/>
      </w:pPr>
      <w:r>
        <w:t>↓</w:t>
      </w:r>
    </w:p>
    <w:p>
      <w:pPr>
        <w:spacing w:after="40"/>
        <w:jc w:val="center"/>
        <w:shd w:fill="991B1B"/>
      </w:pPr>
      <w:r>
        <w:rPr>
          <w:b/>
          <w:color w:val="FFFFFF"/>
        </w:rPr>
        <w:t>Qualified Opportunity</w:t>
      </w:r>
    </w:p>
    <w:p>
      <w:pPr>
        <w:spacing w:after="40"/>
        <w:jc w:val="center"/>
      </w:pPr>
      <w:r>
        <w:t>↓</w:t>
      </w:r>
    </w:p>
    <w:p>
      <w:pPr>
        <w:spacing w:after="40"/>
        <w:jc w:val="center"/>
        <w:shd w:fill="24303E"/>
      </w:pPr>
      <w:r>
        <w:rPr>
          <w:b/>
          <w:color w:val="FFFFFF"/>
        </w:rPr>
        <w:t>SecureProfit Commercial Assessment</w:t>
      </w:r>
    </w:p>
    <w:p>
      <w:pPr>
        <w:spacing w:after="40"/>
        <w:jc w:val="center"/>
      </w:pPr>
      <w:r>
        <w:t>↓</w:t>
      </w:r>
    </w:p>
    <w:p>
      <w:pPr>
        <w:spacing w:after="40"/>
        <w:jc w:val="center"/>
        <w:shd w:fill="24303E"/>
      </w:pPr>
      <w:r>
        <w:rPr>
          <w:b/>
          <w:color w:val="FFFFFF"/>
        </w:rPr>
        <w:t>Scope, Revenue, Cost, and Margin</w:t>
      </w:r>
    </w:p>
    <w:p>
      <w:pPr>
        <w:spacing w:after="40"/>
        <w:jc w:val="center"/>
      </w:pPr>
      <w:r>
        <w:t>↓</w:t>
      </w:r>
    </w:p>
    <w:p>
      <w:pPr>
        <w:spacing w:after="40"/>
        <w:jc w:val="center"/>
        <w:shd w:fill="24303E"/>
      </w:pPr>
      <w:r>
        <w:rPr>
          <w:b/>
          <w:color w:val="FFFFFF"/>
        </w:rPr>
        <w:t>Proposal and Approval</w:t>
      </w:r>
    </w:p>
    <w:p>
      <w:pPr>
        <w:spacing w:after="40"/>
        <w:jc w:val="center"/>
      </w:pPr>
      <w:r>
        <w:t>↓</w:t>
      </w:r>
    </w:p>
    <w:p>
      <w:pPr>
        <w:spacing w:after="40"/>
        <w:jc w:val="center"/>
        <w:shd w:fill="24303E"/>
      </w:pPr>
      <w:r>
        <w:rPr>
          <w:b/>
          <w:color w:val="FFFFFF"/>
        </w:rPr>
        <w:t>Won + Contract/PO Ready</w:t>
      </w:r>
    </w:p>
    <w:p>
      <w:pPr>
        <w:spacing w:after="40"/>
        <w:jc w:val="center"/>
      </w:pPr>
      <w:r>
        <w:t>↓</w:t>
      </w:r>
    </w:p>
    <w:p>
      <w:pPr>
        <w:spacing w:after="40"/>
        <w:jc w:val="center"/>
        <w:shd w:fill="24303E"/>
      </w:pPr>
      <w:r>
        <w:rPr>
          <w:b/>
          <w:color w:val="FFFFFF"/>
        </w:rPr>
        <w:t>Project Activation</w:t>
      </w:r>
    </w:p>
    <w:p>
      <w:pPr>
        <w:spacing w:after="40"/>
        <w:jc w:val="center"/>
      </w:pPr>
      <w:r>
        <w:t>↓</w:t>
      </w:r>
    </w:p>
    <w:p>
      <w:pPr>
        <w:spacing w:after="40"/>
        <w:jc w:val="center"/>
        <w:shd w:fill="24303E"/>
      </w:pPr>
      <w:r>
        <w:rPr>
          <w:b/>
          <w:color w:val="FFFFFF"/>
        </w:rPr>
        <w:t>Delivery, Billing, Revenue, and Profitability</w:t>
      </w:r>
    </w:p>
    <w:p>
      <w:pPr>
        <w:pStyle w:val="Heading1"/>
      </w:pPr>
      <w:r>
        <w:t>9. Assessment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90" w:type="dxa"/>
              <w:start w:w="100" w:type="dxa"/>
              <w:bottom w:w="90" w:type="dxa"/>
              <w:end w:w="100" w:type="dxa"/>
            </w:tcMar>
            <w:shd w:fill="24303E"/>
          </w:tcPr>
          <w:p>
            <w:r/>
            <w:r>
              <w:rPr>
                <w:b/>
                <w:color w:val="FFFFFF"/>
                <w:sz w:val="16"/>
              </w:rPr>
              <w:t>Criterion</w:t>
            </w:r>
          </w:p>
        </w:tc>
        <w:tc>
          <w:tcPr>
            <w:tcW w:type="dxa" w:w="2520"/>
            <w:vAlign w:val="center"/>
            <w:tcMar>
              <w:top w:w="90" w:type="dxa"/>
              <w:start w:w="100" w:type="dxa"/>
              <w:bottom w:w="90" w:type="dxa"/>
              <w:end w:w="100" w:type="dxa"/>
            </w:tcMar>
            <w:shd w:fill="24303E"/>
          </w:tcPr>
          <w:p>
            <w:r/>
            <w:r>
              <w:rPr>
                <w:b/>
                <w:color w:val="FFFFFF"/>
                <w:sz w:val="16"/>
              </w:rPr>
              <w:t>Keep Pipedrive</w:t>
            </w:r>
          </w:p>
        </w:tc>
        <w:tc>
          <w:tcPr>
            <w:tcW w:type="dxa" w:w="2520"/>
            <w:vAlign w:val="center"/>
            <w:tcMar>
              <w:top w:w="90" w:type="dxa"/>
              <w:start w:w="100" w:type="dxa"/>
              <w:bottom w:w="90" w:type="dxa"/>
              <w:end w:w="100" w:type="dxa"/>
            </w:tcMar>
            <w:shd w:fill="24303E"/>
          </w:tcPr>
          <w:p>
            <w:r/>
            <w:r>
              <w:rPr>
                <w:b/>
                <w:color w:val="FFFFFF"/>
                <w:sz w:val="16"/>
              </w:rPr>
              <w:t>Full SecureProfit CRM</w:t>
            </w:r>
          </w:p>
        </w:tc>
        <w:tc>
          <w:tcPr>
            <w:tcW w:type="dxa" w:w="2520"/>
            <w:vAlign w:val="center"/>
            <w:tcMar>
              <w:top w:w="90" w:type="dxa"/>
              <w:start w:w="100" w:type="dxa"/>
              <w:bottom w:w="90" w:type="dxa"/>
              <w:end w:w="100" w:type="dxa"/>
            </w:tcMar>
            <w:shd w:fill="24303E"/>
          </w:tcPr>
          <w:p>
            <w:r/>
            <w:r>
              <w:rPr>
                <w:b/>
                <w:color w:val="FFFFFF"/>
                <w:sz w:val="16"/>
              </w:rPr>
              <w:t>Hybrid</w:t>
            </w:r>
          </w:p>
        </w:tc>
      </w:tr>
      <w:tr>
        <w:tc>
          <w:tcPr>
            <w:tcW w:type="dxa" w:w="2520"/>
            <w:vAlign w:val="center"/>
            <w:tcMar>
              <w:top w:w="90" w:type="dxa"/>
              <w:start w:w="100" w:type="dxa"/>
              <w:bottom w:w="90" w:type="dxa"/>
              <w:end w:w="100" w:type="dxa"/>
            </w:tcMar>
            <w:shd w:fill="FFFFFF"/>
          </w:tcPr>
          <w:p>
            <w:r/>
            <w:r>
              <w:rPr>
                <w:b/>
                <w:sz w:val="16"/>
              </w:rPr>
              <w:t>Implementation speed</w:t>
            </w:r>
          </w:p>
        </w:tc>
        <w:tc>
          <w:tcPr>
            <w:tcW w:type="dxa" w:w="2520"/>
            <w:vAlign w:val="center"/>
            <w:tcMar>
              <w:top w:w="90" w:type="dxa"/>
              <w:start w:w="100" w:type="dxa"/>
              <w:bottom w:w="90" w:type="dxa"/>
              <w:end w:w="100" w:type="dxa"/>
            </w:tcMar>
            <w:shd w:fill="FFFFFF"/>
          </w:tcPr>
          <w:p>
            <w:r/>
            <w:r>
              <w:rPr>
                <w:b w:val="0"/>
                <w:sz w:val="16"/>
              </w:rPr>
              <w:t>High</w:t>
            </w:r>
          </w:p>
        </w:tc>
        <w:tc>
          <w:tcPr>
            <w:tcW w:type="dxa" w:w="2520"/>
            <w:vAlign w:val="center"/>
            <w:tcMar>
              <w:top w:w="90" w:type="dxa"/>
              <w:start w:w="100" w:type="dxa"/>
              <w:bottom w:w="90" w:type="dxa"/>
              <w:end w:w="100" w:type="dxa"/>
            </w:tcMar>
            <w:shd w:fill="FFFFFF"/>
          </w:tcPr>
          <w:p>
            <w:r/>
            <w:r>
              <w:rPr>
                <w:b w:val="0"/>
                <w:sz w:val="16"/>
              </w:rPr>
              <w:t>Low</w:t>
            </w:r>
          </w:p>
        </w:tc>
        <w:tc>
          <w:tcPr>
            <w:tcW w:type="dxa" w:w="2520"/>
            <w:vAlign w:val="center"/>
            <w:tcMar>
              <w:top w:w="90" w:type="dxa"/>
              <w:start w:w="100" w:type="dxa"/>
              <w:bottom w:w="90" w:type="dxa"/>
              <w:end w:w="100" w:type="dxa"/>
            </w:tcMar>
            <w:shd w:fill="FDECEC"/>
          </w:tcPr>
          <w:p>
            <w:r/>
            <w:r>
              <w:rPr>
                <w:b w:val="0"/>
                <w:sz w:val="16"/>
              </w:rPr>
              <w:t>Medium–High</w:t>
            </w:r>
          </w:p>
        </w:tc>
      </w:tr>
      <w:tr>
        <w:tc>
          <w:tcPr>
            <w:tcW w:type="dxa" w:w="2520"/>
            <w:vAlign w:val="center"/>
            <w:tcMar>
              <w:top w:w="90" w:type="dxa"/>
              <w:start w:w="100" w:type="dxa"/>
              <w:bottom w:w="90" w:type="dxa"/>
              <w:end w:w="100" w:type="dxa"/>
            </w:tcMar>
            <w:shd w:fill="FFFFFF"/>
          </w:tcPr>
          <w:p>
            <w:r/>
            <w:r>
              <w:rPr>
                <w:b/>
                <w:sz w:val="16"/>
              </w:rPr>
              <w:t>Change risk</w:t>
            </w:r>
          </w:p>
        </w:tc>
        <w:tc>
          <w:tcPr>
            <w:tcW w:type="dxa" w:w="2520"/>
            <w:vAlign w:val="center"/>
            <w:tcMar>
              <w:top w:w="90" w:type="dxa"/>
              <w:start w:w="100" w:type="dxa"/>
              <w:bottom w:w="90" w:type="dxa"/>
              <w:end w:w="100" w:type="dxa"/>
            </w:tcMar>
            <w:shd w:fill="FFFFFF"/>
          </w:tcPr>
          <w:p>
            <w:r/>
            <w:r>
              <w:rPr>
                <w:b w:val="0"/>
                <w:sz w:val="16"/>
              </w:rPr>
              <w:t>Low</w:t>
            </w:r>
          </w:p>
        </w:tc>
        <w:tc>
          <w:tcPr>
            <w:tcW w:type="dxa" w:w="2520"/>
            <w:vAlign w:val="center"/>
            <w:tcMar>
              <w:top w:w="90" w:type="dxa"/>
              <w:start w:w="100" w:type="dxa"/>
              <w:bottom w:w="90" w:type="dxa"/>
              <w:end w:w="100" w:type="dxa"/>
            </w:tcMar>
            <w:shd w:fill="FFFFFF"/>
          </w:tcPr>
          <w:p>
            <w:r/>
            <w:r>
              <w:rPr>
                <w:b w:val="0"/>
                <w:sz w:val="16"/>
              </w:rPr>
              <w:t>High</w:t>
            </w:r>
          </w:p>
        </w:tc>
        <w:tc>
          <w:tcPr>
            <w:tcW w:type="dxa" w:w="2520"/>
            <w:vAlign w:val="center"/>
            <w:tcMar>
              <w:top w:w="90" w:type="dxa"/>
              <w:start w:w="100" w:type="dxa"/>
              <w:bottom w:w="90" w:type="dxa"/>
              <w:end w:w="100" w:type="dxa"/>
            </w:tcMar>
            <w:shd w:fill="FDECEC"/>
          </w:tcPr>
          <w:p>
            <w:r/>
            <w:r>
              <w:rPr>
                <w:b w:val="0"/>
                <w:sz w:val="16"/>
              </w:rPr>
              <w:t>Medium</w:t>
            </w:r>
          </w:p>
        </w:tc>
      </w:tr>
      <w:tr>
        <w:tc>
          <w:tcPr>
            <w:tcW w:type="dxa" w:w="2520"/>
            <w:vAlign w:val="center"/>
            <w:tcMar>
              <w:top w:w="90" w:type="dxa"/>
              <w:start w:w="100" w:type="dxa"/>
              <w:bottom w:w="90" w:type="dxa"/>
              <w:end w:w="100" w:type="dxa"/>
            </w:tcMar>
            <w:shd w:fill="FFFFFF"/>
          </w:tcPr>
          <w:p>
            <w:r/>
            <w:r>
              <w:rPr>
                <w:b/>
                <w:sz w:val="16"/>
              </w:rPr>
              <w:t>Development cost</w:t>
            </w:r>
          </w:p>
        </w:tc>
        <w:tc>
          <w:tcPr>
            <w:tcW w:type="dxa" w:w="2520"/>
            <w:vAlign w:val="center"/>
            <w:tcMar>
              <w:top w:w="90" w:type="dxa"/>
              <w:start w:w="100" w:type="dxa"/>
              <w:bottom w:w="90" w:type="dxa"/>
              <w:end w:w="100" w:type="dxa"/>
            </w:tcMar>
            <w:shd w:fill="FFFFFF"/>
          </w:tcPr>
          <w:p>
            <w:r/>
            <w:r>
              <w:rPr>
                <w:b w:val="0"/>
                <w:sz w:val="16"/>
              </w:rPr>
              <w:t>Low</w:t>
            </w:r>
          </w:p>
        </w:tc>
        <w:tc>
          <w:tcPr>
            <w:tcW w:type="dxa" w:w="2520"/>
            <w:vAlign w:val="center"/>
            <w:tcMar>
              <w:top w:w="90" w:type="dxa"/>
              <w:start w:w="100" w:type="dxa"/>
              <w:bottom w:w="90" w:type="dxa"/>
              <w:end w:w="100" w:type="dxa"/>
            </w:tcMar>
            <w:shd w:fill="FFFFFF"/>
          </w:tcPr>
          <w:p>
            <w:r/>
            <w:r>
              <w:rPr>
                <w:b w:val="0"/>
                <w:sz w:val="16"/>
              </w:rPr>
              <w:t>High</w:t>
            </w:r>
          </w:p>
        </w:tc>
        <w:tc>
          <w:tcPr>
            <w:tcW w:type="dxa" w:w="2520"/>
            <w:vAlign w:val="center"/>
            <w:tcMar>
              <w:top w:w="90" w:type="dxa"/>
              <w:start w:w="100" w:type="dxa"/>
              <w:bottom w:w="90" w:type="dxa"/>
              <w:end w:w="100" w:type="dxa"/>
            </w:tcMar>
            <w:shd w:fill="FDECEC"/>
          </w:tcPr>
          <w:p>
            <w:r/>
            <w:r>
              <w:rPr>
                <w:b w:val="0"/>
                <w:sz w:val="16"/>
              </w:rPr>
              <w:t>Medium</w:t>
            </w:r>
          </w:p>
        </w:tc>
      </w:tr>
      <w:tr>
        <w:tc>
          <w:tcPr>
            <w:tcW w:type="dxa" w:w="2520"/>
            <w:vAlign w:val="center"/>
            <w:tcMar>
              <w:top w:w="90" w:type="dxa"/>
              <w:start w:w="100" w:type="dxa"/>
              <w:bottom w:w="90" w:type="dxa"/>
              <w:end w:w="100" w:type="dxa"/>
            </w:tcMar>
            <w:shd w:fill="FFFFFF"/>
          </w:tcPr>
          <w:p>
            <w:r/>
            <w:r>
              <w:rPr>
                <w:b/>
                <w:sz w:val="16"/>
              </w:rPr>
              <w:t>Sales-to-Profit integration</w:t>
            </w:r>
          </w:p>
        </w:tc>
        <w:tc>
          <w:tcPr>
            <w:tcW w:type="dxa" w:w="2520"/>
            <w:vAlign w:val="center"/>
            <w:tcMar>
              <w:top w:w="90" w:type="dxa"/>
              <w:start w:w="100" w:type="dxa"/>
              <w:bottom w:w="90" w:type="dxa"/>
              <w:end w:w="100" w:type="dxa"/>
            </w:tcMar>
            <w:shd w:fill="FFFFFF"/>
          </w:tcPr>
          <w:p>
            <w:r/>
            <w:r>
              <w:rPr>
                <w:b w:val="0"/>
                <w:sz w:val="16"/>
              </w:rPr>
              <w:t>Low</w:t>
            </w:r>
          </w:p>
        </w:tc>
        <w:tc>
          <w:tcPr>
            <w:tcW w:type="dxa" w:w="2520"/>
            <w:vAlign w:val="center"/>
            <w:tcMar>
              <w:top w:w="90" w:type="dxa"/>
              <w:start w:w="100" w:type="dxa"/>
              <w:bottom w:w="90" w:type="dxa"/>
              <w:end w:w="100" w:type="dxa"/>
            </w:tcMar>
            <w:shd w:fill="FFFFFF"/>
          </w:tcPr>
          <w:p>
            <w:r/>
            <w:r>
              <w:rPr>
                <w:b w:val="0"/>
                <w:sz w:val="16"/>
              </w:rPr>
              <w:t>Very high</w:t>
            </w:r>
          </w:p>
        </w:tc>
        <w:tc>
          <w:tcPr>
            <w:tcW w:type="dxa" w:w="2520"/>
            <w:vAlign w:val="center"/>
            <w:tcMar>
              <w:top w:w="90" w:type="dxa"/>
              <w:start w:w="100" w:type="dxa"/>
              <w:bottom w:w="90" w:type="dxa"/>
              <w:end w:w="100" w:type="dxa"/>
            </w:tcMar>
            <w:shd w:fill="FDECEC"/>
          </w:tcPr>
          <w:p>
            <w:r/>
            <w:r>
              <w:rPr>
                <w:b w:val="0"/>
                <w:sz w:val="16"/>
              </w:rPr>
              <w:t>Very high</w:t>
            </w:r>
          </w:p>
        </w:tc>
      </w:tr>
      <w:tr>
        <w:tc>
          <w:tcPr>
            <w:tcW w:type="dxa" w:w="2520"/>
            <w:vAlign w:val="center"/>
            <w:tcMar>
              <w:top w:w="90" w:type="dxa"/>
              <w:start w:w="100" w:type="dxa"/>
              <w:bottom w:w="90" w:type="dxa"/>
              <w:end w:w="100" w:type="dxa"/>
            </w:tcMar>
            <w:shd w:fill="FFFFFF"/>
          </w:tcPr>
          <w:p>
            <w:r/>
            <w:r>
              <w:rPr>
                <w:b/>
                <w:sz w:val="16"/>
              </w:rPr>
              <w:t>Email, calendar, automation</w:t>
            </w:r>
          </w:p>
        </w:tc>
        <w:tc>
          <w:tcPr>
            <w:tcW w:type="dxa" w:w="2520"/>
            <w:vAlign w:val="center"/>
            <w:tcMar>
              <w:top w:w="90" w:type="dxa"/>
              <w:start w:w="100" w:type="dxa"/>
              <w:bottom w:w="90" w:type="dxa"/>
              <w:end w:w="100" w:type="dxa"/>
            </w:tcMar>
            <w:shd w:fill="FFFFFF"/>
          </w:tcPr>
          <w:p>
            <w:r/>
            <w:r>
              <w:rPr>
                <w:b w:val="0"/>
                <w:sz w:val="16"/>
              </w:rPr>
              <w:t>Very strong</w:t>
            </w:r>
          </w:p>
        </w:tc>
        <w:tc>
          <w:tcPr>
            <w:tcW w:type="dxa" w:w="2520"/>
            <w:vAlign w:val="center"/>
            <w:tcMar>
              <w:top w:w="90" w:type="dxa"/>
              <w:start w:w="100" w:type="dxa"/>
              <w:bottom w:w="90" w:type="dxa"/>
              <w:end w:w="100" w:type="dxa"/>
            </w:tcMar>
            <w:shd w:fill="FFFFFF"/>
          </w:tcPr>
          <w:p>
            <w:r/>
            <w:r>
              <w:rPr>
                <w:b w:val="0"/>
                <w:sz w:val="16"/>
              </w:rPr>
              <w:t>Must be built</w:t>
            </w:r>
          </w:p>
        </w:tc>
        <w:tc>
          <w:tcPr>
            <w:tcW w:type="dxa" w:w="2520"/>
            <w:vAlign w:val="center"/>
            <w:tcMar>
              <w:top w:w="90" w:type="dxa"/>
              <w:start w:w="100" w:type="dxa"/>
              <w:bottom w:w="90" w:type="dxa"/>
              <w:end w:w="100" w:type="dxa"/>
            </w:tcMar>
            <w:shd w:fill="FDECEC"/>
          </w:tcPr>
          <w:p>
            <w:r/>
            <w:r>
              <w:rPr>
                <w:b w:val="0"/>
                <w:sz w:val="16"/>
              </w:rPr>
              <w:t>Remains strong</w:t>
            </w:r>
          </w:p>
        </w:tc>
      </w:tr>
      <w:tr>
        <w:tc>
          <w:tcPr>
            <w:tcW w:type="dxa" w:w="2520"/>
            <w:vAlign w:val="center"/>
            <w:tcMar>
              <w:top w:w="90" w:type="dxa"/>
              <w:start w:w="100" w:type="dxa"/>
              <w:bottom w:w="90" w:type="dxa"/>
              <w:end w:w="100" w:type="dxa"/>
            </w:tcMar>
            <w:shd w:fill="FFFFFF"/>
          </w:tcPr>
          <w:p>
            <w:r/>
            <w:r>
              <w:rPr>
                <w:b/>
                <w:sz w:val="16"/>
              </w:rPr>
              <w:t>Potential to retire Pipedrive</w:t>
            </w:r>
          </w:p>
        </w:tc>
        <w:tc>
          <w:tcPr>
            <w:tcW w:type="dxa" w:w="2520"/>
            <w:vAlign w:val="center"/>
            <w:tcMar>
              <w:top w:w="90" w:type="dxa"/>
              <w:start w:w="100" w:type="dxa"/>
              <w:bottom w:w="90" w:type="dxa"/>
              <w:end w:w="100" w:type="dxa"/>
            </w:tcMar>
            <w:shd w:fill="FFFFFF"/>
          </w:tcPr>
          <w:p>
            <w:r/>
            <w:r>
              <w:rPr>
                <w:b w:val="0"/>
                <w:sz w:val="16"/>
              </w:rPr>
              <w:t>No</w:t>
            </w:r>
          </w:p>
        </w:tc>
        <w:tc>
          <w:tcPr>
            <w:tcW w:type="dxa" w:w="2520"/>
            <w:vAlign w:val="center"/>
            <w:tcMar>
              <w:top w:w="90" w:type="dxa"/>
              <w:start w:w="100" w:type="dxa"/>
              <w:bottom w:w="90" w:type="dxa"/>
              <w:end w:w="100" w:type="dxa"/>
            </w:tcMar>
            <w:shd w:fill="FFFFFF"/>
          </w:tcPr>
          <w:p>
            <w:r/>
            <w:r>
              <w:rPr>
                <w:b w:val="0"/>
                <w:sz w:val="16"/>
              </w:rPr>
              <w:t>Yes</w:t>
            </w:r>
          </w:p>
        </w:tc>
        <w:tc>
          <w:tcPr>
            <w:tcW w:type="dxa" w:w="2520"/>
            <w:vAlign w:val="center"/>
            <w:tcMar>
              <w:top w:w="90" w:type="dxa"/>
              <w:start w:w="100" w:type="dxa"/>
              <w:bottom w:w="90" w:type="dxa"/>
              <w:end w:w="100" w:type="dxa"/>
            </w:tcMar>
            <w:shd w:fill="FDECEC"/>
          </w:tcPr>
          <w:p>
            <w:r/>
            <w:r>
              <w:rPr>
                <w:b w:val="0"/>
                <w:sz w:val="16"/>
              </w:rPr>
              <w:t>Medium term</w:t>
            </w:r>
          </w:p>
        </w:tc>
      </w:tr>
      <w:tr>
        <w:tc>
          <w:tcPr>
            <w:tcW w:type="dxa" w:w="2520"/>
            <w:vAlign w:val="center"/>
            <w:tcMar>
              <w:top w:w="90" w:type="dxa"/>
              <w:start w:w="100" w:type="dxa"/>
              <w:bottom w:w="90" w:type="dxa"/>
              <w:end w:w="100" w:type="dxa"/>
            </w:tcMar>
            <w:shd w:fill="FFFFFF"/>
          </w:tcPr>
          <w:p>
            <w:r/>
            <w:r>
              <w:rPr>
                <w:b/>
                <w:sz w:val="16"/>
              </w:rPr>
              <w:t>Recommendation</w:t>
            </w:r>
          </w:p>
        </w:tc>
        <w:tc>
          <w:tcPr>
            <w:tcW w:type="dxa" w:w="2520"/>
            <w:vAlign w:val="center"/>
            <w:tcMar>
              <w:top w:w="90" w:type="dxa"/>
              <w:start w:w="100" w:type="dxa"/>
              <w:bottom w:w="90" w:type="dxa"/>
              <w:end w:w="100" w:type="dxa"/>
            </w:tcMar>
            <w:shd w:fill="FFFFFF"/>
          </w:tcPr>
          <w:p>
            <w:r/>
            <w:r>
              <w:rPr>
                <w:b w:val="0"/>
                <w:sz w:val="16"/>
              </w:rPr>
              <w:t>Interim</w:t>
            </w:r>
          </w:p>
        </w:tc>
        <w:tc>
          <w:tcPr>
            <w:tcW w:type="dxa" w:w="2520"/>
            <w:vAlign w:val="center"/>
            <w:tcMar>
              <w:top w:w="90" w:type="dxa"/>
              <w:start w:w="100" w:type="dxa"/>
              <w:bottom w:w="90" w:type="dxa"/>
              <w:end w:w="100" w:type="dxa"/>
            </w:tcMar>
            <w:shd w:fill="FFFFFF"/>
          </w:tcPr>
          <w:p>
            <w:r/>
            <w:r>
              <w:rPr>
                <w:b w:val="0"/>
                <w:sz w:val="16"/>
              </w:rPr>
              <w:t>Not yet recommended</w:t>
            </w:r>
          </w:p>
        </w:tc>
        <w:tc>
          <w:tcPr>
            <w:tcW w:type="dxa" w:w="2520"/>
            <w:vAlign w:val="center"/>
            <w:tcMar>
              <w:top w:w="90" w:type="dxa"/>
              <w:start w:w="100" w:type="dxa"/>
              <w:bottom w:w="90" w:type="dxa"/>
              <w:end w:w="100" w:type="dxa"/>
            </w:tcMar>
            <w:shd w:fill="FDECEC"/>
          </w:tcPr>
          <w:p>
            <w:r/>
            <w:r>
              <w:rPr>
                <w:b w:val="0"/>
                <w:sz w:val="16"/>
              </w:rPr>
              <w:t>Recommended</w:t>
            </w:r>
          </w:p>
        </w:tc>
      </w:tr>
    </w:tbl>
    <w:p>
      <w:pPr>
        <w:pStyle w:val="Heading1"/>
      </w:pPr>
      <w:r>
        <w:t>10. Final Recommendation</w:t>
      </w:r>
    </w:p>
    <w:p>
      <w:r>
        <w:rPr>
          <w:b/>
        </w:rPr>
        <w:t xml:space="preserve">Recommended decision: </w:t>
      </w:r>
      <w:r>
        <w:t>develop a SecureProfit Sales &amp; Commercial Module using an integrated hybrid architecture.</w:t>
      </w:r>
    </w:p>
    <w:p>
      <w:pPr>
        <w:pStyle w:val="ListNumber"/>
      </w:pPr>
      <w:r>
        <w:t>Keep Pipedrive as the front-office CRM for early leads, communications, activities, reminders, and automation.</w:t>
      </w:r>
    </w:p>
    <w:p>
      <w:pPr>
        <w:pStyle w:val="ListNumber"/>
      </w:pPr>
      <w:r>
        <w:t>Make SecureProfit the system of record once an opportunity is qualified and enters commercial assessment.</w:t>
      </w:r>
    </w:p>
    <w:p>
      <w:pPr>
        <w:pStyle w:val="ListNumber"/>
      </w:pPr>
      <w:r>
        <w:t>Strengthen opportunity-to-project handover with immutable snapshots, approvals, and an auditable activation gate.</w:t>
      </w:r>
    </w:p>
    <w:p>
      <w:pPr>
        <w:pStyle w:val="ListNumber"/>
      </w:pPr>
      <w:r>
        <w:t>Build reconciliation and monitoring before introducing write-back or two-way synchronization.</w:t>
      </w:r>
    </w:p>
    <w:p>
      <w:pPr>
        <w:pStyle w:val="ListNumber"/>
      </w:pPr>
      <w:r>
        <w:t>Evaluate retiring Pipedrive only after native functionality, mobile Sales, email and calendar integration, and automation have proven operationally sufficient.</w:t>
      </w:r>
    </w:p>
    <w:p>
      <w:r>
        <w:rPr>
          <w:b/>
        </w:rPr>
        <w:t xml:space="preserve">Feasibility assessment: </w:t>
      </w:r>
      <w:r>
        <w:t>technically very feasible; the current foundation is sound; the hybrid model provides the highest value with controlled risk.</w:t>
      </w:r>
    </w:p>
    <w:p>
      <w:pPr>
        <w:pStyle w:val="Heading1"/>
      </w:pPr>
      <w:r>
        <w:t>References</w:t>
      </w:r>
    </w:p>
    <w:p>
      <w:pPr>
        <w:pStyle w:val="ListBullet"/>
      </w:pPr>
      <w:r>
        <w:t>Pipedrive CRM Features: https://www.pipedrive.com/en/crm/features</w:t>
      </w:r>
    </w:p>
    <w:p>
      <w:pPr>
        <w:pStyle w:val="ListBullet"/>
      </w:pPr>
      <w:r>
        <w:t>Pipedrive CRM API: https://www.pipedrive.com/en/features/crm-api</w:t>
      </w:r>
    </w:p>
    <w:p>
      <w:pPr>
        <w:pStyle w:val="ListBullet"/>
      </w:pPr>
      <w:r>
        <w:t>Pipedrive Workflow Automation: https://www.pipedrive.com/en/features/workflow-automation</w:t>
      </w:r>
    </w:p>
    <w:p>
      <w:pPr>
        <w:pStyle w:val="ListBullet"/>
      </w:pPr>
      <w:r>
        <w:t>Pipedrive Activities: https://support.pipedrive.com/en/article/activities</w:t>
      </w:r>
    </w:p>
    <w:p>
      <w:r>
        <w:t>The assessment also includes an inspection of the current SecureProfit Hub data model, Sales Pipeline UI, API routes, and Pipedrive synchronization implementation.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SecureProfit Hub — Sales Module &amp; Pipedrive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91B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2E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2E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