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cs="Times New Roman" w:eastAsia="Times New Roman"/>
          <w:b/>
          <w:i w:val="0"/>
          <w:sz w:val="28"/>
        </w:rPr>
        <w:t>VILNIAUS UNIVERSITETO</w:t>
      </w:r>
    </w:p>
    <w:p>
      <w:pPr>
        <w:spacing w:line="240" w:lineRule="auto" w:before="0" w:after="600"/>
        <w:jc w:val="center"/>
      </w:pPr>
      <w:r>
        <w:rPr>
          <w:rFonts w:ascii="Times New Roman" w:hAnsi="Times New Roman" w:cs="Times New Roman" w:eastAsia="Times New Roman"/>
          <w:b/>
          <w:i w:val="0"/>
          <w:sz w:val="28"/>
        </w:rPr>
        <w:t>KAUNO FAKULTETAS</w:t>
      </w:r>
    </w:p>
    <w:p>
      <w:pPr>
        <w:spacing w:line="240" w:lineRule="auto" w:before="0" w:after="3080"/>
        <w:jc w:val="center"/>
      </w:pPr>
      <w:r>
        <w:rPr>
          <w:rFonts w:ascii="Times New Roman" w:hAnsi="Times New Roman" w:cs="Times New Roman" w:eastAsia="Times New Roman"/>
          <w:b w:val="0"/>
          <w:i w:val="0"/>
          <w:sz w:val="28"/>
        </w:rPr>
        <w:t>SOCIALINIŲ MOKSLŲ IR TAIKOMOSIOS INFORMATIKOS INSTITUTAS</w:t>
      </w:r>
    </w:p>
    <w:p>
      <w:pPr>
        <w:spacing w:line="240" w:lineRule="auto" w:before="0" w:after="1800"/>
        <w:jc w:val="center"/>
      </w:pPr>
      <w:r>
        <w:rPr>
          <w:rFonts w:ascii="Times New Roman" w:hAnsi="Times New Roman" w:cs="Times New Roman" w:eastAsia="Times New Roman"/>
          <w:b w:val="0"/>
          <w:i w:val="0"/>
          <w:sz w:val="24"/>
        </w:rPr>
        <w:t>Marketingo technologijų studijų programa</w:t>
      </w:r>
    </w:p>
    <w:p>
      <w:pPr>
        <w:spacing w:line="240" w:lineRule="auto" w:before="0" w:after="1800"/>
        <w:jc w:val="center"/>
      </w:pPr>
      <w:r>
        <w:rPr>
          <w:rFonts w:ascii="Times New Roman" w:hAnsi="Times New Roman" w:cs="Times New Roman" w:eastAsia="Times New Roman"/>
          <w:b/>
          <w:i w:val="0"/>
          <w:sz w:val="24"/>
        </w:rPr>
        <w:t>ANDRIUS VARGONAS</w:t>
      </w:r>
    </w:p>
    <w:p>
      <w:pPr>
        <w:spacing w:line="240" w:lineRule="auto" w:before="0" w:after="600"/>
        <w:jc w:val="center"/>
      </w:pPr>
      <w:r>
        <w:rPr>
          <w:rFonts w:ascii="Times New Roman" w:hAnsi="Times New Roman" w:cs="Times New Roman" w:eastAsia="Times New Roman"/>
          <w:b/>
          <w:i w:val="0"/>
          <w:sz w:val="28"/>
        </w:rPr>
        <w:t>INFORMACINIŲ SISTEMŲ IR DUOMENŲ BAZIŲ KŪRIMO REIKALAVIMŲ PALYGINIMAS</w:t>
      </w:r>
    </w:p>
    <w:p>
      <w:pPr>
        <w:spacing w:line="240" w:lineRule="auto" w:before="0" w:after="4800"/>
        <w:jc w:val="center"/>
      </w:pPr>
      <w:r>
        <w:rPr>
          <w:rFonts w:ascii="Times New Roman" w:hAnsi="Times New Roman" w:cs="Times New Roman" w:eastAsia="Times New Roman"/>
          <w:b w:val="0"/>
          <w:i w:val="0"/>
          <w:sz w:val="24"/>
        </w:rPr>
        <w:t>Informacijos sistemos ir duomenų bazės</w:t>
      </w:r>
    </w:p>
    <w:p>
      <w:pPr>
        <w:spacing w:line="240" w:lineRule="auto" w:before="0" w:after="0"/>
        <w:jc w:val="center"/>
      </w:pPr>
      <w:r>
        <w:rPr>
          <w:rFonts w:ascii="Times New Roman" w:hAnsi="Times New Roman" w:cs="Times New Roman" w:eastAsia="Times New Roman"/>
          <w:b w:val="0"/>
          <w:i w:val="0"/>
          <w:sz w:val="24"/>
        </w:rPr>
        <w:t>Kaunas 2026</w:t>
      </w:r>
    </w:p>
    <w:p>
      <w:pPr>
        <w:sectPr>
          <w:footerReference w:type="default" r:id="rId10"/>
          <w:pgSz w:w="11906" w:h="16838"/>
          <w:pgMar w:top="1134" w:right="850" w:bottom="1134" w:left="1417" w:header="709" w:footer="709" w:gutter="0"/>
          <w:cols w:space="720"/>
          <w:docGrid w:linePitch="360"/>
        </w:sectPr>
      </w:pPr>
    </w:p>
    <w:p>
      <w:pPr>
        <w:spacing w:line="360" w:lineRule="auto" w:before="0" w:after="240"/>
        <w:jc w:val="center"/>
      </w:pPr>
      <w:r>
        <w:rPr>
          <w:rFonts w:ascii="Times New Roman" w:hAnsi="Times New Roman" w:cs="Times New Roman" w:eastAsia="Times New Roman"/>
          <w:b/>
          <w:i w:val="0"/>
          <w:sz w:val="28"/>
        </w:rPr>
        <w:t>TURINYS</w:t>
      </w:r>
    </w:p>
    <w:p>
      <w:pPr>
        <w:spacing w:line="360" w:lineRule="auto" w:before="0" w:after="0"/>
        <w:jc w:val="left"/>
      </w:pPr>
      <w:r>
        <w:fldChar w:fldCharType="begin"/>
        <w:instrText xml:space="preserve">TOC \o "1-3" \h \z \u</w:instrText>
        <w:fldChar w:fldCharType="separate"/>
        <w:fldChar w:fldCharType="end"/>
      </w:r>
    </w:p>
    <w:p>
      <w:pPr>
        <w:spacing w:line="240" w:lineRule="auto" w:before="240" w:after="0"/>
        <w:jc w:val="left"/>
      </w:pPr>
      <w:r>
        <w:rPr>
          <w:rFonts w:ascii="Times New Roman" w:hAnsi="Times New Roman" w:cs="Times New Roman" w:eastAsia="Times New Roman"/>
          <w:b w:val="0"/>
          <w:i/>
          <w:sz w:val="18"/>
        </w:rPr>
        <w:t>(Atidarius dokumentą Word programoje, paspauskite dešinį pelės klavišą ant turinio ir pasirinkite „Update Field" arba „Atnaujinti lauką", kad turinys būtų sugeneruotas automatiškai.)</w:t>
      </w:r>
    </w:p>
    <w:p>
      <w:pPr>
        <w:pStyle w:val="Heading1"/>
        <w:pageBreakBefore/>
        <w:spacing w:line="360" w:lineRule="auto" w:before="0" w:after="240"/>
        <w:jc w:val="center"/>
      </w:pPr>
      <w:r>
        <w:rPr>
          <w:rFonts w:ascii="Times New Roman" w:hAnsi="Times New Roman" w:cs="Times New Roman" w:eastAsia="Times New Roman"/>
          <w:b/>
          <w:i w:val="0"/>
          <w:color w:val="000000"/>
          <w:sz w:val="28"/>
        </w:rPr>
        <w:t>ĮVADAS</w:t>
      </w:r>
    </w:p>
    <w:p>
      <w:pPr>
        <w:spacing w:line="360" w:lineRule="auto" w:before="0" w:after="0"/>
        <w:ind w:firstLine="709"/>
        <w:jc w:val="both"/>
      </w:pPr>
      <w:r>
        <w:rPr>
          <w:rFonts w:ascii="Times New Roman" w:hAnsi="Times New Roman" w:cs="Times New Roman" w:eastAsia="Times New Roman"/>
          <w:b w:val="0"/>
          <w:i w:val="0"/>
          <w:sz w:val="24"/>
        </w:rPr>
        <w:t>Šių dienų skaitmeninėje aplinkoje informacinės sistemos (toliau – IS) ir duomenų bazės (toliau – DB) yra neatsiejami komponentai, užtikrinantys efektyvų organizacijų darbą ir teikiamų paslaugų kokybę. Nors abi technologijos yra glaudžiai susijusios, jų kūrimo reikalavimai skiriasi, atspindėdami skirtingas paskirtis, apimtį ir naudotojų grupes. Norint kurti kokybiškas sistemas, būtina suprasti, kuo skiriasi IS reikalavimai nuo DB reikalavimų ir kaip jie tarpusavyje sąveikauja.</w:t>
      </w:r>
    </w:p>
    <w:p>
      <w:pPr>
        <w:spacing w:line="360" w:lineRule="auto" w:before="0" w:after="0"/>
        <w:ind w:firstLine="709"/>
        <w:jc w:val="both"/>
      </w:pPr>
      <w:r>
        <w:rPr>
          <w:rFonts w:ascii="Times New Roman" w:hAnsi="Times New Roman" w:cs="Times New Roman" w:eastAsia="Times New Roman"/>
          <w:b w:val="0"/>
          <w:i w:val="0"/>
          <w:sz w:val="24"/>
        </w:rPr>
        <w:t>Šio darbo tikslas – pasinaudojant interneto pagalba palyginti informacinių sistemų ir duomenų bazių kūrimo reikalavimus pagal pagrindinius aspektus (taikymo sritį, funkcionalumą, duomenų valdymą, saugumą, naudotojus, kūrimo procesą), pateikti realius pavyzdžius iš Lietuvos rinkos bei aprašyti praktikoje naudojamus reikalavimų rinkimo šablonus.</w:t>
      </w:r>
    </w:p>
    <w:p>
      <w:pPr>
        <w:spacing w:line="360" w:lineRule="auto" w:before="0" w:after="0"/>
        <w:ind w:firstLine="709"/>
        <w:jc w:val="both"/>
      </w:pPr>
      <w:r>
        <w:rPr>
          <w:rFonts w:ascii="Times New Roman" w:hAnsi="Times New Roman" w:cs="Times New Roman" w:eastAsia="Times New Roman"/>
          <w:b w:val="0"/>
          <w:i w:val="0"/>
          <w:sz w:val="24"/>
        </w:rPr>
        <w:t>Darbo uždaviniai:</w:t>
      </w:r>
    </w:p>
    <w:p>
      <w:pPr>
        <w:pStyle w:val="ListNumber"/>
        <w:spacing w:line="360" w:lineRule="auto" w:before="0" w:after="0"/>
        <w:jc w:val="both"/>
      </w:pPr>
      <w:r>
        <w:rPr>
          <w:rFonts w:ascii="Times New Roman" w:hAnsi="Times New Roman" w:cs="Times New Roman" w:eastAsia="Times New Roman"/>
          <w:b w:val="0"/>
          <w:i w:val="0"/>
          <w:sz w:val="24"/>
        </w:rPr>
        <w:t>Apžvelgti IS ir DB sampratą bei pagrindinius kūrimo aspektus.</w:t>
      </w:r>
    </w:p>
    <w:p>
      <w:pPr>
        <w:pStyle w:val="ListNumber"/>
        <w:spacing w:line="360" w:lineRule="auto" w:before="0" w:after="0"/>
        <w:jc w:val="both"/>
      </w:pPr>
      <w:r>
        <w:rPr>
          <w:rFonts w:ascii="Times New Roman" w:hAnsi="Times New Roman" w:cs="Times New Roman" w:eastAsia="Times New Roman"/>
          <w:b w:val="0"/>
          <w:i w:val="0"/>
          <w:sz w:val="24"/>
        </w:rPr>
        <w:t>Atlikti IS ir DB reikalavimų palyginamąją analizę pateikiant struktūrinę lentelę.</w:t>
      </w:r>
    </w:p>
    <w:p>
      <w:pPr>
        <w:pStyle w:val="ListNumber"/>
        <w:spacing w:line="360" w:lineRule="auto" w:before="0" w:after="0"/>
        <w:jc w:val="both"/>
      </w:pPr>
      <w:r>
        <w:rPr>
          <w:rFonts w:ascii="Times New Roman" w:hAnsi="Times New Roman" w:cs="Times New Roman" w:eastAsia="Times New Roman"/>
          <w:b w:val="0"/>
          <w:i w:val="0"/>
          <w:sz w:val="24"/>
        </w:rPr>
        <w:t>Išanalizuoti realų pavyzdį – Lietuvos elektroninės prekybos sistemą Pigu.lt ir logistikos paslaugų teikėjo Omniva Lietuva duomenų bazę.</w:t>
      </w:r>
    </w:p>
    <w:p>
      <w:pPr>
        <w:pStyle w:val="ListNumber"/>
        <w:spacing w:line="360" w:lineRule="auto" w:before="0" w:after="0"/>
        <w:jc w:val="both"/>
      </w:pPr>
      <w:r>
        <w:rPr>
          <w:rFonts w:ascii="Times New Roman" w:hAnsi="Times New Roman" w:cs="Times New Roman" w:eastAsia="Times New Roman"/>
          <w:b w:val="0"/>
          <w:i w:val="0"/>
          <w:sz w:val="24"/>
        </w:rPr>
        <w:t>Pateikti vaizdinę medžiagą – sekų ir esybių–ryšių diagramas, iliustruojančias IS ir DB sąveiką.</w:t>
      </w:r>
    </w:p>
    <w:p>
      <w:pPr>
        <w:pStyle w:val="ListNumber"/>
        <w:spacing w:line="360" w:lineRule="auto" w:before="0" w:after="0"/>
        <w:jc w:val="both"/>
      </w:pPr>
      <w:r>
        <w:rPr>
          <w:rFonts w:ascii="Times New Roman" w:hAnsi="Times New Roman" w:cs="Times New Roman" w:eastAsia="Times New Roman"/>
          <w:b w:val="0"/>
          <w:i w:val="0"/>
          <w:sz w:val="24"/>
        </w:rPr>
        <w:t>Aprašyti BDAR „teisės būti pamirštam" pavyzdį, parodantį, kaip IS lygmens reikalavimas virsta DB lygmens techniniu sprendimu.</w:t>
      </w:r>
    </w:p>
    <w:p>
      <w:pPr>
        <w:pStyle w:val="ListNumber"/>
        <w:spacing w:line="360" w:lineRule="auto" w:before="0" w:after="0"/>
        <w:jc w:val="both"/>
      </w:pPr>
      <w:r>
        <w:rPr>
          <w:rFonts w:ascii="Times New Roman" w:hAnsi="Times New Roman" w:cs="Times New Roman" w:eastAsia="Times New Roman"/>
          <w:b w:val="0"/>
          <w:i w:val="0"/>
          <w:sz w:val="24"/>
        </w:rPr>
        <w:t>Aprašyti IS ir DB reikalavimų rinkimo šablonus bei reikalavimų atsekamumo matricos naudą praktikoje.</w:t>
      </w:r>
    </w:p>
    <w:p>
      <w:pPr>
        <w:spacing w:line="360" w:lineRule="auto" w:before="0" w:after="0"/>
        <w:ind w:firstLine="709"/>
        <w:jc w:val="both"/>
      </w:pPr>
      <w:r>
        <w:rPr>
          <w:rFonts w:ascii="Times New Roman" w:hAnsi="Times New Roman" w:cs="Times New Roman" w:eastAsia="Times New Roman"/>
          <w:b w:val="0"/>
          <w:i w:val="0"/>
          <w:sz w:val="24"/>
        </w:rPr>
        <w:t>Darbo metodai: literatūros (mokslinių straipsnių, internetinių šaltinių) analizė, palyginamoji analizė, atvejo (case study) analizė. Darbas susideda iš trijų pagrindinių skyrių: pirmajame pristatoma IS ir DB samprata, antrajame atliekamas reikalavimų palyginimas su realiais pavyzdžiais, trečiajame aptariami reikalavimų rinkimo šablonai.</w:t>
      </w:r>
    </w:p>
    <w:p>
      <w:pPr>
        <w:pStyle w:val="Heading1"/>
        <w:pageBreakBefore/>
        <w:spacing w:line="360" w:lineRule="auto" w:before="0" w:after="240"/>
        <w:jc w:val="center"/>
      </w:pPr>
      <w:r>
        <w:rPr>
          <w:rFonts w:ascii="Times New Roman" w:hAnsi="Times New Roman" w:cs="Times New Roman" w:eastAsia="Times New Roman"/>
          <w:b/>
          <w:i w:val="0"/>
          <w:color w:val="000000"/>
          <w:sz w:val="28"/>
        </w:rPr>
        <w:t>1. INFORMACINIŲ SISTEMŲ IR DUOMENŲ BAZIŲ SAMPRATA</w:t>
      </w:r>
    </w:p>
    <w:p>
      <w:pPr>
        <w:spacing w:line="360" w:lineRule="auto" w:before="0" w:after="0"/>
        <w:ind w:firstLine="709"/>
        <w:jc w:val="both"/>
      </w:pPr>
      <w:r>
        <w:rPr>
          <w:rFonts w:ascii="Times New Roman" w:hAnsi="Times New Roman" w:cs="Times New Roman" w:eastAsia="Times New Roman"/>
          <w:b w:val="0"/>
          <w:i w:val="0"/>
          <w:sz w:val="24"/>
        </w:rPr>
        <w:t>Šiame skyriuje aptariami pagrindiniai informacinių sistemų ir duomenų bazių apibrėžimai, jų paskirtis bei tarpusavio sąveika. Suprasti šių sąvokų esmę yra būtina prieš atliekant detalų reikalavimų palyginimą, nes kiekvienos technologijos paskirtis lemia jos kūrimo reikalavimus.</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1.1. Informacinių sistemų apibrėžimas ir paskirtis</w:t>
      </w:r>
    </w:p>
    <w:p>
      <w:pPr>
        <w:spacing w:line="360" w:lineRule="auto" w:before="0" w:after="0"/>
        <w:ind w:firstLine="709"/>
        <w:jc w:val="both"/>
      </w:pPr>
      <w:r>
        <w:rPr>
          <w:rFonts w:ascii="Times New Roman" w:hAnsi="Times New Roman" w:cs="Times New Roman" w:eastAsia="Times New Roman"/>
          <w:b w:val="0"/>
          <w:i w:val="0"/>
          <w:sz w:val="24"/>
        </w:rPr>
        <w:t>Informacinė sistema – tai organizuotas žmonių, procesų, programinės bei techninės įrangos rinkinys, skirtas duomenims rinkti, apdoroti, saugoti ir paskirstyti, siekiant palaikyti organizacijos veiklą, sprendimų priėmimą bei valdymą (Laudon ir Laudon, 2020). IS aprėpia ne vien technologinį komponentą, bet ir verslo logiką, vartotojų sąsajas bei organizacinius procesus.</w:t>
      </w:r>
    </w:p>
    <w:p>
      <w:pPr>
        <w:spacing w:line="360" w:lineRule="auto" w:before="0" w:after="0"/>
        <w:ind w:firstLine="709"/>
        <w:jc w:val="both"/>
      </w:pPr>
      <w:r>
        <w:rPr>
          <w:rFonts w:ascii="Times New Roman" w:hAnsi="Times New Roman" w:cs="Times New Roman" w:eastAsia="Times New Roman"/>
          <w:b w:val="0"/>
          <w:i w:val="0"/>
          <w:sz w:val="24"/>
        </w:rPr>
        <w:t>Pagrindinė IS paskirtis – paversti duomenis informacija, kuri padeda organizacijai pasiekti savo tikslus. Tipiniai IS pavyzdžiai – įmonės išteklių valdymo sistemos (ERP), klientų ryšių valdymo sistemos (CRM) bei elektroninės prekybos platformos. IS reikalavimai apima ne tik techninius aspektus, bet ir vartotojų patirtį, integraciją su kitomis sistemomis, atitikimą teisės aktams (pvz., BDAR).</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1.2. Duomenų bazių apibrėžimas ir paskirtis</w:t>
      </w:r>
    </w:p>
    <w:p>
      <w:pPr>
        <w:spacing w:line="360" w:lineRule="auto" w:before="0" w:after="0"/>
        <w:ind w:firstLine="709"/>
        <w:jc w:val="both"/>
      </w:pPr>
      <w:r>
        <w:rPr>
          <w:rFonts w:ascii="Times New Roman" w:hAnsi="Times New Roman" w:cs="Times New Roman" w:eastAsia="Times New Roman"/>
          <w:b w:val="0"/>
          <w:i w:val="0"/>
          <w:sz w:val="24"/>
        </w:rPr>
        <w:t>Duomenų bazė – tai struktūruotas duomenų rinkinys, skirtas efektyviam duomenų saugojimui, paieškai, atnaujinimui ir valdymui (Connolly ir Begg, 2015). DB veikia per duomenų bazių valdymo sistemą (DBVS), kuri užtikrina duomenų vientisumą, saugumą ir prieinamumą. Populiariausios DBVS yra MySQL, PostgreSQL, Microsoft SQL Server, Oracle ir MongoDB.</w:t>
      </w:r>
    </w:p>
    <w:p>
      <w:pPr>
        <w:spacing w:line="360" w:lineRule="auto" w:before="0" w:after="0"/>
        <w:ind w:firstLine="709"/>
        <w:jc w:val="both"/>
      </w:pPr>
      <w:r>
        <w:rPr>
          <w:rFonts w:ascii="Times New Roman" w:hAnsi="Times New Roman" w:cs="Times New Roman" w:eastAsia="Times New Roman"/>
          <w:b w:val="0"/>
          <w:i w:val="0"/>
          <w:sz w:val="24"/>
        </w:rPr>
        <w:t>DB yra pagrindinis IS duomenų saugojimo komponentas, tačiau ji gali egzistuoti ir kaip atskira technologinė priemonė. Pagrindinė DB paskirtis – patikimai saugoti duomenis ir užtikrinti operatyvią prieigą prie jų. DB reikalavimai dažniausiai apima duomenų schemos projektavimą, normalizaciją, saugumo bei našumo užtikrinimą.</w:t>
      </w:r>
    </w:p>
    <w:p>
      <w:pPr>
        <w:spacing w:line="360" w:lineRule="auto" w:before="0" w:after="0"/>
        <w:ind w:firstLine="709"/>
        <w:jc w:val="both"/>
      </w:pPr>
      <w:r>
        <w:rPr>
          <w:rFonts w:ascii="Times New Roman" w:hAnsi="Times New Roman" w:cs="Times New Roman" w:eastAsia="Times New Roman"/>
          <w:b w:val="0"/>
          <w:i w:val="0"/>
          <w:sz w:val="24"/>
        </w:rPr>
        <w:t>Apibendrinant galima teigti, kad IS ir DB yra glaudžiai susijusios technologijos: IS naudoja DB kaip duomenų saugyklą, o DB struktūra ir funkcionalumas priklauso nuo IS keliamų reikalavimų. Toliau pateikiama detalesnė šių reikalavimų palyginamoji analizė.</w:t>
      </w:r>
    </w:p>
    <w:p>
      <w:pPr>
        <w:pStyle w:val="Heading1"/>
        <w:pageBreakBefore/>
        <w:spacing w:line="360" w:lineRule="auto" w:before="0" w:after="240"/>
        <w:jc w:val="center"/>
      </w:pPr>
      <w:r>
        <w:rPr>
          <w:rFonts w:ascii="Times New Roman" w:hAnsi="Times New Roman" w:cs="Times New Roman" w:eastAsia="Times New Roman"/>
          <w:b/>
          <w:i w:val="0"/>
          <w:color w:val="000000"/>
          <w:sz w:val="28"/>
        </w:rPr>
        <w:t>2. IS IR DB REIKALAVIMŲ PALYGINIMAS</w:t>
      </w:r>
    </w:p>
    <w:p>
      <w:pPr>
        <w:spacing w:line="360" w:lineRule="auto" w:before="0" w:after="0"/>
        <w:ind w:firstLine="709"/>
        <w:jc w:val="both"/>
      </w:pPr>
      <w:r>
        <w:rPr>
          <w:rFonts w:ascii="Times New Roman" w:hAnsi="Times New Roman" w:cs="Times New Roman" w:eastAsia="Times New Roman"/>
          <w:b w:val="0"/>
          <w:i w:val="0"/>
          <w:sz w:val="24"/>
        </w:rPr>
        <w:t>Šiame skyriuje pateikiama struktūrinė palyginamoji analizės lentelė, kurioje IS ir DB reikalavimai gretinami pagal septynis pagrindinius aspektus. Po lentelės pateikiama Pigu.lt ir Omniva Lietuva atvejo analizė bei rašytinė palyginamoji analizė.</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2.1. Palyginamosios analizės lentelė</w:t>
      </w:r>
    </w:p>
    <w:p>
      <w:pPr>
        <w:spacing w:line="360" w:lineRule="auto" w:before="0" w:after="0"/>
        <w:ind w:firstLine="709"/>
        <w:jc w:val="both"/>
      </w:pPr>
      <w:r>
        <w:rPr>
          <w:rFonts w:ascii="Times New Roman" w:hAnsi="Times New Roman" w:cs="Times New Roman" w:eastAsia="Times New Roman"/>
          <w:b w:val="0"/>
          <w:i w:val="0"/>
          <w:sz w:val="24"/>
        </w:rPr>
        <w:t>Pirmoje lentelėje (žr. 1 lentelę) pateikiamas struktūrinis IS ir DB kūrimo reikalavimų palyginimas pagal aspektus, nurodytus užduoties metodiniuose nurodymuose.</w:t>
      </w:r>
    </w:p>
    <w:p>
      <w:pPr>
        <w:spacing w:line="240" w:lineRule="auto" w:before="120" w:after="0"/>
        <w:jc w:val="right"/>
      </w:pPr>
      <w:r>
        <w:rPr>
          <w:rFonts w:ascii="Times New Roman" w:hAnsi="Times New Roman" w:cs="Times New Roman" w:eastAsia="Times New Roman"/>
          <w:b/>
          <w:i w:val="0"/>
          <w:sz w:val="22"/>
        </w:rPr>
        <w:t>1 lentelė</w:t>
      </w:r>
    </w:p>
    <w:p>
      <w:pPr>
        <w:spacing w:line="240" w:lineRule="auto" w:before="0" w:after="120"/>
        <w:jc w:val="center"/>
      </w:pPr>
      <w:r>
        <w:rPr>
          <w:rFonts w:ascii="Times New Roman" w:hAnsi="Times New Roman" w:cs="Times New Roman" w:eastAsia="Times New Roman"/>
          <w:b/>
          <w:i w:val="0"/>
          <w:sz w:val="22"/>
        </w:rPr>
        <w:t>IS ir DB kūrimo reikalavimų palyginimas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154"/>
            <w:vAlign w:val="center"/>
          </w:tcPr>
          <w:p>
            <w:pPr>
              <w:spacing w:line="240" w:lineRule="auto" w:before="40" w:after="40"/>
              <w:jc w:val="left"/>
            </w:pPr>
            <w:r/>
            <w:r>
              <w:rPr>
                <w:rFonts w:ascii="Times New Roman" w:hAnsi="Times New Roman" w:cs="Times New Roman" w:eastAsia="Times New Roman"/>
                <w:b/>
                <w:i w:val="0"/>
                <w:sz w:val="20"/>
              </w:rPr>
              <w:t>Aspektas</w:t>
            </w:r>
          </w:p>
        </w:tc>
        <w:tc>
          <w:tcPr>
            <w:tcW w:type="dxa" w:w="3572"/>
            <w:vAlign w:val="center"/>
          </w:tcPr>
          <w:p>
            <w:pPr>
              <w:spacing w:line="240" w:lineRule="auto" w:before="40" w:after="40"/>
              <w:jc w:val="left"/>
            </w:pPr>
            <w:r/>
            <w:r>
              <w:rPr>
                <w:rFonts w:ascii="Times New Roman" w:hAnsi="Times New Roman" w:cs="Times New Roman" w:eastAsia="Times New Roman"/>
                <w:b/>
                <w:i w:val="0"/>
                <w:sz w:val="20"/>
              </w:rPr>
              <w:t>Informacinės sistemos (IS) reikalavimai</w:t>
            </w:r>
          </w:p>
        </w:tc>
        <w:tc>
          <w:tcPr>
            <w:tcW w:type="dxa" w:w="3572"/>
            <w:vAlign w:val="center"/>
          </w:tcPr>
          <w:p>
            <w:pPr>
              <w:spacing w:line="240" w:lineRule="auto" w:before="40" w:after="40"/>
              <w:jc w:val="left"/>
            </w:pPr>
            <w:r/>
            <w:r>
              <w:rPr>
                <w:rFonts w:ascii="Times New Roman" w:hAnsi="Times New Roman" w:cs="Times New Roman" w:eastAsia="Times New Roman"/>
                <w:b/>
                <w:i w:val="0"/>
                <w:sz w:val="20"/>
              </w:rPr>
              <w:t>Duomenų bazės (DB) reikalavimai</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Taikymo sritis, tikslas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Verslo procesų automatizavimas, vartotojų sąveika, sprendimų priėmimo palaikymas, paslaugų teikimas.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Struktūruotas duomenų saugojimas, greita paieška, duomenų vientisumo ir prieinamumo užtikrinimas.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Funkcionalumas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Verslo procesams skirtos funkcijos (užsakymai, ataskaitos, pranešimai), grafinė vartotojo sąsaja, integracijos su kitomis sistemomis per API.</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CRUD operacijos (kūrimas, skaitymas, atnaujinimas, šalinimas), užklausos (SQL), indeksavimas, transakcijų valdymas.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Duomenų valdymas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Duomenų srautai tarp sistemos modulių, duomenų transformacija ir verslo logikos taikymas, duomenų pateikimas naudotojui.</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Duomenų schemos projektavimas, normalizacija, ryšiai tarp lentelių, ACID savybių užtikrinimas.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Saugumas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Vartotojų autentifikacija (slaptažodis, dviejų faktorių), autorizacija pagal vaidmenis, sesijų valdymas, žurnalavimas, atitikimas BDAR.</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Šifravimas (saugomų ir perduodamų duomenų), prieigos teisės lentelėms ir laukams, atsarginės kopijos, audito sekos.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Vartotojai ir prieiga</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Galutiniai naudotojai (klientai, darbuotojai, administratoriai); prieiga per grafinę sąsają (web, mobilioji programėlė).</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DB administratoriai, programinės įrangos jungtys (API, ORM); prieiga per SQL klientą arba programinį kodą.</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Kūrimo procesas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SDLC etapai: reikalavimų rinkimas, analizė, projektavimas, kūrimas, testavimas, diegimas, priežiūra. Naudojamos Agile, Waterfall metodologijos.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Konceptualus, loginis ir fizinis projektavimas (ER diagrama → reliacinė schema → DBVS); normalizacija, indeksų ir užklausų optimizavimas.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Realaus pasaulio pavyzdys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Pigu.lt – Lietuvos elektroninės prekybos platforma, pateikianti vartotojo sąsają, prekių katalogą, krepšelį, mokėjimus ir klientų aptarnavimą.</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Omniva Lietuva siuntų sekimo DB – sauganti siuntų, klientų, paštomatų bei pristatymo būsenų informaciją, pasiekiama per API.</w:t>
            </w:r>
          </w:p>
        </w:tc>
      </w:tr>
    </w:tbl>
    <w:p>
      <w:pPr>
        <w:spacing w:line="240" w:lineRule="auto" w:before="40" w:after="240"/>
        <w:jc w:val="left"/>
      </w:pPr>
      <w:r>
        <w:rPr>
          <w:rFonts w:ascii="Times New Roman" w:hAnsi="Times New Roman" w:cs="Times New Roman" w:eastAsia="Times New Roman"/>
          <w:b w:val="0"/>
          <w:i/>
          <w:sz w:val="18"/>
        </w:rPr>
        <w:t>Šaltinis: sudaryta autoriaus, remiantis Laudon ir Laudon (2020) bei Connolly ir Begg (2015).</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2.2. Pigu.lt ir Omniva Lietuva pavyzdžių analizė</w:t>
      </w:r>
    </w:p>
    <w:p>
      <w:pPr>
        <w:spacing w:line="360" w:lineRule="auto" w:before="0" w:after="0"/>
        <w:ind w:firstLine="709"/>
        <w:jc w:val="both"/>
      </w:pPr>
      <w:r>
        <w:rPr>
          <w:rFonts w:ascii="Times New Roman" w:hAnsi="Times New Roman" w:cs="Times New Roman" w:eastAsia="Times New Roman"/>
          <w:b w:val="0"/>
          <w:i w:val="0"/>
          <w:sz w:val="24"/>
        </w:rPr>
        <w:t>Pigu.lt yra viena didžiausių Lietuvos elektroninės prekybos platformų, jungianti šimtus tūkstančių prekių ir milijoną vartotojų. Šios informacinės sistemos kūrimo reikalavimai apima ne tik produktų katalogo valdymą, bet ir krepšelio funkcionalumą, mokėjimo apdorojimą (per Lietuvos bankus ir tarptautines mokėjimo sistemas), pristatymo logistiką, klientų aptarnavimą bei marketingo įrankius. Sistemos vartotojų sąsaja turi būti patogi tiek kompiuterio, tiek mobiliojo telefono ekrane.</w:t>
      </w:r>
    </w:p>
    <w:p>
      <w:pPr>
        <w:spacing w:line="360" w:lineRule="auto" w:before="0" w:after="0"/>
        <w:ind w:firstLine="709"/>
        <w:jc w:val="both"/>
      </w:pPr>
      <w:r>
        <w:rPr>
          <w:rFonts w:ascii="Times New Roman" w:hAnsi="Times New Roman" w:cs="Times New Roman" w:eastAsia="Times New Roman"/>
          <w:b w:val="0"/>
          <w:i w:val="0"/>
          <w:sz w:val="24"/>
        </w:rPr>
        <w:t>Omniva Lietuva, kaip pašto ir logistikos paslaugų teikėjas, valdo plačią paštomatų tinklo ir siuntų sekimo duomenų bazę. DB reikalavimai apima didžiulių duomenų kiekių apdorojimą realiu laiku, siuntų būsenų sekimą (kelionę nuo siuntėjo iki gavėjo), klientų asmens duomenų saugojimą pagal BDAR reikalavimus bei integraciją su partnerių sistemomis.</w:t>
      </w:r>
    </w:p>
    <w:p>
      <w:pPr>
        <w:spacing w:line="360" w:lineRule="auto" w:before="0" w:after="0"/>
        <w:ind w:firstLine="709"/>
        <w:jc w:val="both"/>
      </w:pPr>
      <w:r>
        <w:rPr>
          <w:rFonts w:ascii="Times New Roman" w:hAnsi="Times New Roman" w:cs="Times New Roman" w:eastAsia="Times New Roman"/>
          <w:b w:val="0"/>
          <w:i w:val="0"/>
          <w:sz w:val="24"/>
        </w:rPr>
        <w:t>Pigu.lt ir Omniva Lietuva sąveika rodo IS ir DB reikalavimų papildomumą praktikoje: kai pirkėjas atlieka užsakymą Pigu.lt platformoje ir pasirenka pristatymą per Omniva paštomatą, Pigu.lt informacinė sistema per API perduoda siuntimo duomenis Omniva sistemai, o pastaroji užregistruoja siuntą savo DB ir grąžina sekimo numerį atgal. Vartotojas tada gali sekti siuntą tiek Pigu.lt platformoje, tiek Omniva tinklalapyje ar mobiliojoje programėlėje. Žemiau pateikta sekų diagrama (žr. 1 pav.) iliustruoja šios sąveikos eigą.</w:t>
      </w:r>
    </w:p>
    <w:p>
      <w:pPr>
        <w:spacing w:line="240" w:lineRule="auto" w:before="160" w:after="0"/>
        <w:jc w:val="center"/>
      </w:pPr>
      <w:r>
        <w:drawing>
          <wp:inline xmlns:a="http://schemas.openxmlformats.org/drawingml/2006/main" xmlns:pic="http://schemas.openxmlformats.org/drawingml/2006/picture">
            <wp:extent cx="5580000" cy="3533915"/>
            <wp:docPr id="1" name="Picture 1"/>
            <wp:cNvGraphicFramePr>
              <a:graphicFrameLocks noChangeAspect="1"/>
            </wp:cNvGraphicFramePr>
            <a:graphic>
              <a:graphicData uri="http://schemas.openxmlformats.org/drawingml/2006/picture">
                <pic:pic>
                  <pic:nvPicPr>
                    <pic:cNvPr id="0" name="img1_seku_diagrama.png"/>
                    <pic:cNvPicPr/>
                  </pic:nvPicPr>
                  <pic:blipFill>
                    <a:blip r:embed="rId11"/>
                    <a:stretch>
                      <a:fillRect/>
                    </a:stretch>
                  </pic:blipFill>
                  <pic:spPr>
                    <a:xfrm>
                      <a:off x="0" y="0"/>
                      <a:ext cx="5580000" cy="3533915"/>
                    </a:xfrm>
                    <a:prstGeom prst="rect"/>
                  </pic:spPr>
                </pic:pic>
              </a:graphicData>
            </a:graphic>
          </wp:inline>
        </w:drawing>
      </w:r>
    </w:p>
    <w:p>
      <w:pPr>
        <w:spacing w:line="240" w:lineRule="auto" w:before="80" w:after="40"/>
        <w:jc w:val="center"/>
      </w:pPr>
      <w:r>
        <w:rPr>
          <w:rFonts w:ascii="Times New Roman" w:hAnsi="Times New Roman" w:cs="Times New Roman" w:eastAsia="Times New Roman"/>
          <w:b/>
          <w:i w:val="0"/>
          <w:sz w:val="22"/>
        </w:rPr>
        <w:t>1 pav. Pigu.lt ir Omniva sąveikos sekų diagrama</w:t>
      </w:r>
    </w:p>
    <w:p>
      <w:pPr>
        <w:spacing w:line="240" w:lineRule="auto" w:before="40" w:after="240"/>
        <w:jc w:val="left"/>
      </w:pPr>
      <w:r>
        <w:rPr>
          <w:rFonts w:ascii="Times New Roman" w:hAnsi="Times New Roman" w:cs="Times New Roman" w:eastAsia="Times New Roman"/>
          <w:b w:val="0"/>
          <w:i/>
          <w:sz w:val="18"/>
        </w:rPr>
        <w:t>Šaltinis: sudaryta autoriaus.</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2.3. Rašytinė palyginamoji analizė</w:t>
      </w:r>
    </w:p>
    <w:p>
      <w:pPr>
        <w:spacing w:line="360" w:lineRule="auto" w:before="0" w:after="0"/>
        <w:ind w:firstLine="709"/>
        <w:jc w:val="both"/>
      </w:pPr>
      <w:r>
        <w:rPr>
          <w:rFonts w:ascii="Times New Roman" w:hAnsi="Times New Roman" w:cs="Times New Roman" w:eastAsia="Times New Roman"/>
          <w:b w:val="0"/>
          <w:i w:val="0"/>
          <w:sz w:val="24"/>
        </w:rPr>
        <w:t>Informacinės sistemos ir duomenų bazės yra technologiniai sprendimai, tačiau jų kūrimo reikalavimai skiriasi tiek tikslo, tiek detalumo aspektais. IS reikalavimai apima visą organizacinį kontekstą: vartotojų vaidmenis, verslo procesus, vartotojo sąveiką ir integracijas su kitomis sistemomis. Tuo tarpu DB reikalavimai sutelkti ties duomenų struktūra, jų vientisumu, saugumu ir efektyvia prieiga.</w:t>
      </w:r>
    </w:p>
    <w:p>
      <w:pPr>
        <w:spacing w:line="360" w:lineRule="auto" w:before="0" w:after="0"/>
        <w:ind w:firstLine="709"/>
        <w:jc w:val="both"/>
      </w:pPr>
      <w:r>
        <w:rPr>
          <w:rFonts w:ascii="Times New Roman" w:hAnsi="Times New Roman" w:cs="Times New Roman" w:eastAsia="Times New Roman"/>
          <w:b w:val="0"/>
          <w:i w:val="0"/>
          <w:sz w:val="24"/>
        </w:rPr>
        <w:t>Vis dėlto šios reikalavimų grupės papildo viena kitą. DB sukuriama remiantis IS funkciniais reikalavimais: nustačius, kokie verslo procesai bus automatizuoti, suprojektuojama, kokie duomenys turi būti saugomi. Pavyzdžiui, Pigu.lt elektroninės prekybos sistema reikalauja saugoti produktus, klientus, užsakymus ir mokėjimus – šie reikalavimai virsta konkrečia DB schema su atitinkamomis lentelėmis ir ryšiais.</w:t>
      </w:r>
    </w:p>
    <w:p>
      <w:pPr>
        <w:spacing w:line="360" w:lineRule="auto" w:before="0" w:after="0"/>
        <w:ind w:firstLine="709"/>
        <w:jc w:val="both"/>
      </w:pPr>
      <w:r>
        <w:rPr>
          <w:rFonts w:ascii="Times New Roman" w:hAnsi="Times New Roman" w:cs="Times New Roman" w:eastAsia="Times New Roman"/>
          <w:b w:val="0"/>
          <w:i w:val="0"/>
          <w:sz w:val="24"/>
        </w:rPr>
        <w:t>Realus pavyzdys – Pigu.lt sistema, sąveikaujanti su Omniva Lietuva DB per programines sąsajas: kai klientas užsako prekę, IS perduoda siuntimo duomenis Omniva sistemai, o ši saugo juos savo DB ir grąžina sekimo numerį atgal į IS. Toks ryšys parodo, kad IS reikalavimai apibrėžia, kokia informacija turi būti perduodama ir kaip ji pateikiama vartotojui, o DB reikalavimai nustato, kaip ji turi būti saugoma, struktūruojama ir apsaugota. Abi reikalavimų grupės yra vienodai svarbios kuriant patikimą skaitmeninę paslaugą.</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2.4. Saugumo reikalavimų atvejis: BDAR „teisė būti pamirštam"</w:t>
      </w:r>
    </w:p>
    <w:p>
      <w:pPr>
        <w:spacing w:line="360" w:lineRule="auto" w:before="0" w:after="0"/>
        <w:ind w:firstLine="709"/>
        <w:jc w:val="both"/>
      </w:pPr>
      <w:r>
        <w:rPr>
          <w:rFonts w:ascii="Times New Roman" w:hAnsi="Times New Roman" w:cs="Times New Roman" w:eastAsia="Times New Roman"/>
          <w:b w:val="0"/>
          <w:i w:val="0"/>
          <w:sz w:val="24"/>
        </w:rPr>
        <w:t>Vienas iš geriausių pavyzdžių, kaip aukšto lygio IS reikalavimas transformuojamas į konkretų DB sprendimą, yra Bendrojo duomenų apsaugos reglamento (BDAR) 17 straipsnyje numatyta „teisė būti pamirštam" (angl. right to be forgotten). Šis reikalavimas iš pradžių atsiranda kaip teisinis ir vartotojo lygio reikalavimas, vėliau tampantis IS funkciniu reikalavimu, ir galiausiai – konkrečia DB operacija.</w:t>
      </w:r>
    </w:p>
    <w:p>
      <w:pPr>
        <w:spacing w:line="360" w:lineRule="auto" w:before="0" w:after="0"/>
        <w:ind w:firstLine="709"/>
        <w:jc w:val="both"/>
      </w:pPr>
      <w:r>
        <w:rPr>
          <w:rFonts w:ascii="Times New Roman" w:hAnsi="Times New Roman" w:cs="Times New Roman" w:eastAsia="Times New Roman"/>
          <w:b w:val="0"/>
          <w:i w:val="0"/>
          <w:sz w:val="24"/>
        </w:rPr>
        <w:t>IS lygmenyje šis reikalavimas reiškia, kad vartotojas savo paskyros nustatymuose turi turėti mygtuką „Ištrinti paskyrą", o sistema privalo užtikrinti, kad po šio veiksmo vartotojo asmens duomenys būtų pašalinti. Tačiau DB lygmenyje sprendimas dažnai būna sudėtingesnis: tiesiog ištrinti įrašą iš lentelės „klientas" gali pažeisti duomenų vientisumą (pvz., užsakymų istoriją, kuri reikalinga apskaitos arba mokesčių reikalavimams).</w:t>
      </w:r>
    </w:p>
    <w:p>
      <w:pPr>
        <w:spacing w:line="360" w:lineRule="auto" w:before="0" w:after="0"/>
        <w:ind w:firstLine="709"/>
        <w:jc w:val="both"/>
      </w:pPr>
      <w:r>
        <w:rPr>
          <w:rFonts w:ascii="Times New Roman" w:hAnsi="Times New Roman" w:cs="Times New Roman" w:eastAsia="Times New Roman"/>
          <w:b w:val="0"/>
          <w:i w:val="0"/>
          <w:sz w:val="24"/>
        </w:rPr>
        <w:t>Praktinis sprendimas DB lygmenyje paprastai apima asmens duomenų anonimizavimą arba pseudonimizavimą: tokie laukai kaip vardas, pavardė, el. pašto adresas, telefono numeris ar adresas pakeičiami neutraliomis reikšmėmis (pvz., „Ištrintas vartotojas"), tuo tarpu užsakymų ir mokėjimų istorija išlaikoma, tačiau be galimybės atsekti konkretų asmenį. Užsakymo lentelėje išorinis raktas į klientą gali būti pakeistas į specialų techninį identifikatorių, išsaugant ryšių vientisumą. Tai parodo, kaip vienas IS reikalavimas gali turėti kelias DB lygmens įgyvendinimo galimybes – kiekviena su savo techniniais ir teisiniais kompromisais.</w:t>
      </w:r>
    </w:p>
    <w:p>
      <w:pPr>
        <w:pStyle w:val="Heading1"/>
        <w:pageBreakBefore/>
        <w:spacing w:line="360" w:lineRule="auto" w:before="0" w:after="240"/>
        <w:jc w:val="center"/>
      </w:pPr>
      <w:r>
        <w:rPr>
          <w:rFonts w:ascii="Times New Roman" w:hAnsi="Times New Roman" w:cs="Times New Roman" w:eastAsia="Times New Roman"/>
          <w:b/>
          <w:i w:val="0"/>
          <w:color w:val="000000"/>
          <w:sz w:val="28"/>
        </w:rPr>
        <w:t>3. IS IR DB REIKALAVIMŲ RINKIMO ŠABLONAI</w:t>
      </w:r>
    </w:p>
    <w:p>
      <w:pPr>
        <w:spacing w:line="360" w:lineRule="auto" w:before="0" w:after="0"/>
        <w:ind w:firstLine="709"/>
        <w:jc w:val="both"/>
      </w:pPr>
      <w:r>
        <w:rPr>
          <w:rFonts w:ascii="Times New Roman" w:hAnsi="Times New Roman" w:cs="Times New Roman" w:eastAsia="Times New Roman"/>
          <w:b w:val="0"/>
          <w:i w:val="0"/>
          <w:sz w:val="24"/>
        </w:rPr>
        <w:t>Šiame skyriuje aprašomi dažniausiai naudojami šablonai informacinių sistemų ir duomenų bazių reikalavimams rinkti. Tinkamai parinkti šablonai padeda struktūrizuotai dokumentuoti reikalavimus, sumažina klaidų riziką ir padidina projekto sėkmės tikimybę.</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3.1. IS reikalavimų specifikacijos šablonai</w:t>
      </w:r>
    </w:p>
    <w:p>
      <w:pPr>
        <w:spacing w:line="360" w:lineRule="auto" w:before="0" w:after="0"/>
        <w:ind w:firstLine="709"/>
        <w:jc w:val="both"/>
      </w:pPr>
      <w:r>
        <w:rPr>
          <w:rFonts w:ascii="Times New Roman" w:hAnsi="Times New Roman" w:cs="Times New Roman" w:eastAsia="Times New Roman"/>
          <w:b w:val="0"/>
          <w:i w:val="0"/>
          <w:sz w:val="24"/>
        </w:rPr>
        <w:t>Informacinių sistemų reikalavimams rinkti dažniausiai naudojami šie šablonai:</w:t>
      </w:r>
    </w:p>
    <w:p>
      <w:pPr>
        <w:pStyle w:val="ListBullet"/>
        <w:spacing w:line="360" w:lineRule="auto" w:before="0" w:after="0"/>
        <w:jc w:val="both"/>
      </w:pPr>
      <w:r>
        <w:rPr>
          <w:rFonts w:ascii="Times New Roman" w:hAnsi="Times New Roman" w:cs="Times New Roman" w:eastAsia="Times New Roman"/>
          <w:b w:val="0"/>
          <w:i w:val="0"/>
          <w:sz w:val="24"/>
        </w:rPr>
        <w:t>SRS (angl. Software Requirements Specification) – pagal IEEE 830 standartą struktūrizuotas dokumentas, aprašantis funkcinius ir nefunkcinius sistemos reikalavimus, naudotojų klases, sąsajas ir veiklos apribojimus.</w:t>
      </w:r>
    </w:p>
    <w:p>
      <w:pPr>
        <w:pStyle w:val="ListBullet"/>
        <w:spacing w:line="360" w:lineRule="auto" w:before="0" w:after="0"/>
        <w:jc w:val="both"/>
      </w:pPr>
      <w:r>
        <w:rPr>
          <w:rFonts w:ascii="Times New Roman" w:hAnsi="Times New Roman" w:cs="Times New Roman" w:eastAsia="Times New Roman"/>
          <w:b w:val="0"/>
          <w:i w:val="0"/>
          <w:sz w:val="24"/>
        </w:rPr>
        <w:t>Panaudojimo atvejų (angl. Use Case) šablonas – aprašo vartotojų sąveiką su sistema, įskaitant aktorius, pagrindinį scenarijų bei alternatyvius eigos kelius. Dažnai pateikiamas UML diagramos forma.</w:t>
      </w:r>
    </w:p>
    <w:p>
      <w:pPr>
        <w:pStyle w:val="ListBullet"/>
        <w:spacing w:line="360" w:lineRule="auto" w:before="0" w:after="0"/>
        <w:jc w:val="both"/>
      </w:pPr>
      <w:r>
        <w:rPr>
          <w:rFonts w:ascii="Times New Roman" w:hAnsi="Times New Roman" w:cs="Times New Roman" w:eastAsia="Times New Roman"/>
          <w:b w:val="0"/>
          <w:i w:val="0"/>
          <w:sz w:val="24"/>
        </w:rPr>
        <w:t>Vartotojo istorijos (angl. User Stories) – Agile metodikoje naudojamas trumpas formatas: „Kaip [vartotojas], aš noriu [funkcionalumas], kad [tikslas]". Tinka iteraciniam reikalavimų rinkimui.</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3.2. Duomenų bazių reikalavimų rinkimo šablonai</w:t>
      </w:r>
    </w:p>
    <w:p>
      <w:pPr>
        <w:spacing w:line="360" w:lineRule="auto" w:before="0" w:after="0"/>
        <w:ind w:firstLine="709"/>
        <w:jc w:val="both"/>
      </w:pPr>
      <w:r>
        <w:rPr>
          <w:rFonts w:ascii="Times New Roman" w:hAnsi="Times New Roman" w:cs="Times New Roman" w:eastAsia="Times New Roman"/>
          <w:b w:val="0"/>
          <w:i w:val="0"/>
          <w:sz w:val="24"/>
        </w:rPr>
        <w:t>Duomenų bazių projektavimui ir reikalavimų dokumentavimui naudojami specializuoti šablonai:</w:t>
      </w:r>
    </w:p>
    <w:p>
      <w:pPr>
        <w:pStyle w:val="ListBullet"/>
        <w:spacing w:line="360" w:lineRule="auto" w:before="0" w:after="0"/>
        <w:jc w:val="both"/>
      </w:pPr>
      <w:r>
        <w:rPr>
          <w:rFonts w:ascii="Times New Roman" w:hAnsi="Times New Roman" w:cs="Times New Roman" w:eastAsia="Times New Roman"/>
          <w:b w:val="0"/>
          <w:i w:val="0"/>
          <w:sz w:val="24"/>
        </w:rPr>
        <w:t>Esybių–ryšių diagrama (angl. Entity–Relationship Diagram, ERD) – grafinis modelis, vaizduojantis esybes (lenteles), atributus (laukus) ir ryšius tarp jų. Yra pagrindinis konceptualaus DB projektavimo įrankis.</w:t>
      </w:r>
    </w:p>
    <w:p>
      <w:pPr>
        <w:pStyle w:val="ListBullet"/>
        <w:spacing w:line="360" w:lineRule="auto" w:before="0" w:after="0"/>
        <w:jc w:val="both"/>
      </w:pPr>
      <w:r>
        <w:rPr>
          <w:rFonts w:ascii="Times New Roman" w:hAnsi="Times New Roman" w:cs="Times New Roman" w:eastAsia="Times New Roman"/>
          <w:b w:val="0"/>
          <w:i w:val="0"/>
          <w:sz w:val="24"/>
        </w:rPr>
        <w:t>Duomenų žodynas (angl. Data Dictionary) – lentelinis aprašymas, kuriame nurodomi visi DB elementai: lentelės, laukai, duomenų tipai, raktai, apribojimai ir laukų reikšmės.</w:t>
      </w:r>
    </w:p>
    <w:p>
      <w:pPr>
        <w:pStyle w:val="ListBullet"/>
        <w:spacing w:line="360" w:lineRule="auto" w:before="0" w:after="0"/>
        <w:jc w:val="both"/>
      </w:pPr>
      <w:r>
        <w:rPr>
          <w:rFonts w:ascii="Times New Roman" w:hAnsi="Times New Roman" w:cs="Times New Roman" w:eastAsia="Times New Roman"/>
          <w:b w:val="0"/>
          <w:i w:val="0"/>
          <w:sz w:val="24"/>
        </w:rPr>
        <w:t>Loginė ir fizinė schema – etapinio DB projektavimo dokumentai. Loginė schema aprašo lenteles, jų stulpelius ir ryšius nepriklausomai nuo DBVS, o fizinė schema – konkretų įgyvendinimą pasirinktoje DBVS.</w:t>
      </w:r>
    </w:p>
    <w:p>
      <w:pPr>
        <w:spacing w:line="360" w:lineRule="auto" w:before="0" w:after="0"/>
        <w:ind w:firstLine="709"/>
        <w:jc w:val="both"/>
      </w:pPr>
      <w:r>
        <w:rPr>
          <w:rFonts w:ascii="Times New Roman" w:hAnsi="Times New Roman" w:cs="Times New Roman" w:eastAsia="Times New Roman"/>
          <w:b w:val="0"/>
          <w:i w:val="0"/>
          <w:sz w:val="24"/>
        </w:rPr>
        <w:t>Norint geriau iliustruoti, kaip ERD šablonas naudojamas praktikoje, antroje paveiksle (žr. 2 pav.) pateikiamas supaprastintas e. prekybos ir logistikos duomenų bazės ER modelis su pagrindinėmis esybėmis ir jų ryšiais.</w:t>
      </w:r>
    </w:p>
    <w:p>
      <w:pPr>
        <w:spacing w:line="240" w:lineRule="auto" w:before="160" w:after="0"/>
        <w:jc w:val="center"/>
      </w:pPr>
      <w:r>
        <w:drawing>
          <wp:inline xmlns:a="http://schemas.openxmlformats.org/drawingml/2006/main" xmlns:pic="http://schemas.openxmlformats.org/drawingml/2006/picture">
            <wp:extent cx="5580000" cy="3789995"/>
            <wp:docPr id="2" name="Picture 2"/>
            <wp:cNvGraphicFramePr>
              <a:graphicFrameLocks noChangeAspect="1"/>
            </wp:cNvGraphicFramePr>
            <a:graphic>
              <a:graphicData uri="http://schemas.openxmlformats.org/drawingml/2006/picture">
                <pic:pic>
                  <pic:nvPicPr>
                    <pic:cNvPr id="0" name="img2_er_diagrama.png"/>
                    <pic:cNvPicPr/>
                  </pic:nvPicPr>
                  <pic:blipFill>
                    <a:blip r:embed="rId12"/>
                    <a:stretch>
                      <a:fillRect/>
                    </a:stretch>
                  </pic:blipFill>
                  <pic:spPr>
                    <a:xfrm>
                      <a:off x="0" y="0"/>
                      <a:ext cx="5580000" cy="3789995"/>
                    </a:xfrm>
                    <a:prstGeom prst="rect"/>
                  </pic:spPr>
                </pic:pic>
              </a:graphicData>
            </a:graphic>
          </wp:inline>
        </w:drawing>
      </w:r>
    </w:p>
    <w:p>
      <w:pPr>
        <w:spacing w:line="240" w:lineRule="auto" w:before="80" w:after="40"/>
        <w:jc w:val="center"/>
      </w:pPr>
      <w:r>
        <w:rPr>
          <w:rFonts w:ascii="Times New Roman" w:hAnsi="Times New Roman" w:cs="Times New Roman" w:eastAsia="Times New Roman"/>
          <w:b/>
          <w:i w:val="0"/>
          <w:sz w:val="22"/>
        </w:rPr>
        <w:t>2 pav. Supaprastinta e. prekybos ir logistikos DB ER diagrama</w:t>
      </w:r>
    </w:p>
    <w:p>
      <w:pPr>
        <w:spacing w:line="240" w:lineRule="auto" w:before="40" w:after="240"/>
        <w:jc w:val="left"/>
      </w:pPr>
      <w:r>
        <w:rPr>
          <w:rFonts w:ascii="Times New Roman" w:hAnsi="Times New Roman" w:cs="Times New Roman" w:eastAsia="Times New Roman"/>
          <w:b w:val="0"/>
          <w:i/>
          <w:sz w:val="18"/>
        </w:rPr>
        <w:t>Šaltinis: sudaryta autoriaus.</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3.3. Šablonų reikšmė reikalavimų rinkimui</w:t>
      </w:r>
    </w:p>
    <w:p>
      <w:pPr>
        <w:spacing w:line="360" w:lineRule="auto" w:before="0" w:after="0"/>
        <w:ind w:firstLine="709"/>
        <w:jc w:val="both"/>
      </w:pPr>
      <w:r>
        <w:rPr>
          <w:rFonts w:ascii="Times New Roman" w:hAnsi="Times New Roman" w:cs="Times New Roman" w:eastAsia="Times New Roman"/>
          <w:b w:val="0"/>
          <w:i w:val="0"/>
          <w:sz w:val="24"/>
        </w:rPr>
        <w:t>Standartizuoti šablonai padeda projektų komandoms tiksliai dokumentuoti reikalavimus, mažina nesusipratimų riziką tarp užsakovų, analitikų ir kūrėjų bei palengvina sistemos priežiūrą ir tobulinimą. Naudojant tokius įrankius kaip ERD ar SRS, projektai vystomi sistemingai – sumažėja klaidų skaičius, padidėja sistemos kokybė bei vartotojų pasitenkinimas.</w:t>
      </w:r>
    </w:p>
    <w:p>
      <w:pPr>
        <w:spacing w:line="360" w:lineRule="auto" w:before="0" w:after="0"/>
        <w:ind w:firstLine="709"/>
        <w:jc w:val="both"/>
      </w:pPr>
      <w:r>
        <w:rPr>
          <w:rFonts w:ascii="Times New Roman" w:hAnsi="Times New Roman" w:cs="Times New Roman" w:eastAsia="Times New Roman"/>
          <w:b w:val="0"/>
          <w:i w:val="0"/>
          <w:sz w:val="24"/>
        </w:rPr>
        <w:t>Apibendrinant galima teigti, kad IS ir DB reikalavimų rinkimo šablonai yra ne formalumas, o praktinė priemonė, padedanti pereiti nuo abstrakčių verslo poreikių prie konkretaus techninio sprendimo. Pasirinkti šablonai turi atitikti projekto mastą, naudojamą metodologiją bei komandos kompetenciją.</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3.4. Reikalavimų atsekamumas</w:t>
      </w:r>
    </w:p>
    <w:p>
      <w:pPr>
        <w:spacing w:line="360" w:lineRule="auto" w:before="0" w:after="0"/>
        <w:ind w:firstLine="709"/>
        <w:jc w:val="both"/>
      </w:pPr>
      <w:r>
        <w:rPr>
          <w:rFonts w:ascii="Times New Roman" w:hAnsi="Times New Roman" w:cs="Times New Roman" w:eastAsia="Times New Roman"/>
          <w:b w:val="0"/>
          <w:i w:val="0"/>
          <w:sz w:val="24"/>
        </w:rPr>
        <w:t>Reikalavimų atsekamumas (angl. requirements traceability) – tai praktika, leidžianti susieti aukšto lygio verslo reikalavimus su konkrečiais techniniais sprendimais ir testavimo atvejais. Pagrindinė priemonė – reikalavimų atsekamumo matrica (angl. Requirements Traceability Matrix, RTM), kurioje stulpeliuose pateikiami verslo reikalavimai, IS funkciniai reikalavimai, DB elementai (lentelės, laukai) bei testavimo atvejai.</w:t>
      </w:r>
    </w:p>
    <w:p>
      <w:pPr>
        <w:spacing w:line="360" w:lineRule="auto" w:before="0" w:after="0"/>
        <w:ind w:firstLine="709"/>
        <w:jc w:val="both"/>
      </w:pPr>
      <w:r>
        <w:rPr>
          <w:rFonts w:ascii="Times New Roman" w:hAnsi="Times New Roman" w:cs="Times New Roman" w:eastAsia="Times New Roman"/>
          <w:b w:val="0"/>
          <w:i w:val="0"/>
          <w:sz w:val="24"/>
        </w:rPr>
        <w:t>Pavyzdžiui, BDAR teisė būti pamirštam, aprašyta 2.4 poskyryje, atsekamumo matricoje galėtų atrodyti taip: verslo reikalavimas „Užtikrinti vartotojo asmens duomenų pašalinimą" → IS reikalavimas „Ištrinti paskyros funkcionalumas vartotojo profilio puslapyje" → DB pakeitimai „Lentelės „klientas" laukų anonimizavimas, ryšių atnaujinimas užsakymų lentelėje" → testavimo atvejai „Patikrinti, ar po paskyros ištrynimo vartotojo duomenys nebematomi, bet užsakymų istorija išlieka anonimizuota".</w:t>
      </w:r>
    </w:p>
    <w:p>
      <w:pPr>
        <w:spacing w:line="360" w:lineRule="auto" w:before="0" w:after="0"/>
        <w:ind w:firstLine="709"/>
        <w:jc w:val="both"/>
      </w:pPr>
      <w:r>
        <w:rPr>
          <w:rFonts w:ascii="Times New Roman" w:hAnsi="Times New Roman" w:cs="Times New Roman" w:eastAsia="Times New Roman"/>
          <w:b w:val="0"/>
          <w:i w:val="0"/>
          <w:sz w:val="24"/>
        </w:rPr>
        <w:t>Atsekamumo matricos naudojimas leidžia kūrimo komandai aiškiai matyti, kuris verslo reikalavimas yra įgyvendintas tam tikrame kodo ar duomenų bazės sluoksnyje, ir užtikrinti, kad nė vienas reikalavimas nebūtų pamirštas. Tai ypač svarbu didelės apimties projektuose ir reglamentuojamose pramonės šakose, kur kiekvienas techninis sprendimas privalo būti pagrįstas konkrečiu verslo arba teisiniu reikalavimu.</w:t>
      </w:r>
    </w:p>
    <w:p>
      <w:pPr>
        <w:pStyle w:val="Heading1"/>
        <w:pageBreakBefore/>
        <w:spacing w:line="360" w:lineRule="auto" w:before="0" w:after="240"/>
        <w:jc w:val="center"/>
      </w:pPr>
      <w:r>
        <w:rPr>
          <w:rFonts w:ascii="Times New Roman" w:hAnsi="Times New Roman" w:cs="Times New Roman" w:eastAsia="Times New Roman"/>
          <w:b/>
          <w:i w:val="0"/>
          <w:color w:val="000000"/>
          <w:sz w:val="28"/>
        </w:rPr>
        <w:t>IŠVADOS</w:t>
      </w:r>
    </w:p>
    <w:p>
      <w:pPr>
        <w:pStyle w:val="ListNumber"/>
        <w:spacing w:line="360" w:lineRule="auto" w:before="0" w:after="0"/>
        <w:jc w:val="both"/>
      </w:pPr>
      <w:r>
        <w:rPr>
          <w:rFonts w:ascii="Times New Roman" w:hAnsi="Times New Roman" w:cs="Times New Roman" w:eastAsia="Times New Roman"/>
          <w:b w:val="0"/>
          <w:i w:val="0"/>
          <w:sz w:val="24"/>
        </w:rPr>
        <w:t>Informacinės sistemos ir duomenų bazės yra glaudžiai susijusios, tačiau jų kūrimo reikalavimai skiriasi: IS aprėpia visą organizacijos veiklos kontekstą (verslo procesus, vartotojų sąveiką, integracijas), o DB sutelkta ties duomenų struktūra, vientisumu ir saugiu saugojimu.</w:t>
      </w:r>
    </w:p>
    <w:p>
      <w:pPr>
        <w:pStyle w:val="ListNumber"/>
        <w:spacing w:line="360" w:lineRule="auto" w:before="0" w:after="0"/>
        <w:jc w:val="both"/>
      </w:pPr>
      <w:r>
        <w:rPr>
          <w:rFonts w:ascii="Times New Roman" w:hAnsi="Times New Roman" w:cs="Times New Roman" w:eastAsia="Times New Roman"/>
          <w:b w:val="0"/>
          <w:i w:val="0"/>
          <w:sz w:val="24"/>
        </w:rPr>
        <w:t>IS reikalavimai apima funkcinius (verslo procesai, vartotojo sąveika) ir nefunkcinius aspektus (saugumas, našumas, atitiktis teisės aktams), o DB reikalavimai – duomenų schemą, normalizaciją, prieigos kontrolę bei ACID savybes.</w:t>
      </w:r>
    </w:p>
    <w:p>
      <w:pPr>
        <w:pStyle w:val="ListNumber"/>
        <w:spacing w:line="360" w:lineRule="auto" w:before="0" w:after="0"/>
        <w:jc w:val="both"/>
      </w:pPr>
      <w:r>
        <w:rPr>
          <w:rFonts w:ascii="Times New Roman" w:hAnsi="Times New Roman" w:cs="Times New Roman" w:eastAsia="Times New Roman"/>
          <w:b w:val="0"/>
          <w:i w:val="0"/>
          <w:sz w:val="24"/>
        </w:rPr>
        <w:t>Pigu.lt ir Omniva Lietuva pavyzdys parodo, kad IS ir DB reikalavimai praktikoje papildo vienas kitą: elektroninės prekybos platforma per API perduoda siuntimo duomenis logistikos paslaugų teikėjui, kuris juos saugo savo DB ir grąžina informaciją atgal į IS.</w:t>
      </w:r>
    </w:p>
    <w:p>
      <w:pPr>
        <w:pStyle w:val="ListNumber"/>
        <w:spacing w:line="360" w:lineRule="auto" w:before="0" w:after="0"/>
        <w:jc w:val="both"/>
      </w:pPr>
      <w:r>
        <w:rPr>
          <w:rFonts w:ascii="Times New Roman" w:hAnsi="Times New Roman" w:cs="Times New Roman" w:eastAsia="Times New Roman"/>
          <w:b w:val="0"/>
          <w:i w:val="0"/>
          <w:sz w:val="24"/>
        </w:rPr>
        <w:t>Tinkamai parinkti reikalavimų rinkimo šablonai (SRS, Use Case, User Stories, ERD, duomenų žodynas) padeda struktūrizuotai dokumentuoti reikalavimus, sumažina projektų klaidų riziką ir užtikrina aukštesnę kuriamos sistemos kokybę.</w:t>
      </w:r>
    </w:p>
    <w:p>
      <w:pPr>
        <w:pStyle w:val="ListNumber"/>
        <w:spacing w:line="360" w:lineRule="auto" w:before="0" w:after="0"/>
        <w:jc w:val="both"/>
      </w:pPr>
      <w:r>
        <w:rPr>
          <w:rFonts w:ascii="Times New Roman" w:hAnsi="Times New Roman" w:cs="Times New Roman" w:eastAsia="Times New Roman"/>
          <w:b w:val="0"/>
          <w:i w:val="0"/>
          <w:sz w:val="24"/>
        </w:rPr>
        <w:t>Praktiniai pavyzdžiai (BDAR „teisė būti pamirštam") rodo, kaip abstraktus verslo reikalavimas tampa konkrečiu DB techniniu sprendimu (asmens duomenų anonimizavimu) – todėl reikalavimų atsekamumo matrica yra svarbi priemonė, užtikrinanti ryšį tarp verslo poreikių ir techninio įgyvendinimo bei mažinanti klaidų riziką.</w:t>
      </w:r>
    </w:p>
    <w:p>
      <w:pPr>
        <w:pStyle w:val="Heading1"/>
        <w:pageBreakBefore/>
        <w:spacing w:line="360" w:lineRule="auto" w:before="0" w:after="240"/>
        <w:jc w:val="center"/>
      </w:pPr>
      <w:r>
        <w:rPr>
          <w:rFonts w:ascii="Times New Roman" w:hAnsi="Times New Roman" w:cs="Times New Roman" w:eastAsia="Times New Roman"/>
          <w:b/>
          <w:i w:val="0"/>
          <w:color w:val="000000"/>
          <w:sz w:val="28"/>
        </w:rPr>
        <w:t>LITERATŪROS SĄRAŠAS</w:t>
      </w:r>
    </w:p>
    <w:p>
      <w:pPr>
        <w:spacing w:line="360" w:lineRule="auto" w:before="0" w:after="120"/>
        <w:ind w:left="709" w:hanging="709"/>
        <w:jc w:val="both"/>
      </w:pPr>
      <w:r>
        <w:rPr>
          <w:rFonts w:ascii="Times New Roman" w:hAnsi="Times New Roman" w:cs="Times New Roman" w:eastAsia="Times New Roman"/>
          <w:b w:val="0"/>
          <w:i w:val="0"/>
          <w:sz w:val="24"/>
        </w:rPr>
        <w:t>Connolly, T. ir Begg, C. (2015). Database Systems: A Practical Approach to Design, Implementation, and Management (6th ed.). Boston: Pearson Education.</w:t>
      </w:r>
    </w:p>
    <w:p>
      <w:pPr>
        <w:spacing w:line="360" w:lineRule="auto" w:before="0" w:after="120"/>
        <w:ind w:left="709" w:hanging="709"/>
        <w:jc w:val="both"/>
      </w:pPr>
      <w:r>
        <w:rPr>
          <w:rFonts w:ascii="Times New Roman" w:hAnsi="Times New Roman" w:cs="Times New Roman" w:eastAsia="Times New Roman"/>
          <w:b w:val="0"/>
          <w:i w:val="0"/>
          <w:sz w:val="24"/>
        </w:rPr>
        <w:t>Laudon, K. C. ir Laudon, J. P. (2020). Management Information Systems: Managing the Digital Firm (16th ed.). Harlow: Pearson Education.</w:t>
      </w:r>
    </w:p>
    <w:p>
      <w:pPr>
        <w:spacing w:line="360" w:lineRule="auto" w:before="0" w:after="120"/>
        <w:ind w:left="709" w:hanging="709"/>
        <w:jc w:val="both"/>
      </w:pPr>
      <w:r>
        <w:rPr>
          <w:rFonts w:ascii="Times New Roman" w:hAnsi="Times New Roman" w:cs="Times New Roman" w:eastAsia="Times New Roman"/>
          <w:b w:val="0"/>
          <w:i w:val="0"/>
          <w:sz w:val="24"/>
        </w:rPr>
        <w:t>IEEE Computer Society. (1998). IEEE Recommended Practice for Software Requirements Specifications (IEEE Std 830-1998). New York: Institute of Electrical and Electronics Engineers.</w:t>
      </w:r>
    </w:p>
    <w:p>
      <w:pPr>
        <w:spacing w:line="360" w:lineRule="auto" w:before="0" w:after="120"/>
        <w:ind w:left="709" w:hanging="709"/>
        <w:jc w:val="both"/>
      </w:pPr>
      <w:r>
        <w:rPr>
          <w:rFonts w:ascii="Times New Roman" w:hAnsi="Times New Roman" w:cs="Times New Roman" w:eastAsia="Times New Roman"/>
          <w:b w:val="0"/>
          <w:i w:val="0"/>
          <w:sz w:val="24"/>
        </w:rPr>
        <w:t>Sommerville, I. (2016). Software Engineering (10th ed.). Boston: Pearson.</w:t>
      </w:r>
    </w:p>
    <w:p>
      <w:pPr>
        <w:spacing w:line="360" w:lineRule="auto" w:before="0" w:after="120"/>
        <w:ind w:left="709" w:hanging="709"/>
        <w:jc w:val="both"/>
      </w:pPr>
      <w:r>
        <w:rPr>
          <w:rFonts w:ascii="Times New Roman" w:hAnsi="Times New Roman" w:cs="Times New Roman" w:eastAsia="Times New Roman"/>
          <w:b w:val="0"/>
          <w:i w:val="0"/>
          <w:sz w:val="24"/>
        </w:rPr>
        <w:t>Cohn, M. (2004). User Stories Applied: For Agile Software Development. Boston: Addison-Wesley Professional.</w:t>
      </w:r>
    </w:p>
    <w:p>
      <w:pPr>
        <w:spacing w:line="360" w:lineRule="auto" w:before="0" w:after="120"/>
        <w:ind w:left="709" w:hanging="709"/>
        <w:jc w:val="both"/>
      </w:pPr>
      <w:r>
        <w:rPr>
          <w:rFonts w:ascii="Times New Roman" w:hAnsi="Times New Roman" w:cs="Times New Roman" w:eastAsia="Times New Roman"/>
          <w:b w:val="0"/>
          <w:i w:val="0"/>
          <w:sz w:val="24"/>
        </w:rPr>
        <w:t>Pigu.lt. (n.d.). Apie mus. Prieiga per internetą: https://pigu.lt/lt/apie-mus</w:t>
      </w:r>
    </w:p>
    <w:p>
      <w:pPr>
        <w:spacing w:line="360" w:lineRule="auto" w:before="0" w:after="120"/>
        <w:ind w:left="709" w:hanging="709"/>
        <w:jc w:val="both"/>
      </w:pPr>
      <w:r>
        <w:rPr>
          <w:rFonts w:ascii="Times New Roman" w:hAnsi="Times New Roman" w:cs="Times New Roman" w:eastAsia="Times New Roman"/>
          <w:b w:val="0"/>
          <w:i w:val="0"/>
          <w:sz w:val="24"/>
        </w:rPr>
        <w:t>Omniva. (n.d.). Apie Omniva Lietuvoje. Prieiga per internetą: https://www.omniva.lt/privatus/apie-omniva</w:t>
      </w:r>
    </w:p>
    <w:p>
      <w:pPr>
        <w:spacing w:line="360" w:lineRule="auto" w:before="0" w:after="120"/>
        <w:ind w:left="709" w:hanging="709"/>
        <w:jc w:val="both"/>
      </w:pPr>
      <w:r>
        <w:rPr>
          <w:rFonts w:ascii="Times New Roman" w:hAnsi="Times New Roman" w:cs="Times New Roman" w:eastAsia="Times New Roman"/>
          <w:b w:val="0"/>
          <w:i w:val="0"/>
          <w:sz w:val="24"/>
        </w:rPr>
        <w:t>Valstybinė duomenų apsaugos inspekcija. (2018). Bendrasis duomenų apsaugos reglamentas (BDAR). Prieiga per internetą: https://vdai.lrv.lt</w:t>
      </w:r>
    </w:p>
    <w:sectPr w:rsidR="00FC693F" w:rsidRPr="0006063C" w:rsidSect="00034616">
      <w:footerReference w:type="default" r:id="rId9"/>
      <w:pgSz w:w="11906" w:h="16838"/>
      <w:pgMar w:top="1134" w:right="850" w:bottom="1134" w:left="1417" w:header="709" w:footer="709"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b w:val="0"/>
        <w:i w:val="0"/>
        <w:sz w:val="24"/>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