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2"/>
        </w:rPr>
        <w:t>VILNIAUS UNIVERSITETAS</w:t>
      </w:r>
    </w:p>
    <w:p>
      <w:pPr>
        <w:jc w:val="center"/>
      </w:pPr>
      <w:r>
        <w:rPr>
          <w:rFonts w:ascii="Times New Roman" w:hAnsi="Times New Roman"/>
          <w:sz w:val="22"/>
        </w:rPr>
        <w:t>Ekonomikos ir verslo administravimo fakultetas</w:t>
      </w:r>
    </w:p>
    <w:p>
      <w:pPr>
        <w:jc w:val="center"/>
      </w:pPr>
      <w:r>
        <w:rPr>
          <w:rFonts w:ascii="Times New Roman" w:hAnsi="Times New Roman"/>
          <w:i/>
          <w:sz w:val="22"/>
        </w:rPr>
        <w:t>E. pardavimų grupinis projektas</w:t>
      </w:r>
    </w:p>
    <w:p/>
    <w:p>
      <w:pPr>
        <w:jc w:val="center"/>
      </w:pPr>
      <w:r>
        <w:rPr>
          <w:rFonts w:ascii="Times New Roman" w:hAnsi="Times New Roman"/>
          <w:b/>
          <w:sz w:val="30"/>
        </w:rPr>
        <w:t>2 etapas — ANALYZE</w:t>
        <w:br/>
        <w:t>Diagnostika ir potencialas</w:t>
      </w:r>
    </w:p>
    <w:p>
      <w:pPr>
        <w:spacing w:after="360"/>
        <w:jc w:val="center"/>
      </w:pPr>
      <w:r>
        <w:rPr>
          <w:rFonts w:ascii="Times New Roman" w:hAnsi="Times New Roman"/>
          <w:i/>
          <w:sz w:val="24"/>
        </w:rPr>
        <w:t>Pasirinktas kanalas: Email / community building</w:t>
      </w:r>
    </w:p>
    <w:p>
      <w:pPr>
        <w:jc w:val="center"/>
      </w:pPr>
      <w:r>
        <w:rPr>
          <w:rFonts w:ascii="Times New Roman" w:hAnsi="Times New Roman"/>
          <w:sz w:val="22"/>
        </w:rPr>
        <w:t>Grupė: [Grupės narių vardai, pavardės]</w:t>
      </w:r>
    </w:p>
    <w:p>
      <w:pPr>
        <w:spacing w:after="480"/>
        <w:jc w:val="center"/>
      </w:pPr>
      <w:r>
        <w:rPr>
          <w:rFonts w:ascii="Times New Roman" w:hAnsi="Times New Roman"/>
          <w:sz w:val="22"/>
        </w:rPr>
        <w:t>Data: 2026 m. gegužė</w:t>
      </w:r>
    </w:p>
    <w:p>
      <w:pPr>
        <w:keepNext/>
        <w:spacing w:before="240" w:after="120"/>
        <w:jc w:val="left"/>
      </w:pPr>
      <w:r>
        <w:rPr>
          <w:rFonts w:ascii="Times New Roman" w:hAnsi="Times New Roman"/>
          <w:b/>
          <w:sz w:val="26"/>
        </w:rPr>
        <w:t>TURINYS</w:t>
      </w:r>
    </w:p>
    <w:p>
      <w:pPr>
        <w:spacing w:after="40" w:line="276" w:lineRule="auto"/>
        <w:jc w:val="left"/>
      </w:pPr>
      <w:r>
        <w:rPr>
          <w:rFonts w:ascii="Times New Roman" w:hAnsi="Times New Roman"/>
          <w:sz w:val="24"/>
        </w:rPr>
        <w:t>1. Pagrindinė diagnozė ............................................... 2</w:t>
      </w:r>
    </w:p>
    <w:p>
      <w:pPr>
        <w:spacing w:after="40" w:line="276" w:lineRule="auto"/>
        <w:jc w:val="left"/>
      </w:pPr>
      <w:r>
        <w:rPr>
          <w:rFonts w:ascii="Times New Roman" w:hAnsi="Times New Roman"/>
          <w:sz w:val="24"/>
        </w:rPr>
        <w:t>2. Best practice — kanalo veikimo principai .......................... 2</w:t>
      </w:r>
    </w:p>
    <w:p>
      <w:pPr>
        <w:spacing w:after="40" w:line="276" w:lineRule="auto"/>
        <w:jc w:val="left"/>
      </w:pPr>
      <w:r>
        <w:rPr>
          <w:rFonts w:ascii="Times New Roman" w:hAnsi="Times New Roman"/>
          <w:sz w:val="24"/>
        </w:rPr>
        <w:t>3. Realistinė dydžio prognozė (1, 3, 6, 12 mėn.) ..................... 3</w:t>
      </w:r>
    </w:p>
    <w:p>
      <w:pPr>
        <w:spacing w:after="40" w:line="276" w:lineRule="auto"/>
        <w:jc w:val="left"/>
      </w:pPr>
      <w:r>
        <w:rPr>
          <w:rFonts w:ascii="Times New Roman" w:hAnsi="Times New Roman"/>
          <w:sz w:val="24"/>
        </w:rPr>
        <w:t>4. Kaštų analizė — laiko ir pinigų sąmata ............................ 4</w:t>
      </w:r>
    </w:p>
    <w:p>
      <w:pPr>
        <w:spacing w:after="40" w:line="276" w:lineRule="auto"/>
        <w:jc w:val="left"/>
      </w:pPr>
      <w:r>
        <w:rPr>
          <w:rFonts w:ascii="Times New Roman" w:hAnsi="Times New Roman"/>
          <w:sz w:val="24"/>
        </w:rPr>
        <w:t>5. Trys didžiausios kliūtys .......................................... 5</w:t>
      </w:r>
    </w:p>
    <w:p>
      <w:pPr>
        <w:spacing w:after="40" w:line="276" w:lineRule="auto"/>
        <w:jc w:val="left"/>
      </w:pPr>
      <w:r>
        <w:rPr>
          <w:rFonts w:ascii="Times New Roman" w:hAnsi="Times New Roman"/>
          <w:sz w:val="24"/>
        </w:rPr>
        <w:t>6. Kanalo potencialo apibendrinimas .................................. 5</w:t>
      </w:r>
    </w:p>
    <w:p>
      <w:pPr>
        <w:spacing w:after="40" w:line="276" w:lineRule="auto"/>
        <w:jc w:val="left"/>
      </w:pPr>
      <w:r>
        <w:rPr>
          <w:rFonts w:ascii="Times New Roman" w:hAnsi="Times New Roman"/>
          <w:sz w:val="24"/>
        </w:rPr>
        <w:t>Šaltiniai ............................................................ 6</w:t>
      </w:r>
    </w:p>
    <w:p>
      <w:pPr>
        <w:spacing w:after="240"/>
      </w:pPr>
    </w:p>
    <w:p>
      <w:r>
        <w:br w:type="page"/>
      </w:r>
    </w:p>
    <w:p>
      <w:pPr>
        <w:keepNext/>
        <w:spacing w:before="240" w:after="120"/>
        <w:jc w:val="left"/>
      </w:pPr>
      <w:r>
        <w:rPr>
          <w:rFonts w:ascii="Times New Roman" w:hAnsi="Times New Roman"/>
          <w:b/>
          <w:sz w:val="26"/>
        </w:rPr>
        <w:t>1. Pagrindinė diagnozė</w:t>
      </w:r>
    </w:p>
    <w:p>
      <w:pPr>
        <w:spacing w:line="360" w:lineRule="auto" w:after="120"/>
        <w:ind w:firstLine="567"/>
        <w:jc w:val="both"/>
      </w:pPr>
      <w:r>
        <w:rPr>
          <w:rFonts w:ascii="Times New Roman" w:hAnsi="Times New Roman"/>
          <w:b w:val="0"/>
          <w:i w:val="0"/>
          <w:sz w:val="24"/>
        </w:rPr>
        <w:t>OBSERVE etape užfiksavome, kad Email kanalo Elzei šiandien iš esmės nėra. ANALYZE etape klausimas keičiasi: kodėl jis neegzistuoja, kas trukdo, ir kiek realiai galima per pirmus tris–dvylika mėnesių pasiekti, jeigu kanalas būtų sąžiningai pradedamas iš nulio. Diagnozė neatsiranda iš to, ko Elzei „trūksta", bet iš to, kas iš jos gyvenimo realiai gali tilpti į autoriaus newsletter rutiną.</w:t>
      </w:r>
    </w:p>
    <w:p>
      <w:pPr>
        <w:spacing w:line="360" w:lineRule="auto" w:after="120"/>
        <w:ind w:firstLine="567"/>
        <w:jc w:val="both"/>
      </w:pPr>
      <w:r>
        <w:rPr>
          <w:rFonts w:ascii="Times New Roman" w:hAnsi="Times New Roman"/>
          <w:b w:val="0"/>
          <w:i w:val="0"/>
          <w:sz w:val="24"/>
        </w:rPr>
        <w:t>Pagrindinė diagnozė: Elzė turi kanalui labai stiprų turinio pagrindą — autentišką literatūrinį balsą, asmeninę istoriją ir aiškią estetinę kryptį (Camus, Dostojevskis, Škėma, Mačernis, Kernagis). Tačiau jokio mechanizmo, kuris šį balsą paverstų tęstiniu santykiu, nėra. Skaitytojas, kuris ką tik perskaitė autorės puslapį ir pajuto: „taip, ši autorė man įdomi" — neturi į ką paspausti. Tai yra konversijos (ne pardavimo) problema, ir ji sprendžiama vienu konkrečiu sprendimu, ne dideliu kūrybiniu remontu.</w:t>
      </w:r>
    </w:p>
    <w:p>
      <w:pPr>
        <w:keepNext/>
        <w:spacing w:before="240" w:after="120"/>
        <w:jc w:val="left"/>
      </w:pPr>
      <w:r>
        <w:rPr>
          <w:rFonts w:ascii="Times New Roman" w:hAnsi="Times New Roman"/>
          <w:b/>
          <w:sz w:val="26"/>
        </w:rPr>
        <w:t>2. Best practice — kanalo veikimo principai</w:t>
      </w:r>
    </w:p>
    <w:p>
      <w:pPr>
        <w:spacing w:line="360" w:lineRule="auto" w:after="120"/>
        <w:ind w:firstLine="567"/>
        <w:jc w:val="both"/>
      </w:pPr>
      <w:r>
        <w:rPr>
          <w:rFonts w:ascii="Times New Roman" w:hAnsi="Times New Roman"/>
          <w:b w:val="0"/>
          <w:i w:val="0"/>
          <w:sz w:val="24"/>
        </w:rPr>
        <w:t>Email / community building kaip kanalas knygų autoriams turi nemažai industrinių duomenų. Toliau pateikiame konkrečius skaičius (ne abstrakčius), kurie naudojami kaip benchmark'ai trečiame skyriuje pagrindžiant prognozę.</w:t>
      </w:r>
    </w:p>
    <w:tbl>
      <w:tblPr>
        <w:tblStyle w:val="LightGrid-Accent1"/>
        <w:tblW w:type="auto" w:w="0"/>
        <w:jc w:val="center"/>
        <w:tblLayout w:type="autofit"/>
        <w:tblLook w:firstColumn="1" w:firstRow="1" w:lastColumn="0" w:lastRow="0" w:noHBand="0" w:noVBand="1" w:val="04A0"/>
      </w:tblPr>
      <w:tblGrid>
        <w:gridCol w:w="3230"/>
        <w:gridCol w:w="3230"/>
        <w:gridCol w:w="3230"/>
      </w:tblGrid>
      <w:tr>
        <w:tc>
          <w:tcPr>
            <w:tcW w:type="dxa" w:w="2835"/>
            <w:vAlign w:val="center"/>
          </w:tcPr>
          <w:p>
            <w:pPr>
              <w:jc w:val="center"/>
            </w:pPr>
            <w:r/>
            <w:r>
              <w:rPr>
                <w:rFonts w:ascii="Times New Roman" w:hAnsi="Times New Roman"/>
                <w:b/>
                <w:sz w:val="22"/>
              </w:rPr>
              <w:t>Rodiklis</w:t>
            </w:r>
          </w:p>
        </w:tc>
        <w:tc>
          <w:tcPr>
            <w:tcW w:type="dxa" w:w="3685"/>
            <w:vAlign w:val="center"/>
          </w:tcPr>
          <w:p>
            <w:pPr>
              <w:jc w:val="center"/>
            </w:pPr>
            <w:r/>
            <w:r>
              <w:rPr>
                <w:rFonts w:ascii="Times New Roman" w:hAnsi="Times New Roman"/>
                <w:b/>
                <w:sz w:val="22"/>
              </w:rPr>
              <w:t>Industrijos vidurkis (2025–2026)</w:t>
            </w:r>
          </w:p>
        </w:tc>
        <w:tc>
          <w:tcPr>
            <w:tcW w:type="dxa" w:w="2551"/>
            <w:vAlign w:val="center"/>
          </w:tcPr>
          <w:p>
            <w:pPr>
              <w:jc w:val="center"/>
            </w:pPr>
            <w:r/>
            <w:r>
              <w:rPr>
                <w:rFonts w:ascii="Times New Roman" w:hAnsi="Times New Roman"/>
                <w:b/>
                <w:sz w:val="22"/>
              </w:rPr>
              <w:t>Šaltinis</w:t>
            </w:r>
          </w:p>
        </w:tc>
      </w:tr>
      <w:tr>
        <w:tc>
          <w:tcPr>
            <w:tcW w:type="dxa" w:w="2835"/>
            <w:vAlign w:val="center"/>
          </w:tcPr>
          <w:p>
            <w:pPr>
              <w:spacing w:line="276" w:lineRule="auto"/>
              <w:jc w:val="left"/>
            </w:pPr>
            <w:r/>
            <w:r>
              <w:rPr>
                <w:rFonts w:ascii="Times New Roman" w:hAnsi="Times New Roman"/>
                <w:sz w:val="22"/>
              </w:rPr>
              <w:t>Newsletter open rate (vidurkis)</w:t>
            </w:r>
          </w:p>
        </w:tc>
        <w:tc>
          <w:tcPr>
            <w:tcW w:type="dxa" w:w="3685"/>
            <w:vAlign w:val="center"/>
          </w:tcPr>
          <w:p>
            <w:pPr>
              <w:spacing w:line="276" w:lineRule="auto"/>
              <w:jc w:val="left"/>
            </w:pPr>
            <w:r/>
            <w:r>
              <w:rPr>
                <w:rFonts w:ascii="Times New Roman" w:hAnsi="Times New Roman"/>
                <w:sz w:val="22"/>
              </w:rPr>
              <w:t>MailerLite: 43,5 %; Brevo: 31,2 %; medijai/leidybai ~34 %</w:t>
            </w:r>
          </w:p>
        </w:tc>
        <w:tc>
          <w:tcPr>
            <w:tcW w:type="dxa" w:w="2551"/>
            <w:vAlign w:val="center"/>
          </w:tcPr>
          <w:p>
            <w:pPr>
              <w:spacing w:line="276" w:lineRule="auto"/>
              <w:jc w:val="left"/>
            </w:pPr>
            <w:r/>
            <w:r>
              <w:rPr>
                <w:rFonts w:ascii="Times New Roman" w:hAnsi="Times New Roman"/>
                <w:sz w:val="22"/>
              </w:rPr>
              <w:t>Thunderbit, AdMailr, MailerLite vidiniai duomenys</w:t>
            </w:r>
          </w:p>
        </w:tc>
      </w:tr>
      <w:tr>
        <w:tc>
          <w:tcPr>
            <w:tcW w:type="dxa" w:w="2835"/>
            <w:vAlign w:val="center"/>
          </w:tcPr>
          <w:p>
            <w:pPr>
              <w:spacing w:line="276" w:lineRule="auto"/>
              <w:jc w:val="left"/>
            </w:pPr>
            <w:r/>
            <w:r>
              <w:rPr>
                <w:rFonts w:ascii="Times New Roman" w:hAnsi="Times New Roman"/>
                <w:sz w:val="22"/>
              </w:rPr>
              <w:t>„Welcome" laiško open rate</w:t>
            </w:r>
          </w:p>
        </w:tc>
        <w:tc>
          <w:tcPr>
            <w:tcW w:type="dxa" w:w="3685"/>
            <w:vAlign w:val="center"/>
          </w:tcPr>
          <w:p>
            <w:pPr>
              <w:spacing w:line="276" w:lineRule="auto"/>
              <w:jc w:val="left"/>
            </w:pPr>
            <w:r/>
            <w:r>
              <w:rPr>
                <w:rFonts w:ascii="Times New Roman" w:hAnsi="Times New Roman"/>
                <w:sz w:val="22"/>
              </w:rPr>
              <w:t>4× didesnis nei įprasto kampaninio (~55–65 %)</w:t>
            </w:r>
          </w:p>
        </w:tc>
        <w:tc>
          <w:tcPr>
            <w:tcW w:type="dxa" w:w="2551"/>
            <w:vAlign w:val="center"/>
          </w:tcPr>
          <w:p>
            <w:pPr>
              <w:spacing w:line="276" w:lineRule="auto"/>
              <w:jc w:val="left"/>
            </w:pPr>
            <w:r/>
            <w:r>
              <w:rPr>
                <w:rFonts w:ascii="Times New Roman" w:hAnsi="Times New Roman"/>
                <w:sz w:val="22"/>
              </w:rPr>
              <w:t>EmailToolTester / Mailmodo, Stackmatix</w:t>
            </w:r>
          </w:p>
        </w:tc>
      </w:tr>
      <w:tr>
        <w:tc>
          <w:tcPr>
            <w:tcW w:type="dxa" w:w="2835"/>
            <w:vAlign w:val="center"/>
          </w:tcPr>
          <w:p>
            <w:pPr>
              <w:spacing w:line="276" w:lineRule="auto"/>
              <w:jc w:val="left"/>
            </w:pPr>
            <w:r/>
            <w:r>
              <w:rPr>
                <w:rFonts w:ascii="Times New Roman" w:hAnsi="Times New Roman"/>
                <w:sz w:val="22"/>
              </w:rPr>
              <w:t>CTR (paspaudimo per laišką dažnis)</w:t>
            </w:r>
          </w:p>
        </w:tc>
        <w:tc>
          <w:tcPr>
            <w:tcW w:type="dxa" w:w="3685"/>
            <w:vAlign w:val="center"/>
          </w:tcPr>
          <w:p>
            <w:pPr>
              <w:spacing w:line="276" w:lineRule="auto"/>
              <w:jc w:val="left"/>
            </w:pPr>
            <w:r/>
            <w:r>
              <w:rPr>
                <w:rFonts w:ascii="Times New Roman" w:hAnsi="Times New Roman"/>
                <w:sz w:val="22"/>
              </w:rPr>
              <w:t>2–4 % kampaniniams; 5–6 % automatizuotiems flow'ams</w:t>
            </w:r>
          </w:p>
        </w:tc>
        <w:tc>
          <w:tcPr>
            <w:tcW w:type="dxa" w:w="2551"/>
            <w:vAlign w:val="center"/>
          </w:tcPr>
          <w:p>
            <w:pPr>
              <w:spacing w:line="276" w:lineRule="auto"/>
              <w:jc w:val="left"/>
            </w:pPr>
            <w:r/>
            <w:r>
              <w:rPr>
                <w:rFonts w:ascii="Times New Roman" w:hAnsi="Times New Roman"/>
                <w:sz w:val="22"/>
              </w:rPr>
              <w:t>Klaviyo, Brevo</w:t>
            </w:r>
          </w:p>
        </w:tc>
      </w:tr>
      <w:tr>
        <w:tc>
          <w:tcPr>
            <w:tcW w:type="dxa" w:w="2835"/>
            <w:vAlign w:val="center"/>
          </w:tcPr>
          <w:p>
            <w:pPr>
              <w:spacing w:line="276" w:lineRule="auto"/>
              <w:jc w:val="left"/>
            </w:pPr>
            <w:r/>
            <w:r>
              <w:rPr>
                <w:rFonts w:ascii="Times New Roman" w:hAnsi="Times New Roman"/>
                <w:sz w:val="22"/>
              </w:rPr>
              <w:t>Unsubscribe rate (vienam laiškui)</w:t>
            </w:r>
          </w:p>
        </w:tc>
        <w:tc>
          <w:tcPr>
            <w:tcW w:type="dxa" w:w="3685"/>
            <w:vAlign w:val="center"/>
          </w:tcPr>
          <w:p>
            <w:pPr>
              <w:spacing w:line="276" w:lineRule="auto"/>
              <w:jc w:val="left"/>
            </w:pPr>
            <w:r/>
            <w:r>
              <w:rPr>
                <w:rFonts w:ascii="Times New Roman" w:hAnsi="Times New Roman"/>
                <w:sz w:val="22"/>
              </w:rPr>
              <w:t>&lt; 0,4 % yra norma; &gt; 1 % — perspėjimas</w:t>
            </w:r>
          </w:p>
        </w:tc>
        <w:tc>
          <w:tcPr>
            <w:tcW w:type="dxa" w:w="2551"/>
            <w:vAlign w:val="center"/>
          </w:tcPr>
          <w:p>
            <w:pPr>
              <w:spacing w:line="276" w:lineRule="auto"/>
              <w:jc w:val="left"/>
            </w:pPr>
            <w:r/>
            <w:r>
              <w:rPr>
                <w:rFonts w:ascii="Times New Roman" w:hAnsi="Times New Roman"/>
                <w:sz w:val="22"/>
              </w:rPr>
              <w:t>Brevo, Campaign Monitor 2025</w:t>
            </w:r>
          </w:p>
        </w:tc>
      </w:tr>
      <w:tr>
        <w:tc>
          <w:tcPr>
            <w:tcW w:type="dxa" w:w="2835"/>
            <w:vAlign w:val="center"/>
          </w:tcPr>
          <w:p>
            <w:pPr>
              <w:spacing w:line="276" w:lineRule="auto"/>
              <w:jc w:val="left"/>
            </w:pPr>
            <w:r/>
            <w:r>
              <w:rPr>
                <w:rFonts w:ascii="Times New Roman" w:hAnsi="Times New Roman"/>
                <w:sz w:val="22"/>
              </w:rPr>
              <w:t>Subscriber → reader konversija</w:t>
            </w:r>
          </w:p>
        </w:tc>
        <w:tc>
          <w:tcPr>
            <w:tcW w:type="dxa" w:w="3685"/>
            <w:vAlign w:val="center"/>
          </w:tcPr>
          <w:p>
            <w:pPr>
              <w:spacing w:line="276" w:lineRule="auto"/>
              <w:jc w:val="left"/>
            </w:pPr>
            <w:r/>
            <w:r>
              <w:rPr>
                <w:rFonts w:ascii="Times New Roman" w:hAnsi="Times New Roman"/>
                <w:sz w:val="22"/>
              </w:rPr>
              <w:t>Email skaitytojas knygas perka pastebimai dažniau nei socialinio tinklo sekėjas</w:t>
            </w:r>
          </w:p>
        </w:tc>
        <w:tc>
          <w:tcPr>
            <w:tcW w:type="dxa" w:w="2551"/>
            <w:vAlign w:val="center"/>
          </w:tcPr>
          <w:p>
            <w:pPr>
              <w:spacing w:line="276" w:lineRule="auto"/>
              <w:jc w:val="left"/>
            </w:pPr>
            <w:r/>
            <w:r>
              <w:rPr>
                <w:rFonts w:ascii="Times New Roman" w:hAnsi="Times New Roman"/>
                <w:sz w:val="22"/>
              </w:rPr>
              <w:t>Chanticleer Reviews, Vappingo (autorių rinkodara)</w:t>
            </w:r>
          </w:p>
        </w:tc>
      </w:tr>
      <w:tr>
        <w:tc>
          <w:tcPr>
            <w:tcW w:type="dxa" w:w="2835"/>
            <w:vAlign w:val="center"/>
          </w:tcPr>
          <w:p>
            <w:pPr>
              <w:spacing w:line="276" w:lineRule="auto"/>
              <w:jc w:val="left"/>
            </w:pPr>
            <w:r/>
            <w:r>
              <w:rPr>
                <w:rFonts w:ascii="Times New Roman" w:hAnsi="Times New Roman"/>
                <w:sz w:val="22"/>
              </w:rPr>
              <w:t>Welcome serija (pirmi 3–5 laiškai)</w:t>
            </w:r>
          </w:p>
        </w:tc>
        <w:tc>
          <w:tcPr>
            <w:tcW w:type="dxa" w:w="3685"/>
            <w:vAlign w:val="center"/>
          </w:tcPr>
          <w:p>
            <w:pPr>
              <w:spacing w:line="276" w:lineRule="auto"/>
              <w:jc w:val="left"/>
            </w:pPr>
            <w:r/>
            <w:r>
              <w:rPr>
                <w:rFonts w:ascii="Times New Roman" w:hAnsi="Times New Roman"/>
                <w:sz w:val="22"/>
              </w:rPr>
              <w:t>Geriausiai veikia 3–4 laiškų sekos per pirmas 7–10 dienų</w:t>
            </w:r>
          </w:p>
        </w:tc>
        <w:tc>
          <w:tcPr>
            <w:tcW w:type="dxa" w:w="2551"/>
            <w:vAlign w:val="center"/>
          </w:tcPr>
          <w:p>
            <w:pPr>
              <w:spacing w:line="276" w:lineRule="auto"/>
              <w:jc w:val="left"/>
            </w:pPr>
            <w:r/>
            <w:r>
              <w:rPr>
                <w:rFonts w:ascii="Times New Roman" w:hAnsi="Times New Roman"/>
                <w:sz w:val="22"/>
              </w:rPr>
              <w:t>Braze, Bloomreach</w:t>
            </w:r>
          </w:p>
        </w:tc>
      </w:tr>
    </w:tbl>
    <w:p/>
    <w:p>
      <w:pPr>
        <w:spacing w:line="360" w:lineRule="auto" w:after="120"/>
        <w:ind w:firstLine="567"/>
        <w:jc w:val="both"/>
      </w:pPr>
      <w:r>
        <w:rPr>
          <w:rFonts w:ascii="Times New Roman" w:hAnsi="Times New Roman"/>
          <w:b w:val="0"/>
          <w:i w:val="0"/>
          <w:sz w:val="24"/>
        </w:rPr>
        <w:t>Praktinė reikšmė: jeigu Elzės būsimoje listėje bus, pavyzdžiui, 100 prenumeratorių ir ji paskelbs naują laišką, statistiškai 30–40 jį atvers, 2–4 paspaus nuorodą, ir mažiau nei 1 atsisakys prenumeratos. Tai yra realistiniai skaičiai, ne optimistinė prielaida.</w:t>
      </w:r>
    </w:p>
    <w:p>
      <w:pPr>
        <w:keepNext/>
        <w:spacing w:before="240" w:after="120"/>
        <w:jc w:val="left"/>
      </w:pPr>
      <w:r>
        <w:rPr>
          <w:rFonts w:ascii="Times New Roman" w:hAnsi="Times New Roman"/>
          <w:b/>
          <w:sz w:val="26"/>
        </w:rPr>
        <w:t>3. Realistinė dydžio prognozė (1, 3, 6, 12 mėn.)</w:t>
      </w:r>
    </w:p>
    <w:p>
      <w:pPr>
        <w:spacing w:line="360" w:lineRule="auto" w:after="120"/>
        <w:ind w:firstLine="567"/>
        <w:jc w:val="both"/>
      </w:pPr>
      <w:r>
        <w:rPr>
          <w:rFonts w:ascii="Times New Roman" w:hAnsi="Times New Roman"/>
          <w:b w:val="0"/>
          <w:i w:val="0"/>
          <w:sz w:val="24"/>
        </w:rPr>
        <w:t>Prognozė remiasi prielaidomis, kurias surašome aiškiai, kad jas būtų galima patikrinti arba paneigti pristatymo metu.</w:t>
      </w:r>
    </w:p>
    <w:p>
      <w:pPr>
        <w:keepNext/>
        <w:spacing w:before="160" w:after="80"/>
        <w:jc w:val="left"/>
      </w:pPr>
      <w:r>
        <w:rPr>
          <w:rFonts w:ascii="Times New Roman" w:hAnsi="Times New Roman"/>
          <w:b/>
          <w:sz w:val="24"/>
        </w:rPr>
        <w:t>3.1. Prielaidos</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P1 — </w:t>
      </w:r>
      <w:r>
        <w:rPr>
          <w:rFonts w:ascii="Times New Roman" w:hAnsi="Times New Roman"/>
          <w:sz w:val="24"/>
        </w:rPr>
        <w:t>Elzės Instagram @elze_zdan turi nedidelę, bet realią auditoriją (tikslus skaičius — patikrinamas susitikimo metu; konservatyviai prielaida: 200–800 sekėjų pradžioje).</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P2 — </w:t>
      </w:r>
      <w:r>
        <w:rPr>
          <w:rFonts w:ascii="Times New Roman" w:hAnsi="Times New Roman"/>
          <w:sz w:val="24"/>
        </w:rPr>
        <w:t>Elzė bent kartą per savaitę kuria turinį Instagram (postai arba stories).</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P3 — </w:t>
      </w:r>
      <w:r>
        <w:rPr>
          <w:rFonts w:ascii="Times New Roman" w:hAnsi="Times New Roman"/>
          <w:sz w:val="24"/>
        </w:rPr>
        <w:t>Knygos „Turtingas(is)" tiražas — 100 egz. Iš jų bent 50 pasieks tikrus skaitytojus (perka draugai, šeima, mokyklų aplinka, signavimas Marijampolėje).</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P4 — </w:t>
      </w:r>
      <w:r>
        <w:rPr>
          <w:rFonts w:ascii="Times New Roman" w:hAnsi="Times New Roman"/>
          <w:sz w:val="24"/>
        </w:rPr>
        <w:t>Elzės dabartinio gyvenimo etapas (mokslai gimnazijoje) leidžia skirti newsletter'iui apie 60–90 min. per savaitę — ne daugiau.</w:t>
      </w:r>
    </w:p>
    <w:p>
      <w:pPr>
        <w:keepNext/>
        <w:spacing w:before="160" w:after="80"/>
        <w:jc w:val="left"/>
      </w:pPr>
      <w:r>
        <w:rPr>
          <w:rFonts w:ascii="Times New Roman" w:hAnsi="Times New Roman"/>
          <w:b/>
          <w:sz w:val="24"/>
        </w:rPr>
        <w:t>3.2. Augimo prognozė</w:t>
      </w:r>
    </w:p>
    <w:tbl>
      <w:tblPr>
        <w:tblStyle w:val="LightGrid-Accent1"/>
        <w:tblW w:type="auto" w:w="0"/>
        <w:jc w:val="center"/>
        <w:tblLayout w:type="autofit"/>
        <w:tblLook w:firstColumn="1" w:firstRow="1" w:lastColumn="0" w:lastRow="0" w:noHBand="0" w:noVBand="1" w:val="04A0"/>
      </w:tblPr>
      <w:tblGrid>
        <w:gridCol w:w="1938"/>
        <w:gridCol w:w="1938"/>
        <w:gridCol w:w="1938"/>
        <w:gridCol w:w="1938"/>
        <w:gridCol w:w="1938"/>
      </w:tblGrid>
      <w:tr>
        <w:tc>
          <w:tcPr>
            <w:tcW w:type="dxa" w:w="1587"/>
            <w:vAlign w:val="center"/>
          </w:tcPr>
          <w:p>
            <w:pPr>
              <w:jc w:val="center"/>
            </w:pPr>
            <w:r/>
            <w:r>
              <w:rPr>
                <w:rFonts w:ascii="Times New Roman" w:hAnsi="Times New Roman"/>
                <w:b/>
                <w:sz w:val="22"/>
              </w:rPr>
              <w:t>Laiko tarpas</w:t>
            </w:r>
          </w:p>
        </w:tc>
        <w:tc>
          <w:tcPr>
            <w:tcW w:type="dxa" w:w="1417"/>
            <w:vAlign w:val="center"/>
          </w:tcPr>
          <w:p>
            <w:pPr>
              <w:jc w:val="center"/>
            </w:pPr>
            <w:r/>
            <w:r>
              <w:rPr>
                <w:rFonts w:ascii="Times New Roman" w:hAnsi="Times New Roman"/>
                <w:b/>
                <w:sz w:val="22"/>
              </w:rPr>
              <w:t>Konservatyvi</w:t>
            </w:r>
          </w:p>
        </w:tc>
        <w:tc>
          <w:tcPr>
            <w:tcW w:type="dxa" w:w="1417"/>
            <w:vAlign w:val="center"/>
          </w:tcPr>
          <w:p>
            <w:pPr>
              <w:jc w:val="center"/>
            </w:pPr>
            <w:r/>
            <w:r>
              <w:rPr>
                <w:rFonts w:ascii="Times New Roman" w:hAnsi="Times New Roman"/>
                <w:b/>
                <w:sz w:val="22"/>
              </w:rPr>
              <w:t>Tikėtina</w:t>
            </w:r>
          </w:p>
        </w:tc>
        <w:tc>
          <w:tcPr>
            <w:tcW w:type="dxa" w:w="1417"/>
            <w:vAlign w:val="center"/>
          </w:tcPr>
          <w:p>
            <w:pPr>
              <w:jc w:val="center"/>
            </w:pPr>
            <w:r/>
            <w:r>
              <w:rPr>
                <w:rFonts w:ascii="Times New Roman" w:hAnsi="Times New Roman"/>
                <w:b/>
                <w:sz w:val="22"/>
              </w:rPr>
              <w:t>Optimisti­nė</w:t>
            </w:r>
          </w:p>
        </w:tc>
        <w:tc>
          <w:tcPr>
            <w:tcW w:type="dxa" w:w="3231"/>
            <w:vAlign w:val="center"/>
          </w:tcPr>
          <w:p>
            <w:pPr>
              <w:jc w:val="center"/>
            </w:pPr>
            <w:r/>
            <w:r>
              <w:rPr>
                <w:rFonts w:ascii="Times New Roman" w:hAnsi="Times New Roman"/>
                <w:b/>
                <w:sz w:val="22"/>
              </w:rPr>
              <w:t>Pagrindas</w:t>
            </w:r>
          </w:p>
        </w:tc>
      </w:tr>
      <w:tr>
        <w:tc>
          <w:tcPr>
            <w:tcW w:type="dxa" w:w="1587"/>
            <w:vAlign w:val="center"/>
          </w:tcPr>
          <w:p>
            <w:pPr>
              <w:spacing w:line="276" w:lineRule="auto"/>
              <w:jc w:val="left"/>
            </w:pPr>
            <w:r/>
            <w:r>
              <w:rPr>
                <w:rFonts w:ascii="Times New Roman" w:hAnsi="Times New Roman"/>
                <w:sz w:val="22"/>
              </w:rPr>
              <w:t>Po 1 mėn.</w:t>
            </w:r>
          </w:p>
        </w:tc>
        <w:tc>
          <w:tcPr>
            <w:tcW w:type="dxa" w:w="1417"/>
            <w:vAlign w:val="center"/>
          </w:tcPr>
          <w:p>
            <w:pPr>
              <w:spacing w:line="276" w:lineRule="auto"/>
              <w:jc w:val="left"/>
            </w:pPr>
            <w:r/>
            <w:r>
              <w:rPr>
                <w:rFonts w:ascii="Times New Roman" w:hAnsi="Times New Roman"/>
                <w:sz w:val="22"/>
              </w:rPr>
              <w:t>20 prenum.</w:t>
            </w:r>
          </w:p>
        </w:tc>
        <w:tc>
          <w:tcPr>
            <w:tcW w:type="dxa" w:w="1417"/>
            <w:vAlign w:val="center"/>
          </w:tcPr>
          <w:p>
            <w:pPr>
              <w:spacing w:line="276" w:lineRule="auto"/>
              <w:jc w:val="left"/>
            </w:pPr>
            <w:r/>
            <w:r>
              <w:rPr>
                <w:rFonts w:ascii="Times New Roman" w:hAnsi="Times New Roman"/>
                <w:sz w:val="22"/>
              </w:rPr>
              <w:t>40 prenum.</w:t>
            </w:r>
          </w:p>
        </w:tc>
        <w:tc>
          <w:tcPr>
            <w:tcW w:type="dxa" w:w="1417"/>
            <w:vAlign w:val="center"/>
          </w:tcPr>
          <w:p>
            <w:pPr>
              <w:spacing w:line="276" w:lineRule="auto"/>
              <w:jc w:val="left"/>
            </w:pPr>
            <w:r/>
            <w:r>
              <w:rPr>
                <w:rFonts w:ascii="Times New Roman" w:hAnsi="Times New Roman"/>
                <w:sz w:val="22"/>
              </w:rPr>
              <w:t>70 prenum.</w:t>
            </w:r>
          </w:p>
        </w:tc>
        <w:tc>
          <w:tcPr>
            <w:tcW w:type="dxa" w:w="3231"/>
            <w:vAlign w:val="center"/>
          </w:tcPr>
          <w:p>
            <w:pPr>
              <w:spacing w:line="276" w:lineRule="auto"/>
              <w:jc w:val="left"/>
            </w:pPr>
            <w:r/>
            <w:r>
              <w:rPr>
                <w:rFonts w:ascii="Times New Roman" w:hAnsi="Times New Roman"/>
                <w:sz w:val="22"/>
              </w:rPr>
              <w:t>Tik draugai/šeima + IG bio CTA</w:t>
            </w:r>
          </w:p>
        </w:tc>
      </w:tr>
      <w:tr>
        <w:tc>
          <w:tcPr>
            <w:tcW w:type="dxa" w:w="1587"/>
            <w:vAlign w:val="center"/>
          </w:tcPr>
          <w:p>
            <w:pPr>
              <w:spacing w:line="276" w:lineRule="auto"/>
              <w:jc w:val="left"/>
            </w:pPr>
            <w:r/>
            <w:r>
              <w:rPr>
                <w:rFonts w:ascii="Times New Roman" w:hAnsi="Times New Roman"/>
                <w:sz w:val="22"/>
              </w:rPr>
              <w:t>Po 3 mėn.</w:t>
            </w:r>
          </w:p>
        </w:tc>
        <w:tc>
          <w:tcPr>
            <w:tcW w:type="dxa" w:w="1417"/>
            <w:vAlign w:val="center"/>
          </w:tcPr>
          <w:p>
            <w:pPr>
              <w:spacing w:line="276" w:lineRule="auto"/>
              <w:jc w:val="left"/>
            </w:pPr>
            <w:r/>
            <w:r>
              <w:rPr>
                <w:rFonts w:ascii="Times New Roman" w:hAnsi="Times New Roman"/>
                <w:sz w:val="22"/>
              </w:rPr>
              <w:t>50</w:t>
            </w:r>
          </w:p>
        </w:tc>
        <w:tc>
          <w:tcPr>
            <w:tcW w:type="dxa" w:w="1417"/>
            <w:vAlign w:val="center"/>
          </w:tcPr>
          <w:p>
            <w:pPr>
              <w:spacing w:line="276" w:lineRule="auto"/>
              <w:jc w:val="left"/>
            </w:pPr>
            <w:r/>
            <w:r>
              <w:rPr>
                <w:rFonts w:ascii="Times New Roman" w:hAnsi="Times New Roman"/>
                <w:sz w:val="22"/>
              </w:rPr>
              <w:t>100</w:t>
            </w:r>
          </w:p>
        </w:tc>
        <w:tc>
          <w:tcPr>
            <w:tcW w:type="dxa" w:w="1417"/>
            <w:vAlign w:val="center"/>
          </w:tcPr>
          <w:p>
            <w:pPr>
              <w:spacing w:line="276" w:lineRule="auto"/>
              <w:jc w:val="left"/>
            </w:pPr>
            <w:r/>
            <w:r>
              <w:rPr>
                <w:rFonts w:ascii="Times New Roman" w:hAnsi="Times New Roman"/>
                <w:sz w:val="22"/>
              </w:rPr>
              <w:t>180</w:t>
            </w:r>
          </w:p>
        </w:tc>
        <w:tc>
          <w:tcPr>
            <w:tcW w:type="dxa" w:w="3231"/>
            <w:vAlign w:val="center"/>
          </w:tcPr>
          <w:p>
            <w:pPr>
              <w:spacing w:line="276" w:lineRule="auto"/>
              <w:jc w:val="left"/>
            </w:pPr>
            <w:r/>
            <w:r>
              <w:rPr>
                <w:rFonts w:ascii="Times New Roman" w:hAnsi="Times New Roman"/>
                <w:sz w:val="22"/>
              </w:rPr>
              <w:t>+ lead magnet (knygos ištrauka), reguliarus IG postas</w:t>
            </w:r>
          </w:p>
        </w:tc>
      </w:tr>
      <w:tr>
        <w:tc>
          <w:tcPr>
            <w:tcW w:type="dxa" w:w="1587"/>
            <w:vAlign w:val="center"/>
          </w:tcPr>
          <w:p>
            <w:pPr>
              <w:spacing w:line="276" w:lineRule="auto"/>
              <w:jc w:val="left"/>
            </w:pPr>
            <w:r/>
            <w:r>
              <w:rPr>
                <w:rFonts w:ascii="Times New Roman" w:hAnsi="Times New Roman"/>
                <w:sz w:val="22"/>
              </w:rPr>
              <w:t>Po 6 mėn.</w:t>
            </w:r>
          </w:p>
        </w:tc>
        <w:tc>
          <w:tcPr>
            <w:tcW w:type="dxa" w:w="1417"/>
            <w:vAlign w:val="center"/>
          </w:tcPr>
          <w:p>
            <w:pPr>
              <w:spacing w:line="276" w:lineRule="auto"/>
              <w:jc w:val="left"/>
            </w:pPr>
            <w:r/>
            <w:r>
              <w:rPr>
                <w:rFonts w:ascii="Times New Roman" w:hAnsi="Times New Roman"/>
                <w:sz w:val="22"/>
              </w:rPr>
              <w:t>120</w:t>
            </w:r>
          </w:p>
        </w:tc>
        <w:tc>
          <w:tcPr>
            <w:tcW w:type="dxa" w:w="1417"/>
            <w:vAlign w:val="center"/>
          </w:tcPr>
          <w:p>
            <w:pPr>
              <w:spacing w:line="276" w:lineRule="auto"/>
              <w:jc w:val="left"/>
            </w:pPr>
            <w:r/>
            <w:r>
              <w:rPr>
                <w:rFonts w:ascii="Times New Roman" w:hAnsi="Times New Roman"/>
                <w:sz w:val="22"/>
              </w:rPr>
              <w:t>250</w:t>
            </w:r>
          </w:p>
        </w:tc>
        <w:tc>
          <w:tcPr>
            <w:tcW w:type="dxa" w:w="1417"/>
            <w:vAlign w:val="center"/>
          </w:tcPr>
          <w:p>
            <w:pPr>
              <w:spacing w:line="276" w:lineRule="auto"/>
              <w:jc w:val="left"/>
            </w:pPr>
            <w:r/>
            <w:r>
              <w:rPr>
                <w:rFonts w:ascii="Times New Roman" w:hAnsi="Times New Roman"/>
                <w:sz w:val="22"/>
              </w:rPr>
              <w:t>400</w:t>
            </w:r>
          </w:p>
        </w:tc>
        <w:tc>
          <w:tcPr>
            <w:tcW w:type="dxa" w:w="3231"/>
            <w:vAlign w:val="center"/>
          </w:tcPr>
          <w:p>
            <w:pPr>
              <w:spacing w:line="276" w:lineRule="auto"/>
              <w:jc w:val="left"/>
            </w:pPr>
            <w:r/>
            <w:r>
              <w:rPr>
                <w:rFonts w:ascii="Times New Roman" w:hAnsi="Times New Roman"/>
                <w:sz w:val="22"/>
              </w:rPr>
              <w:t>+ knygų bloggerių ryšiai, signavimo renginiai</w:t>
            </w:r>
          </w:p>
        </w:tc>
      </w:tr>
      <w:tr>
        <w:tc>
          <w:tcPr>
            <w:tcW w:type="dxa" w:w="1587"/>
            <w:vAlign w:val="center"/>
          </w:tcPr>
          <w:p>
            <w:pPr>
              <w:spacing w:line="276" w:lineRule="auto"/>
              <w:jc w:val="left"/>
            </w:pPr>
            <w:r/>
            <w:r>
              <w:rPr>
                <w:rFonts w:ascii="Times New Roman" w:hAnsi="Times New Roman"/>
                <w:sz w:val="22"/>
              </w:rPr>
              <w:t>Po 12 mėn.</w:t>
            </w:r>
          </w:p>
        </w:tc>
        <w:tc>
          <w:tcPr>
            <w:tcW w:type="dxa" w:w="1417"/>
            <w:vAlign w:val="center"/>
          </w:tcPr>
          <w:p>
            <w:pPr>
              <w:spacing w:line="276" w:lineRule="auto"/>
              <w:jc w:val="left"/>
            </w:pPr>
            <w:r/>
            <w:r>
              <w:rPr>
                <w:rFonts w:ascii="Times New Roman" w:hAnsi="Times New Roman"/>
                <w:sz w:val="22"/>
              </w:rPr>
              <w:t>250</w:t>
            </w:r>
          </w:p>
        </w:tc>
        <w:tc>
          <w:tcPr>
            <w:tcW w:type="dxa" w:w="1417"/>
            <w:vAlign w:val="center"/>
          </w:tcPr>
          <w:p>
            <w:pPr>
              <w:spacing w:line="276" w:lineRule="auto"/>
              <w:jc w:val="left"/>
            </w:pPr>
            <w:r/>
            <w:r>
              <w:rPr>
                <w:rFonts w:ascii="Times New Roman" w:hAnsi="Times New Roman"/>
                <w:sz w:val="22"/>
              </w:rPr>
              <w:t>500</w:t>
            </w:r>
          </w:p>
        </w:tc>
        <w:tc>
          <w:tcPr>
            <w:tcW w:type="dxa" w:w="1417"/>
            <w:vAlign w:val="center"/>
          </w:tcPr>
          <w:p>
            <w:pPr>
              <w:spacing w:line="276" w:lineRule="auto"/>
              <w:jc w:val="left"/>
            </w:pPr>
            <w:r/>
            <w:r>
              <w:rPr>
                <w:rFonts w:ascii="Times New Roman" w:hAnsi="Times New Roman"/>
                <w:sz w:val="22"/>
              </w:rPr>
              <w:t>900</w:t>
            </w:r>
          </w:p>
        </w:tc>
        <w:tc>
          <w:tcPr>
            <w:tcW w:type="dxa" w:w="3231"/>
            <w:vAlign w:val="center"/>
          </w:tcPr>
          <w:p>
            <w:pPr>
              <w:spacing w:line="276" w:lineRule="auto"/>
              <w:jc w:val="left"/>
            </w:pPr>
            <w:r/>
            <w:r>
              <w:rPr>
                <w:rFonts w:ascii="Times New Roman" w:hAnsi="Times New Roman"/>
                <w:sz w:val="22"/>
              </w:rPr>
              <w:t>+ mokyklų lankymas, antras kūrinys, BookTok recenzijos</w:t>
            </w:r>
          </w:p>
        </w:tc>
      </w:tr>
    </w:tbl>
    <w:p/>
    <w:p>
      <w:pPr>
        <w:spacing w:line="360" w:lineRule="auto" w:after="120"/>
        <w:ind w:firstLine="567"/>
        <w:jc w:val="both"/>
      </w:pPr>
      <w:r>
        <w:rPr>
          <w:rFonts w:ascii="Times New Roman" w:hAnsi="Times New Roman"/>
          <w:b w:val="0"/>
          <w:i w:val="0"/>
          <w:sz w:val="24"/>
        </w:rPr>
        <w:t>Lyginimas su realiu atveju: indie autoriaus Richie Billing case study (StoryOrigin, 2022) rodo, kad pradėjęs nuo 0 ir naudodamas vieną nemokamą reader magnet bei newsletter swap'us, autorius per pirmuosius 6–8 mėn. pasiekė 100+, vėliau 400–500 prenumeratorių. Mūsų „tikėtinas" scenarijus (250 per 6 mėn., 500 per 12 mėn.) beveik identiškas šiam atvejui. Tai stiprus pagrindas — ne pažadas, o pasikartojantis pavyzdys.</w:t>
      </w:r>
    </w:p>
    <w:p>
      <w:pPr>
        <w:keepNext/>
        <w:spacing w:before="240" w:after="120"/>
        <w:jc w:val="left"/>
      </w:pPr>
      <w:r>
        <w:rPr>
          <w:rFonts w:ascii="Times New Roman" w:hAnsi="Times New Roman"/>
          <w:b/>
          <w:sz w:val="26"/>
        </w:rPr>
        <w:t>4. Kaštų analizė — laiko ir pinigų sąmata</w:t>
      </w:r>
    </w:p>
    <w:p>
      <w:pPr>
        <w:keepNext/>
        <w:spacing w:before="160" w:after="80"/>
        <w:jc w:val="left"/>
      </w:pPr>
      <w:r>
        <w:rPr>
          <w:rFonts w:ascii="Times New Roman" w:hAnsi="Times New Roman"/>
          <w:b/>
          <w:sz w:val="24"/>
        </w:rPr>
        <w:t>4.1. Laiko kaštai</w:t>
      </w:r>
    </w:p>
    <w:p>
      <w:pPr>
        <w:spacing w:line="360" w:lineRule="auto" w:after="120"/>
        <w:ind w:firstLine="567"/>
        <w:jc w:val="both"/>
      </w:pPr>
      <w:r>
        <w:rPr>
          <w:rFonts w:ascii="Times New Roman" w:hAnsi="Times New Roman"/>
          <w:b w:val="0"/>
          <w:i w:val="0"/>
          <w:sz w:val="24"/>
        </w:rPr>
        <w:t>Vertiname valandomis per savaitę, nes tai vienintelis Elzei realiai svarbus matas. Visi skaičiai — vienam asmeniui, ne komandai.</w:t>
      </w:r>
    </w:p>
    <w:tbl>
      <w:tblPr>
        <w:tblStyle w:val="LightGrid-Accent1"/>
        <w:tblW w:type="auto" w:w="0"/>
        <w:jc w:val="center"/>
        <w:tblLayout w:type="autofit"/>
        <w:tblLook w:firstColumn="1" w:firstRow="1" w:lastColumn="0" w:lastRow="0" w:noHBand="0" w:noVBand="1" w:val="04A0"/>
      </w:tblPr>
      <w:tblGrid>
        <w:gridCol w:w="2422"/>
        <w:gridCol w:w="2422"/>
        <w:gridCol w:w="2422"/>
        <w:gridCol w:w="2422"/>
      </w:tblGrid>
      <w:tr>
        <w:tc>
          <w:tcPr>
            <w:tcW w:type="dxa" w:w="3118"/>
            <w:vAlign w:val="center"/>
          </w:tcPr>
          <w:p>
            <w:pPr>
              <w:jc w:val="center"/>
            </w:pPr>
            <w:r/>
            <w:r>
              <w:rPr>
                <w:rFonts w:ascii="Times New Roman" w:hAnsi="Times New Roman"/>
                <w:b/>
                <w:sz w:val="22"/>
              </w:rPr>
              <w:t>Veikla</w:t>
            </w:r>
          </w:p>
        </w:tc>
        <w:tc>
          <w:tcPr>
            <w:tcW w:type="dxa" w:w="1984"/>
            <w:vAlign w:val="center"/>
          </w:tcPr>
          <w:p>
            <w:pPr>
              <w:jc w:val="center"/>
            </w:pPr>
            <w:r/>
            <w:r>
              <w:rPr>
                <w:rFonts w:ascii="Times New Roman" w:hAnsi="Times New Roman"/>
                <w:b/>
                <w:sz w:val="22"/>
              </w:rPr>
              <w:t>Pradinis nustatymas</w:t>
            </w:r>
          </w:p>
        </w:tc>
        <w:tc>
          <w:tcPr>
            <w:tcW w:type="dxa" w:w="1587"/>
            <w:vAlign w:val="center"/>
          </w:tcPr>
          <w:p>
            <w:pPr>
              <w:jc w:val="center"/>
            </w:pPr>
            <w:r/>
            <w:r>
              <w:rPr>
                <w:rFonts w:ascii="Times New Roman" w:hAnsi="Times New Roman"/>
                <w:b/>
                <w:sz w:val="22"/>
              </w:rPr>
              <w:t>Reguliari rutina</w:t>
            </w:r>
          </w:p>
        </w:tc>
        <w:tc>
          <w:tcPr>
            <w:tcW w:type="dxa" w:w="2551"/>
            <w:vAlign w:val="center"/>
          </w:tcPr>
          <w:p>
            <w:pPr>
              <w:jc w:val="center"/>
            </w:pPr>
            <w:r/>
            <w:r>
              <w:rPr>
                <w:rFonts w:ascii="Times New Roman" w:hAnsi="Times New Roman"/>
                <w:b/>
                <w:sz w:val="22"/>
              </w:rPr>
              <w:t>Pastabos</w:t>
            </w:r>
          </w:p>
        </w:tc>
      </w:tr>
      <w:tr>
        <w:tc>
          <w:tcPr>
            <w:tcW w:type="dxa" w:w="3118"/>
            <w:vAlign w:val="center"/>
          </w:tcPr>
          <w:p>
            <w:pPr>
              <w:spacing w:line="276" w:lineRule="auto"/>
              <w:jc w:val="left"/>
            </w:pPr>
            <w:r/>
            <w:r>
              <w:rPr>
                <w:rFonts w:ascii="Times New Roman" w:hAnsi="Times New Roman"/>
                <w:sz w:val="22"/>
              </w:rPr>
              <w:t>Email įrankio paskyra (MailerLite/Substack)</w:t>
            </w:r>
          </w:p>
        </w:tc>
        <w:tc>
          <w:tcPr>
            <w:tcW w:type="dxa" w:w="1984"/>
            <w:vAlign w:val="center"/>
          </w:tcPr>
          <w:p>
            <w:pPr>
              <w:spacing w:line="276" w:lineRule="auto"/>
              <w:jc w:val="left"/>
            </w:pPr>
            <w:r/>
            <w:r>
              <w:rPr>
                <w:rFonts w:ascii="Times New Roman" w:hAnsi="Times New Roman"/>
                <w:sz w:val="22"/>
              </w:rPr>
              <w:t>~1,5 val. (vienkartinis)</w:t>
            </w:r>
          </w:p>
        </w:tc>
        <w:tc>
          <w:tcPr>
            <w:tcW w:type="dxa" w:w="1587"/>
            <w:vAlign w:val="center"/>
          </w:tcPr>
          <w:p>
            <w:pPr>
              <w:spacing w:line="276" w:lineRule="auto"/>
              <w:jc w:val="left"/>
            </w:pPr>
            <w:r/>
            <w:r>
              <w:rPr>
                <w:rFonts w:ascii="Times New Roman" w:hAnsi="Times New Roman"/>
                <w:sz w:val="22"/>
              </w:rPr>
              <w:t>0</w:t>
            </w:r>
          </w:p>
        </w:tc>
        <w:tc>
          <w:tcPr>
            <w:tcW w:type="dxa" w:w="2551"/>
            <w:vAlign w:val="center"/>
          </w:tcPr>
          <w:p>
            <w:pPr>
              <w:spacing w:line="276" w:lineRule="auto"/>
              <w:jc w:val="left"/>
            </w:pPr>
            <w:r/>
            <w:r>
              <w:rPr>
                <w:rFonts w:ascii="Times New Roman" w:hAnsi="Times New Roman"/>
                <w:sz w:val="22"/>
              </w:rPr>
              <w:t>Forma + welcome serija + DKIM/SPF nustatymas</w:t>
            </w:r>
          </w:p>
        </w:tc>
      </w:tr>
      <w:tr>
        <w:tc>
          <w:tcPr>
            <w:tcW w:type="dxa" w:w="3118"/>
            <w:vAlign w:val="center"/>
          </w:tcPr>
          <w:p>
            <w:pPr>
              <w:spacing w:line="276" w:lineRule="auto"/>
              <w:jc w:val="left"/>
            </w:pPr>
            <w:r/>
            <w:r>
              <w:rPr>
                <w:rFonts w:ascii="Times New Roman" w:hAnsi="Times New Roman"/>
                <w:sz w:val="22"/>
              </w:rPr>
              <w:t>Lead magnet — knygos ištraukos PDF</w:t>
            </w:r>
          </w:p>
        </w:tc>
        <w:tc>
          <w:tcPr>
            <w:tcW w:type="dxa" w:w="1984"/>
            <w:vAlign w:val="center"/>
          </w:tcPr>
          <w:p>
            <w:pPr>
              <w:spacing w:line="276" w:lineRule="auto"/>
              <w:jc w:val="left"/>
            </w:pPr>
            <w:r/>
            <w:r>
              <w:rPr>
                <w:rFonts w:ascii="Times New Roman" w:hAnsi="Times New Roman"/>
                <w:sz w:val="22"/>
              </w:rPr>
              <w:t>~2 val. (vienkartinis)</w:t>
            </w:r>
          </w:p>
        </w:tc>
        <w:tc>
          <w:tcPr>
            <w:tcW w:type="dxa" w:w="1587"/>
            <w:vAlign w:val="center"/>
          </w:tcPr>
          <w:p>
            <w:pPr>
              <w:spacing w:line="276" w:lineRule="auto"/>
              <w:jc w:val="left"/>
            </w:pPr>
            <w:r/>
            <w:r>
              <w:rPr>
                <w:rFonts w:ascii="Times New Roman" w:hAnsi="Times New Roman"/>
                <w:sz w:val="22"/>
              </w:rPr>
              <w:t>0</w:t>
            </w:r>
          </w:p>
        </w:tc>
        <w:tc>
          <w:tcPr>
            <w:tcW w:type="dxa" w:w="2551"/>
            <w:vAlign w:val="center"/>
          </w:tcPr>
          <w:p>
            <w:pPr>
              <w:spacing w:line="276" w:lineRule="auto"/>
              <w:jc w:val="left"/>
            </w:pPr>
            <w:r/>
            <w:r>
              <w:rPr>
                <w:rFonts w:ascii="Times New Roman" w:hAnsi="Times New Roman"/>
                <w:sz w:val="22"/>
              </w:rPr>
              <w:t>Naudojant esamą knygos rankraštį, ne kuriant naujai</w:t>
            </w:r>
          </w:p>
        </w:tc>
      </w:tr>
      <w:tr>
        <w:tc>
          <w:tcPr>
            <w:tcW w:type="dxa" w:w="3118"/>
            <w:vAlign w:val="center"/>
          </w:tcPr>
          <w:p>
            <w:pPr>
              <w:spacing w:line="276" w:lineRule="auto"/>
              <w:jc w:val="left"/>
            </w:pPr>
            <w:r/>
            <w:r>
              <w:rPr>
                <w:rFonts w:ascii="Times New Roman" w:hAnsi="Times New Roman"/>
                <w:sz w:val="22"/>
              </w:rPr>
              <w:t>Welcome laiškų rašymas (3–4 vnt.)</w:t>
            </w:r>
          </w:p>
        </w:tc>
        <w:tc>
          <w:tcPr>
            <w:tcW w:type="dxa" w:w="1984"/>
            <w:vAlign w:val="center"/>
          </w:tcPr>
          <w:p>
            <w:pPr>
              <w:spacing w:line="276" w:lineRule="auto"/>
              <w:jc w:val="left"/>
            </w:pPr>
            <w:r/>
            <w:r>
              <w:rPr>
                <w:rFonts w:ascii="Times New Roman" w:hAnsi="Times New Roman"/>
                <w:sz w:val="22"/>
              </w:rPr>
              <w:t>~3 val. (vienkartinis)</w:t>
            </w:r>
          </w:p>
        </w:tc>
        <w:tc>
          <w:tcPr>
            <w:tcW w:type="dxa" w:w="1587"/>
            <w:vAlign w:val="center"/>
          </w:tcPr>
          <w:p>
            <w:pPr>
              <w:spacing w:line="276" w:lineRule="auto"/>
              <w:jc w:val="left"/>
            </w:pPr>
            <w:r/>
            <w:r>
              <w:rPr>
                <w:rFonts w:ascii="Times New Roman" w:hAnsi="Times New Roman"/>
                <w:sz w:val="22"/>
              </w:rPr>
              <w:t>0</w:t>
            </w:r>
          </w:p>
        </w:tc>
        <w:tc>
          <w:tcPr>
            <w:tcW w:type="dxa" w:w="2551"/>
            <w:vAlign w:val="center"/>
          </w:tcPr>
          <w:p>
            <w:pPr>
              <w:spacing w:line="276" w:lineRule="auto"/>
              <w:jc w:val="left"/>
            </w:pPr>
            <w:r/>
            <w:r>
              <w:rPr>
                <w:rFonts w:ascii="Times New Roman" w:hAnsi="Times New Roman"/>
                <w:sz w:val="22"/>
              </w:rPr>
              <w:t>Vieną kartą parašoma, vėliau veikia automatiškai</w:t>
            </w:r>
          </w:p>
        </w:tc>
      </w:tr>
      <w:tr>
        <w:tc>
          <w:tcPr>
            <w:tcW w:type="dxa" w:w="3118"/>
            <w:vAlign w:val="center"/>
          </w:tcPr>
          <w:p>
            <w:pPr>
              <w:spacing w:line="276" w:lineRule="auto"/>
              <w:jc w:val="left"/>
            </w:pPr>
            <w:r/>
            <w:r>
              <w:rPr>
                <w:rFonts w:ascii="Times New Roman" w:hAnsi="Times New Roman"/>
                <w:sz w:val="22"/>
              </w:rPr>
              <w:t>Reguliarus newsletter (1 kartą per 2 sav.)</w:t>
            </w:r>
          </w:p>
        </w:tc>
        <w:tc>
          <w:tcPr>
            <w:tcW w:type="dxa" w:w="1984"/>
            <w:vAlign w:val="center"/>
          </w:tcPr>
          <w:p>
            <w:pPr>
              <w:spacing w:line="276" w:lineRule="auto"/>
              <w:jc w:val="left"/>
            </w:pPr>
            <w:r/>
            <w:r>
              <w:rPr>
                <w:rFonts w:ascii="Times New Roman" w:hAnsi="Times New Roman"/>
                <w:sz w:val="22"/>
              </w:rPr>
              <w:t>0</w:t>
            </w:r>
          </w:p>
        </w:tc>
        <w:tc>
          <w:tcPr>
            <w:tcW w:type="dxa" w:w="1587"/>
            <w:vAlign w:val="center"/>
          </w:tcPr>
          <w:p>
            <w:pPr>
              <w:spacing w:line="276" w:lineRule="auto"/>
              <w:jc w:val="left"/>
            </w:pPr>
            <w:r/>
            <w:r>
              <w:rPr>
                <w:rFonts w:ascii="Times New Roman" w:hAnsi="Times New Roman"/>
                <w:sz w:val="22"/>
              </w:rPr>
              <w:t>~45 min. / sav.</w:t>
            </w:r>
          </w:p>
        </w:tc>
        <w:tc>
          <w:tcPr>
            <w:tcW w:type="dxa" w:w="2551"/>
            <w:vAlign w:val="center"/>
          </w:tcPr>
          <w:p>
            <w:pPr>
              <w:spacing w:line="276" w:lineRule="auto"/>
              <w:jc w:val="left"/>
            </w:pPr>
            <w:r/>
            <w:r>
              <w:rPr>
                <w:rFonts w:ascii="Times New Roman" w:hAnsi="Times New Roman"/>
                <w:sz w:val="22"/>
              </w:rPr>
              <w:t>Trumpas „literatūrinis dienoraštis" formatas</w:t>
            </w:r>
          </w:p>
        </w:tc>
      </w:tr>
      <w:tr>
        <w:tc>
          <w:tcPr>
            <w:tcW w:type="dxa" w:w="3118"/>
            <w:vAlign w:val="center"/>
          </w:tcPr>
          <w:p>
            <w:pPr>
              <w:spacing w:line="276" w:lineRule="auto"/>
              <w:jc w:val="left"/>
            </w:pPr>
            <w:r/>
            <w:r>
              <w:rPr>
                <w:rFonts w:ascii="Times New Roman" w:hAnsi="Times New Roman"/>
                <w:sz w:val="22"/>
              </w:rPr>
              <w:t>IG bio + postai, kvieiantys prenumeruoti</w:t>
            </w:r>
          </w:p>
        </w:tc>
        <w:tc>
          <w:tcPr>
            <w:tcW w:type="dxa" w:w="1984"/>
            <w:vAlign w:val="center"/>
          </w:tcPr>
          <w:p>
            <w:pPr>
              <w:spacing w:line="276" w:lineRule="auto"/>
              <w:jc w:val="left"/>
            </w:pPr>
            <w:r/>
            <w:r>
              <w:rPr>
                <w:rFonts w:ascii="Times New Roman" w:hAnsi="Times New Roman"/>
                <w:sz w:val="22"/>
              </w:rPr>
              <w:t>~30 min. (atnaujinimas)</w:t>
            </w:r>
          </w:p>
        </w:tc>
        <w:tc>
          <w:tcPr>
            <w:tcW w:type="dxa" w:w="1587"/>
            <w:vAlign w:val="center"/>
          </w:tcPr>
          <w:p>
            <w:pPr>
              <w:spacing w:line="276" w:lineRule="auto"/>
              <w:jc w:val="left"/>
            </w:pPr>
            <w:r/>
            <w:r>
              <w:rPr>
                <w:rFonts w:ascii="Times New Roman" w:hAnsi="Times New Roman"/>
                <w:sz w:val="22"/>
              </w:rPr>
              <w:t>~10 min. / sav.</w:t>
            </w:r>
          </w:p>
        </w:tc>
        <w:tc>
          <w:tcPr>
            <w:tcW w:type="dxa" w:w="2551"/>
            <w:vAlign w:val="center"/>
          </w:tcPr>
          <w:p>
            <w:pPr>
              <w:spacing w:line="276" w:lineRule="auto"/>
              <w:jc w:val="left"/>
            </w:pPr>
            <w:r/>
            <w:r>
              <w:rPr>
                <w:rFonts w:ascii="Times New Roman" w:hAnsi="Times New Roman"/>
                <w:sz w:val="22"/>
              </w:rPr>
              <w:t>Reguliariai įklijuojama nuoroda į stories</w:t>
            </w:r>
          </w:p>
        </w:tc>
      </w:tr>
    </w:tbl>
    <w:p/>
    <w:p>
      <w:pPr>
        <w:spacing w:line="360" w:lineRule="auto" w:after="120"/>
        <w:ind w:firstLine="567"/>
        <w:jc w:val="both"/>
      </w:pPr>
      <w:r>
        <w:rPr>
          <w:rFonts w:ascii="Times New Roman" w:hAnsi="Times New Roman"/>
          <w:b w:val="0"/>
          <w:i w:val="0"/>
          <w:sz w:val="24"/>
        </w:rPr>
        <w:t>Suma: pradinis nustatymas — apie 6,5–7 val. (vienas savaitgalis), tęstinė rutina — apie 55–60 min. per savaitę. Tai tilpsta į prielaidos P4 ribą.</w:t>
      </w:r>
    </w:p>
    <w:p>
      <w:pPr>
        <w:keepNext/>
        <w:spacing w:before="160" w:after="80"/>
        <w:jc w:val="left"/>
      </w:pPr>
      <w:r>
        <w:rPr>
          <w:rFonts w:ascii="Times New Roman" w:hAnsi="Times New Roman"/>
          <w:b/>
          <w:sz w:val="24"/>
        </w:rPr>
        <w:t>4.2. Piniginiai kaštai</w:t>
      </w:r>
    </w:p>
    <w:tbl>
      <w:tblPr>
        <w:tblStyle w:val="LightGrid-Accent1"/>
        <w:tblW w:type="auto" w:w="0"/>
        <w:jc w:val="center"/>
        <w:tblLayout w:type="autofit"/>
        <w:tblLook w:firstColumn="1" w:firstRow="1" w:lastColumn="0" w:lastRow="0" w:noHBand="0" w:noVBand="1" w:val="04A0"/>
      </w:tblPr>
      <w:tblGrid>
        <w:gridCol w:w="2422"/>
        <w:gridCol w:w="2422"/>
        <w:gridCol w:w="2422"/>
        <w:gridCol w:w="2422"/>
      </w:tblGrid>
      <w:tr>
        <w:tc>
          <w:tcPr>
            <w:tcW w:type="dxa" w:w="2551"/>
            <w:vAlign w:val="center"/>
          </w:tcPr>
          <w:p>
            <w:pPr>
              <w:jc w:val="center"/>
            </w:pPr>
            <w:r/>
            <w:r>
              <w:rPr>
                <w:rFonts w:ascii="Times New Roman" w:hAnsi="Times New Roman"/>
                <w:b/>
                <w:sz w:val="22"/>
              </w:rPr>
              <w:t>Įrankis / sprendimas</w:t>
            </w:r>
          </w:p>
        </w:tc>
        <w:tc>
          <w:tcPr>
            <w:tcW w:type="dxa" w:w="2268"/>
            <w:vAlign w:val="center"/>
          </w:tcPr>
          <w:p>
            <w:pPr>
              <w:jc w:val="center"/>
            </w:pPr>
            <w:r/>
            <w:r>
              <w:rPr>
                <w:rFonts w:ascii="Times New Roman" w:hAnsi="Times New Roman"/>
                <w:b/>
                <w:sz w:val="22"/>
              </w:rPr>
              <w:t>Pradinis tarifas</w:t>
            </w:r>
          </w:p>
        </w:tc>
        <w:tc>
          <w:tcPr>
            <w:tcW w:type="dxa" w:w="2268"/>
            <w:vAlign w:val="center"/>
          </w:tcPr>
          <w:p>
            <w:pPr>
              <w:jc w:val="center"/>
            </w:pPr>
            <w:r/>
            <w:r>
              <w:rPr>
                <w:rFonts w:ascii="Times New Roman" w:hAnsi="Times New Roman"/>
                <w:b/>
                <w:sz w:val="22"/>
              </w:rPr>
              <w:t>Galimas mokamas variantas</w:t>
            </w:r>
          </w:p>
        </w:tc>
        <w:tc>
          <w:tcPr>
            <w:tcW w:type="dxa" w:w="2268"/>
            <w:vAlign w:val="center"/>
          </w:tcPr>
          <w:p>
            <w:pPr>
              <w:jc w:val="center"/>
            </w:pPr>
            <w:r/>
            <w:r>
              <w:rPr>
                <w:rFonts w:ascii="Times New Roman" w:hAnsi="Times New Roman"/>
                <w:b/>
                <w:sz w:val="22"/>
              </w:rPr>
              <w:t>Vertinimas</w:t>
            </w:r>
          </w:p>
        </w:tc>
      </w:tr>
      <w:tr>
        <w:tc>
          <w:tcPr>
            <w:tcW w:type="dxa" w:w="2551"/>
            <w:vAlign w:val="center"/>
          </w:tcPr>
          <w:p>
            <w:pPr>
              <w:spacing w:line="276" w:lineRule="auto"/>
              <w:jc w:val="left"/>
            </w:pPr>
            <w:r/>
            <w:r>
              <w:rPr>
                <w:rFonts w:ascii="Times New Roman" w:hAnsi="Times New Roman"/>
                <w:sz w:val="22"/>
              </w:rPr>
              <w:t>MailerLite</w:t>
            </w:r>
          </w:p>
        </w:tc>
        <w:tc>
          <w:tcPr>
            <w:tcW w:type="dxa" w:w="2268"/>
            <w:vAlign w:val="center"/>
          </w:tcPr>
          <w:p>
            <w:pPr>
              <w:spacing w:line="276" w:lineRule="auto"/>
              <w:jc w:val="left"/>
            </w:pPr>
            <w:r/>
            <w:r>
              <w:rPr>
                <w:rFonts w:ascii="Times New Roman" w:hAnsi="Times New Roman"/>
                <w:sz w:val="22"/>
              </w:rPr>
              <w:t>0 € (iki 500 prenum., 12 000 laiškų/mėn.)</w:t>
            </w:r>
          </w:p>
        </w:tc>
        <w:tc>
          <w:tcPr>
            <w:tcW w:type="dxa" w:w="2268"/>
            <w:vAlign w:val="center"/>
          </w:tcPr>
          <w:p>
            <w:pPr>
              <w:spacing w:line="276" w:lineRule="auto"/>
              <w:jc w:val="left"/>
            </w:pPr>
            <w:r/>
            <w:r>
              <w:rPr>
                <w:rFonts w:ascii="Times New Roman" w:hAnsi="Times New Roman"/>
                <w:sz w:val="22"/>
              </w:rPr>
              <w:t>~9–15 € / mėn. nuo 1000 prenum.</w:t>
            </w:r>
          </w:p>
        </w:tc>
        <w:tc>
          <w:tcPr>
            <w:tcW w:type="dxa" w:w="2268"/>
            <w:vAlign w:val="center"/>
          </w:tcPr>
          <w:p>
            <w:pPr>
              <w:spacing w:line="276" w:lineRule="auto"/>
              <w:jc w:val="left"/>
            </w:pPr>
            <w:r/>
            <w:r>
              <w:rPr>
                <w:rFonts w:ascii="Times New Roman" w:hAnsi="Times New Roman"/>
                <w:sz w:val="22"/>
              </w:rPr>
              <w:t>Tinka iki ~500 prenum.; pilna automatika nuo pradžios</w:t>
            </w:r>
          </w:p>
        </w:tc>
      </w:tr>
      <w:tr>
        <w:tc>
          <w:tcPr>
            <w:tcW w:type="dxa" w:w="2551"/>
            <w:vAlign w:val="center"/>
          </w:tcPr>
          <w:p>
            <w:pPr>
              <w:spacing w:line="276" w:lineRule="auto"/>
              <w:jc w:val="left"/>
            </w:pPr>
            <w:r/>
            <w:r>
              <w:rPr>
                <w:rFonts w:ascii="Times New Roman" w:hAnsi="Times New Roman"/>
                <w:sz w:val="22"/>
              </w:rPr>
              <w:t>Substack</w:t>
            </w:r>
          </w:p>
        </w:tc>
        <w:tc>
          <w:tcPr>
            <w:tcW w:type="dxa" w:w="2268"/>
            <w:vAlign w:val="center"/>
          </w:tcPr>
          <w:p>
            <w:pPr>
              <w:spacing w:line="276" w:lineRule="auto"/>
              <w:jc w:val="left"/>
            </w:pPr>
            <w:r/>
            <w:r>
              <w:rPr>
                <w:rFonts w:ascii="Times New Roman" w:hAnsi="Times New Roman"/>
                <w:sz w:val="22"/>
              </w:rPr>
              <w:t>0 €</w:t>
            </w:r>
          </w:p>
        </w:tc>
        <w:tc>
          <w:tcPr>
            <w:tcW w:type="dxa" w:w="2268"/>
            <w:vAlign w:val="center"/>
          </w:tcPr>
          <w:p>
            <w:pPr>
              <w:spacing w:line="276" w:lineRule="auto"/>
              <w:jc w:val="left"/>
            </w:pPr>
            <w:r/>
            <w:r>
              <w:rPr>
                <w:rFonts w:ascii="Times New Roman" w:hAnsi="Times New Roman"/>
                <w:sz w:val="22"/>
              </w:rPr>
              <w:t>0 € (Substack ima 10 % nuo paid prenum., jei tokie atsiranda)</w:t>
            </w:r>
          </w:p>
        </w:tc>
        <w:tc>
          <w:tcPr>
            <w:tcW w:type="dxa" w:w="2268"/>
            <w:vAlign w:val="center"/>
          </w:tcPr>
          <w:p>
            <w:pPr>
              <w:spacing w:line="276" w:lineRule="auto"/>
              <w:jc w:val="left"/>
            </w:pPr>
            <w:r/>
            <w:r>
              <w:rPr>
                <w:rFonts w:ascii="Times New Roman" w:hAnsi="Times New Roman"/>
                <w:sz w:val="22"/>
              </w:rPr>
              <w:t>Tinka, jei Elzė nori, kad newsletter būtų vieta literatūrai, ne tik pardavimui</w:t>
            </w:r>
          </w:p>
        </w:tc>
      </w:tr>
      <w:tr>
        <w:tc>
          <w:tcPr>
            <w:tcW w:type="dxa" w:w="2551"/>
            <w:vAlign w:val="center"/>
          </w:tcPr>
          <w:p>
            <w:pPr>
              <w:spacing w:line="276" w:lineRule="auto"/>
              <w:jc w:val="left"/>
            </w:pPr>
            <w:r/>
            <w:r>
              <w:rPr>
                <w:rFonts w:ascii="Times New Roman" w:hAnsi="Times New Roman"/>
                <w:sz w:val="22"/>
              </w:rPr>
              <w:t>Mailchimp</w:t>
            </w:r>
          </w:p>
        </w:tc>
        <w:tc>
          <w:tcPr>
            <w:tcW w:type="dxa" w:w="2268"/>
            <w:vAlign w:val="center"/>
          </w:tcPr>
          <w:p>
            <w:pPr>
              <w:spacing w:line="276" w:lineRule="auto"/>
              <w:jc w:val="left"/>
            </w:pPr>
            <w:r/>
            <w:r>
              <w:rPr>
                <w:rFonts w:ascii="Times New Roman" w:hAnsi="Times New Roman"/>
                <w:sz w:val="22"/>
              </w:rPr>
              <w:t>0 € (iki 500, su apribojimais)</w:t>
            </w:r>
          </w:p>
        </w:tc>
        <w:tc>
          <w:tcPr>
            <w:tcW w:type="dxa" w:w="2268"/>
            <w:vAlign w:val="center"/>
          </w:tcPr>
          <w:p>
            <w:pPr>
              <w:spacing w:line="276" w:lineRule="auto"/>
              <w:jc w:val="left"/>
            </w:pPr>
            <w:r/>
            <w:r>
              <w:rPr>
                <w:rFonts w:ascii="Times New Roman" w:hAnsi="Times New Roman"/>
                <w:sz w:val="22"/>
              </w:rPr>
              <w:t>~13 € / mėn.</w:t>
            </w:r>
          </w:p>
        </w:tc>
        <w:tc>
          <w:tcPr>
            <w:tcW w:type="dxa" w:w="2268"/>
            <w:vAlign w:val="center"/>
          </w:tcPr>
          <w:p>
            <w:pPr>
              <w:spacing w:line="276" w:lineRule="auto"/>
              <w:jc w:val="left"/>
            </w:pPr>
            <w:r/>
            <w:r>
              <w:rPr>
                <w:rFonts w:ascii="Times New Roman" w:hAnsi="Times New Roman"/>
                <w:sz w:val="22"/>
              </w:rPr>
              <w:t>Mažiausiai patrauklus — laisva versija labiausiai apkarpyta</w:t>
            </w:r>
          </w:p>
        </w:tc>
      </w:tr>
      <w:tr>
        <w:tc>
          <w:tcPr>
            <w:tcW w:type="dxa" w:w="2551"/>
            <w:vAlign w:val="center"/>
          </w:tcPr>
          <w:p>
            <w:pPr>
              <w:spacing w:line="276" w:lineRule="auto"/>
              <w:jc w:val="left"/>
            </w:pPr>
            <w:r/>
            <w:r>
              <w:rPr>
                <w:rFonts w:ascii="Times New Roman" w:hAnsi="Times New Roman"/>
                <w:sz w:val="22"/>
              </w:rPr>
              <w:t>Domeno el. paštas (autore@elzesknygos.lt)</w:t>
            </w:r>
          </w:p>
        </w:tc>
        <w:tc>
          <w:tcPr>
            <w:tcW w:type="dxa" w:w="2268"/>
            <w:vAlign w:val="center"/>
          </w:tcPr>
          <w:p>
            <w:pPr>
              <w:spacing w:line="276" w:lineRule="auto"/>
              <w:jc w:val="left"/>
            </w:pPr>
            <w:r/>
            <w:r>
              <w:rPr>
                <w:rFonts w:ascii="Times New Roman" w:hAnsi="Times New Roman"/>
                <w:sz w:val="22"/>
              </w:rPr>
              <w:t>~10–20 € / metams (per esamą hostingą)</w:t>
            </w:r>
          </w:p>
        </w:tc>
        <w:tc>
          <w:tcPr>
            <w:tcW w:type="dxa" w:w="2268"/>
            <w:vAlign w:val="center"/>
          </w:tcPr>
          <w:p>
            <w:pPr>
              <w:spacing w:line="276" w:lineRule="auto"/>
              <w:jc w:val="left"/>
            </w:pPr>
            <w:r/>
            <w:r>
              <w:rPr>
                <w:rFonts w:ascii="Times New Roman" w:hAnsi="Times New Roman"/>
                <w:sz w:val="22"/>
              </w:rPr>
              <w:t>—</w:t>
            </w:r>
          </w:p>
        </w:tc>
        <w:tc>
          <w:tcPr>
            <w:tcW w:type="dxa" w:w="2268"/>
            <w:vAlign w:val="center"/>
          </w:tcPr>
          <w:p>
            <w:pPr>
              <w:spacing w:line="276" w:lineRule="auto"/>
              <w:jc w:val="left"/>
            </w:pPr>
            <w:r/>
            <w:r>
              <w:rPr>
                <w:rFonts w:ascii="Times New Roman" w:hAnsi="Times New Roman"/>
                <w:sz w:val="22"/>
              </w:rPr>
              <w:t>Pakeičia placeholder elze.zdanceviciute@email.com</w:t>
            </w:r>
          </w:p>
        </w:tc>
      </w:tr>
    </w:tbl>
    <w:p/>
    <w:p>
      <w:pPr>
        <w:spacing w:line="360" w:lineRule="auto" w:after="120"/>
        <w:ind w:firstLine="567"/>
        <w:jc w:val="both"/>
      </w:pPr>
      <w:r>
        <w:rPr>
          <w:rFonts w:ascii="Times New Roman" w:hAnsi="Times New Roman"/>
          <w:b w:val="0"/>
          <w:i w:val="0"/>
          <w:sz w:val="24"/>
        </w:rPr>
        <w:t>Pirmus 6–9 mėnesius rekomenduojama nemokama versija. Mokamas planas turėtų pradėti dirbti tik tuomet, kai prenumeratorių skaičius pradeda artėti prie 500 — t. y., kai augimo problema realiai egzistuoja, o ne hipotetiškai.</w:t>
      </w:r>
    </w:p>
    <w:p>
      <w:pPr>
        <w:keepNext/>
        <w:spacing w:before="240" w:after="120"/>
        <w:jc w:val="left"/>
      </w:pPr>
      <w:r>
        <w:rPr>
          <w:rFonts w:ascii="Times New Roman" w:hAnsi="Times New Roman"/>
          <w:b/>
          <w:sz w:val="26"/>
        </w:rPr>
        <w:t>5. Trys didžiausios kliūtys</w:t>
      </w:r>
    </w:p>
    <w:p>
      <w:pPr>
        <w:spacing w:line="360" w:lineRule="auto" w:after="120"/>
        <w:ind w:firstLine="567"/>
        <w:jc w:val="both"/>
      </w:pPr>
      <w:r>
        <w:rPr>
          <w:rFonts w:ascii="Times New Roman" w:hAnsi="Times New Roman"/>
          <w:b w:val="0"/>
          <w:i w:val="0"/>
          <w:sz w:val="24"/>
        </w:rPr>
        <w:t>Iš visų rastų defektų išskiriame tris, kurie blokuoja kanalą labiausiai ir kuriuos įmanoma šalinti per pirmas 4 savaites.</w:t>
      </w:r>
    </w:p>
    <w:p>
      <w:pPr>
        <w:spacing w:line="276" w:lineRule="auto" w:after="60"/>
        <w:ind w:left="567" w:hanging="425"/>
        <w:jc w:val="both"/>
      </w:pPr>
      <w:r>
        <w:rPr>
          <w:rFonts w:ascii="Times New Roman" w:hAnsi="Times New Roman"/>
          <w:b/>
          <w:sz w:val="24"/>
        </w:rPr>
        <w:t xml:space="preserve">1.  </w:t>
      </w:r>
      <w:r>
        <w:rPr>
          <w:rFonts w:ascii="Times New Roman" w:hAnsi="Times New Roman"/>
          <w:b/>
          <w:sz w:val="24"/>
        </w:rPr>
        <w:t xml:space="preserve">Kliūtis A — kanalo įėjimo nėra. </w:t>
      </w:r>
      <w:r>
        <w:rPr>
          <w:rFonts w:ascii="Times New Roman" w:hAnsi="Times New Roman"/>
          <w:sz w:val="24"/>
        </w:rPr>
        <w:t>visoje svetainėje neegzistuoja jokia subscribe forma. Tai vienos eilutės techninis sprendimas (WordPress plugin'as arba Substack embed), bet šiandien jis kainuoja Elzei kiekvieną svetainės lankytoją. Tai yra didžiausias techninis svertas — mažiausia pastanga, didžiausia įtaka.</w:t>
      </w:r>
    </w:p>
    <w:p>
      <w:pPr>
        <w:spacing w:line="276" w:lineRule="auto" w:after="60"/>
        <w:ind w:left="567" w:hanging="425"/>
        <w:jc w:val="both"/>
      </w:pPr>
      <w:r>
        <w:rPr>
          <w:rFonts w:ascii="Times New Roman" w:hAnsi="Times New Roman"/>
          <w:b/>
          <w:sz w:val="24"/>
        </w:rPr>
        <w:t xml:space="preserve">2.  </w:t>
      </w:r>
      <w:r>
        <w:rPr>
          <w:rFonts w:ascii="Times New Roman" w:hAnsi="Times New Roman"/>
          <w:b/>
          <w:sz w:val="24"/>
        </w:rPr>
        <w:t xml:space="preserve">Kliūtis B — nėra aiškaus skaitytojo pažado. </w:t>
      </w:r>
      <w:r>
        <w:rPr>
          <w:rFonts w:ascii="Times New Roman" w:hAnsi="Times New Roman"/>
          <w:sz w:val="24"/>
        </w:rPr>
        <w:t>Elzė turi stiprią kūrybinę istoriją (autorinis pasakojimas „Apie Elzę"), bet neturi „skaitymo priežasties grįžti". Newsletter yra ne pardavimo, o reguliaraus santykio kanalas; jam reikia pažado („kas dvi savaitės — vienas trumpas literatūrinis laiškas"). Pažadas yra paprastas, bet būtinas — be jo prenumeratorius po 2–3 mėnesių pamiršta, kodėl pasirašė.</w:t>
      </w:r>
    </w:p>
    <w:p>
      <w:pPr>
        <w:spacing w:line="276" w:lineRule="auto" w:after="60"/>
        <w:ind w:left="567" w:hanging="425"/>
        <w:jc w:val="both"/>
      </w:pPr>
      <w:r>
        <w:rPr>
          <w:rFonts w:ascii="Times New Roman" w:hAnsi="Times New Roman"/>
          <w:b/>
          <w:sz w:val="24"/>
        </w:rPr>
        <w:t xml:space="preserve">3.  </w:t>
      </w:r>
      <w:r>
        <w:rPr>
          <w:rFonts w:ascii="Times New Roman" w:hAnsi="Times New Roman"/>
          <w:b/>
          <w:sz w:val="24"/>
        </w:rPr>
        <w:t xml:space="preserve">Kliūtis C — pirminio pasitikėjimo signalų trūkumas. </w:t>
      </w:r>
      <w:r>
        <w:rPr>
          <w:rFonts w:ascii="Times New Roman" w:hAnsi="Times New Roman"/>
          <w:sz w:val="24"/>
        </w:rPr>
        <w:t>pagrindinio puslapio kontaktas — placeholder. Net minimalūs profesionalumo signalai, kaip realus el. pašto adresas savo domene, sukuria pasitikėjimą. Be jo dalis potencialių partnerių (mokyklos, bloggerės, leidėjai) gali nesusisiekti.</w:t>
      </w:r>
    </w:p>
    <w:p>
      <w:pPr>
        <w:keepNext/>
        <w:spacing w:before="240" w:after="120"/>
        <w:jc w:val="left"/>
      </w:pPr>
      <w:r>
        <w:rPr>
          <w:rFonts w:ascii="Times New Roman" w:hAnsi="Times New Roman"/>
          <w:b/>
          <w:sz w:val="26"/>
        </w:rPr>
        <w:t>6. Kanalo potencialo apibendrinimas</w:t>
      </w:r>
    </w:p>
    <w:p>
      <w:pPr>
        <w:spacing w:line="360" w:lineRule="auto" w:after="120"/>
        <w:ind w:firstLine="567"/>
        <w:jc w:val="both"/>
      </w:pPr>
      <w:r>
        <w:rPr>
          <w:rFonts w:ascii="Times New Roman" w:hAnsi="Times New Roman"/>
          <w:b w:val="0"/>
          <w:i w:val="0"/>
          <w:sz w:val="24"/>
        </w:rPr>
        <w:t>Email / community building kanalas Elzės atveju turi nedidelį, bet realų potencialą: per 12 mėn. tikėtinas dydis — apie 250–500 prenumeratorių, kainuojantis apie 60 min. per savaitę ir 0 € (su galimybe vėliau pereiti į ~10 €/mėn. planą). Tai nėra masinio rinkodaros kanalas — bet jam to ir nereikia: 250–500 nuoširdžiai įsitraukusių skaitytojų antrai knygai yra geresnė bazė, nei 5 000 algoritmu atsitiktinai parodytų sekėjų.</w:t>
      </w:r>
    </w:p>
    <w:p>
      <w:pPr>
        <w:spacing w:line="360" w:lineRule="auto" w:after="120"/>
        <w:ind w:firstLine="567"/>
        <w:jc w:val="both"/>
      </w:pPr>
      <w:r>
        <w:rPr>
          <w:rFonts w:ascii="Times New Roman" w:hAnsi="Times New Roman"/>
          <w:b w:val="0"/>
          <w:i w:val="0"/>
          <w:sz w:val="24"/>
        </w:rPr>
        <w:t>Kitas etapas (IMPROVE) konkretizuoja, ką Elzė turėtų daryti per 1, 3 ir 12 mėn., kad šis potencialas realizuotųsi, ir paruošia „starter pack" — paruoštus laiškus, kuriuos ji gali pasiųsti pirmąjį pirmadienį po susitikimo.</w:t>
      </w:r>
    </w:p>
    <w:p>
      <w:pPr>
        <w:keepNext/>
        <w:spacing w:before="240" w:after="120"/>
        <w:jc w:val="left"/>
      </w:pPr>
      <w:r>
        <w:rPr>
          <w:rFonts w:ascii="Times New Roman" w:hAnsi="Times New Roman"/>
          <w:b/>
          <w:sz w:val="26"/>
        </w:rPr>
        <w:t>Šaltiniai</w:t>
      </w:r>
    </w:p>
    <w:p>
      <w:pPr>
        <w:spacing w:line="276" w:lineRule="auto" w:after="60"/>
        <w:ind w:left="425" w:hanging="283"/>
        <w:jc w:val="both"/>
      </w:pPr>
      <w:r>
        <w:rPr>
          <w:rFonts w:ascii="Times New Roman" w:hAnsi="Times New Roman"/>
          <w:sz w:val="24"/>
        </w:rPr>
        <w:t xml:space="preserve">•  </w:t>
      </w:r>
      <w:r>
        <w:rPr>
          <w:rFonts w:ascii="Times New Roman" w:hAnsi="Times New Roman"/>
          <w:sz w:val="24"/>
        </w:rPr>
        <w:t>Newsletter open rate ir kiti benchmark'ai (2025–2026): Thunderbit, AdMailr, MailerLite, Brevo viešai prieinami industrijos duomenys.</w:t>
      </w:r>
    </w:p>
    <w:p>
      <w:pPr>
        <w:spacing w:line="276" w:lineRule="auto" w:after="60"/>
        <w:ind w:left="425" w:hanging="283"/>
        <w:jc w:val="both"/>
      </w:pPr>
      <w:r>
        <w:rPr>
          <w:rFonts w:ascii="Times New Roman" w:hAnsi="Times New Roman"/>
          <w:sz w:val="24"/>
        </w:rPr>
        <w:t xml:space="preserve">•  </w:t>
      </w:r>
      <w:r>
        <w:rPr>
          <w:rFonts w:ascii="Times New Roman" w:hAnsi="Times New Roman"/>
          <w:sz w:val="24"/>
        </w:rPr>
        <w:t>„Welcome" laiško rodikliai ir flow rekomendacijos: EmailToolTester (2025), Stackmatix (2025), Braze, Bloomreach (2026).</w:t>
      </w:r>
    </w:p>
    <w:p>
      <w:pPr>
        <w:spacing w:line="276" w:lineRule="auto" w:after="60"/>
        <w:ind w:left="425" w:hanging="283"/>
        <w:jc w:val="both"/>
      </w:pPr>
      <w:r>
        <w:rPr>
          <w:rFonts w:ascii="Times New Roman" w:hAnsi="Times New Roman"/>
          <w:sz w:val="24"/>
        </w:rPr>
        <w:t xml:space="preserve">•  </w:t>
      </w:r>
      <w:r>
        <w:rPr>
          <w:rFonts w:ascii="Times New Roman" w:hAnsi="Times New Roman"/>
          <w:sz w:val="24"/>
        </w:rPr>
        <w:t>Author email vs. social media konversija: Chanticleer Reviews (2025-06-10), Vappingo („Email Marketing Tools for Authors").</w:t>
      </w:r>
    </w:p>
    <w:p>
      <w:pPr>
        <w:spacing w:line="276" w:lineRule="auto" w:after="60"/>
        <w:ind w:left="425" w:hanging="283"/>
        <w:jc w:val="both"/>
      </w:pPr>
      <w:r>
        <w:rPr>
          <w:rFonts w:ascii="Times New Roman" w:hAnsi="Times New Roman"/>
          <w:sz w:val="24"/>
        </w:rPr>
        <w:t xml:space="preserve">•  </w:t>
      </w:r>
      <w:r>
        <w:rPr>
          <w:rFonts w:ascii="Times New Roman" w:hAnsi="Times New Roman"/>
          <w:sz w:val="24"/>
        </w:rPr>
        <w:t>Indie autoriaus atvejis: StoryOrigin App — Richie Billing case study, naudojant reader magnet ir newsletter swap'us.</w:t>
      </w:r>
    </w:p>
    <w:p>
      <w:pPr>
        <w:spacing w:line="276" w:lineRule="auto" w:after="60"/>
        <w:ind w:left="425" w:hanging="283"/>
        <w:jc w:val="both"/>
      </w:pPr>
      <w:r>
        <w:rPr>
          <w:rFonts w:ascii="Times New Roman" w:hAnsi="Times New Roman"/>
          <w:sz w:val="24"/>
        </w:rPr>
        <w:t xml:space="preserve">•  </w:t>
      </w:r>
      <w:r>
        <w:rPr>
          <w:rFonts w:ascii="Times New Roman" w:hAnsi="Times New Roman"/>
          <w:sz w:val="24"/>
        </w:rPr>
        <w:t>MailerLite free plan apribojimai 2025-09: Sender.net, Hostinger, GroupMail viešos apžvalgos.</w:t>
      </w:r>
    </w:p>
    <w:p>
      <w:pPr>
        <w:spacing w:line="276" w:lineRule="auto" w:after="60"/>
        <w:ind w:left="425" w:hanging="283"/>
        <w:jc w:val="both"/>
      </w:pPr>
      <w:r>
        <w:rPr>
          <w:rFonts w:ascii="Times New Roman" w:hAnsi="Times New Roman"/>
          <w:sz w:val="24"/>
        </w:rPr>
        <w:t xml:space="preserve">•  </w:t>
      </w:r>
      <w:r>
        <w:rPr>
          <w:rFonts w:ascii="Times New Roman" w:hAnsi="Times New Roman"/>
          <w:sz w:val="24"/>
        </w:rPr>
        <w:t>Substack ekosistema: lietuviakalbiai pavyzdžiai — „Notes from Lithuania" (T. Miliūnas), „The Vilnius Observer" (L. Barbier).</w:t>
      </w:r>
    </w:p>
    <w:p>
      <w:pPr>
        <w:spacing w:line="276" w:lineRule="auto" w:after="60"/>
        <w:ind w:left="425" w:hanging="283"/>
        <w:jc w:val="both"/>
      </w:pPr>
      <w:r>
        <w:rPr>
          <w:rFonts w:ascii="Times New Roman" w:hAnsi="Times New Roman"/>
          <w:sz w:val="24"/>
        </w:rPr>
        <w:t xml:space="preserve">•  </w:t>
      </w:r>
      <w:r>
        <w:rPr>
          <w:rFonts w:ascii="Times New Roman" w:hAnsi="Times New Roman"/>
          <w:sz w:val="24"/>
        </w:rPr>
        <w:t>Pirminis kliento auditas: elzėsknygos.lt (2026 m. gegužė), HTML analizė, formų ir &lt;input type="email"&gt; elementų skaičius.</w:t>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