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2"/>
        </w:rPr>
        <w:t>VILNIAUS UNIVERSITETAS</w:t>
      </w:r>
    </w:p>
    <w:p>
      <w:pPr>
        <w:jc w:val="center"/>
      </w:pPr>
      <w:r>
        <w:rPr>
          <w:rFonts w:ascii="Times New Roman" w:hAnsi="Times New Roman"/>
          <w:sz w:val="22"/>
        </w:rPr>
        <w:t>Ekonomikos ir verslo administravimo fakultetas</w:t>
      </w:r>
    </w:p>
    <w:p>
      <w:pPr>
        <w:jc w:val="center"/>
      </w:pPr>
      <w:r>
        <w:rPr>
          <w:rFonts w:ascii="Times New Roman" w:hAnsi="Times New Roman"/>
          <w:i/>
          <w:sz w:val="22"/>
        </w:rPr>
        <w:t>E. pardavimų grupinis projektas</w:t>
      </w:r>
    </w:p>
    <w:p/>
    <w:p>
      <w:pPr>
        <w:jc w:val="center"/>
      </w:pPr>
      <w:r>
        <w:rPr>
          <w:rFonts w:ascii="Times New Roman" w:hAnsi="Times New Roman"/>
          <w:b/>
          <w:sz w:val="30"/>
        </w:rPr>
        <w:t>MASTER DOCUMENT</w:t>
        <w:br/>
        <w:t>Elzės Zdancevičiūtės knygos „Turtingas(is)" pardavimo augimo planas</w:t>
        <w:br/>
        <w:t>pagal Email / community building kanalą</w:t>
      </w:r>
    </w:p>
    <w:p>
      <w:pPr>
        <w:spacing w:after="360"/>
        <w:jc w:val="center"/>
      </w:pPr>
      <w:r>
        <w:rPr>
          <w:rFonts w:ascii="Times New Roman" w:hAnsi="Times New Roman"/>
          <w:i/>
          <w:sz w:val="24"/>
        </w:rPr>
        <w:t>Pasirinktas kanalas: Email / community building</w:t>
      </w:r>
    </w:p>
    <w:p>
      <w:pPr>
        <w:jc w:val="center"/>
      </w:pPr>
      <w:r>
        <w:rPr>
          <w:rFonts w:ascii="Times New Roman" w:hAnsi="Times New Roman"/>
          <w:sz w:val="22"/>
        </w:rPr>
        <w:t>Grupė: [Grupės narių vardai, pavardės]</w:t>
      </w:r>
    </w:p>
    <w:p>
      <w:pPr>
        <w:spacing w:after="480"/>
        <w:jc w:val="center"/>
      </w:pPr>
      <w:r>
        <w:rPr>
          <w:rFonts w:ascii="Times New Roman" w:hAnsi="Times New Roman"/>
          <w:sz w:val="22"/>
        </w:rPr>
        <w:t>Data: 2026 m. gegužė</w:t>
      </w:r>
    </w:p>
    <w:p>
      <w:pPr>
        <w:keepNext/>
        <w:spacing w:before="240" w:after="120"/>
        <w:jc w:val="left"/>
      </w:pPr>
      <w:r>
        <w:rPr>
          <w:rFonts w:ascii="Times New Roman" w:hAnsi="Times New Roman"/>
          <w:b/>
          <w:sz w:val="26"/>
        </w:rPr>
        <w:t>TURINYS</w:t>
      </w:r>
    </w:p>
    <w:p>
      <w:pPr>
        <w:spacing w:after="40" w:line="276" w:lineRule="auto"/>
        <w:jc w:val="left"/>
      </w:pPr>
      <w:r>
        <w:rPr>
          <w:rFonts w:ascii="Times New Roman" w:hAnsi="Times New Roman"/>
          <w:sz w:val="24"/>
        </w:rPr>
        <w:t>Santrauka — vienu žvilgsniu .......................................... 2</w:t>
      </w:r>
    </w:p>
    <w:p>
      <w:pPr>
        <w:spacing w:after="40" w:line="276" w:lineRule="auto"/>
        <w:jc w:val="left"/>
      </w:pPr>
      <w:r>
        <w:rPr>
          <w:rFonts w:ascii="Times New Roman" w:hAnsi="Times New Roman"/>
          <w:sz w:val="24"/>
        </w:rPr>
        <w:t>1. Esama būsena (OBSERVE) ............................................ 3</w:t>
      </w:r>
    </w:p>
    <w:p>
      <w:pPr>
        <w:spacing w:after="40" w:line="276" w:lineRule="auto"/>
        <w:jc w:val="left"/>
      </w:pPr>
      <w:r>
        <w:rPr>
          <w:rFonts w:ascii="Times New Roman" w:hAnsi="Times New Roman"/>
          <w:sz w:val="24"/>
        </w:rPr>
        <w:t>2. Diagnostika ir potencialas (ANALYZE) .............................. 4</w:t>
      </w:r>
    </w:p>
    <w:p>
      <w:pPr>
        <w:spacing w:after="40" w:line="276" w:lineRule="auto"/>
        <w:jc w:val="left"/>
      </w:pPr>
      <w:r>
        <w:rPr>
          <w:rFonts w:ascii="Times New Roman" w:hAnsi="Times New Roman"/>
          <w:sz w:val="24"/>
        </w:rPr>
        <w:t>3. Trys pasiūlymai (IMPROVE) ......................................... 6</w:t>
      </w:r>
    </w:p>
    <w:p>
      <w:pPr>
        <w:spacing w:after="40" w:line="276" w:lineRule="auto"/>
        <w:jc w:val="left"/>
      </w:pPr>
      <w:r>
        <w:rPr>
          <w:rFonts w:ascii="Times New Roman" w:hAnsi="Times New Roman"/>
          <w:sz w:val="24"/>
        </w:rPr>
        <w:t>4. Matavimo planas (VALIDATE) ........................................ 8</w:t>
      </w:r>
    </w:p>
    <w:p>
      <w:pPr>
        <w:spacing w:after="40" w:line="276" w:lineRule="auto"/>
        <w:jc w:val="left"/>
      </w:pPr>
      <w:r>
        <w:rPr>
          <w:rFonts w:ascii="Times New Roman" w:hAnsi="Times New Roman"/>
          <w:sz w:val="24"/>
        </w:rPr>
        <w:t>5. „Pull the plug" — kada atsisakyti ................................. 9</w:t>
      </w:r>
    </w:p>
    <w:p>
      <w:pPr>
        <w:spacing w:after="40" w:line="276" w:lineRule="auto"/>
        <w:jc w:val="left"/>
      </w:pPr>
      <w:r>
        <w:rPr>
          <w:rFonts w:ascii="Times New Roman" w:hAnsi="Times New Roman"/>
          <w:sz w:val="24"/>
        </w:rPr>
        <w:t>6. Pirmadienio veiksmų sąrašas Elzei ................................ 10</w:t>
      </w:r>
    </w:p>
    <w:p>
      <w:pPr>
        <w:spacing w:after="40" w:line="276" w:lineRule="auto"/>
        <w:jc w:val="left"/>
      </w:pPr>
      <w:r>
        <w:rPr>
          <w:rFonts w:ascii="Times New Roman" w:hAnsi="Times New Roman"/>
          <w:sz w:val="24"/>
        </w:rPr>
        <w:t>7. Priedai .......................................................... 10</w:t>
      </w:r>
    </w:p>
    <w:p>
      <w:pPr>
        <w:spacing w:after="240"/>
      </w:pPr>
    </w:p>
    <w:p>
      <w:r>
        <w:br w:type="page"/>
      </w:r>
    </w:p>
    <w:p>
      <w:pPr>
        <w:keepNext/>
        <w:spacing w:before="240" w:after="120"/>
        <w:jc w:val="left"/>
      </w:pPr>
      <w:r>
        <w:rPr>
          <w:rFonts w:ascii="Times New Roman" w:hAnsi="Times New Roman"/>
          <w:b/>
          <w:sz w:val="26"/>
        </w:rPr>
        <w:t>Santrauka — vienu žvilgsniu</w:t>
      </w:r>
    </w:p>
    <w:p>
      <w:pPr>
        <w:spacing w:line="276" w:lineRule="auto" w:before="120" w:after="120"/>
        <w:ind w:left="567" w:right="567"/>
        <w:jc w:val="both"/>
      </w:pPr>
      <w:r>
        <w:rPr>
          <w:rFonts w:ascii="Times New Roman" w:hAnsi="Times New Roman"/>
          <w:i/>
          <w:sz w:val="22"/>
        </w:rPr>
        <w:t>„Elzė šiandien neturi būdo paimti skaitytojo el. pašto. Per vieną savaitgalį tai pakeičiama, ir per metus iš to gali atsirasti 250–500 nuoširdžiai įsitraukusių skaitytojų bazė antrai knygai — kainuojant maždaug 60 min. per savaitę ir 0 €."</w:t>
      </w:r>
    </w:p>
    <w:p>
      <w:pPr>
        <w:spacing w:line="360" w:lineRule="auto" w:after="120"/>
        <w:ind w:firstLine="567"/>
        <w:jc w:val="both"/>
      </w:pPr>
      <w:r>
        <w:rPr>
          <w:rFonts w:ascii="Times New Roman" w:hAnsi="Times New Roman"/>
          <w:b w:val="0"/>
          <w:i w:val="0"/>
          <w:sz w:val="24"/>
        </w:rPr>
        <w:t>Šis dokumentas yra pilnas konsoliduotas Email / community building kanalo planas Elzės Zdancevičiūtės knygai „Turtingas(is)" (Piko Valanda, 2025; tiražas 100 egz.). Jį sudaro keturi tarpusavyje sujungti etapai — esamos būsenos auditas, diagnostika ir potencialo įvertinimas, trys konkretūs pasiūlymai (1 mėn., 3 mėn., 12 mėn.) bei matavimo ir „atsisakymo" planas.</w:t>
      </w:r>
    </w:p>
    <w:p>
      <w:pPr>
        <w:spacing w:line="360" w:lineRule="auto" w:after="120"/>
        <w:ind w:firstLine="567"/>
        <w:jc w:val="both"/>
      </w:pPr>
      <w:r>
        <w:rPr>
          <w:rFonts w:ascii="Times New Roman" w:hAnsi="Times New Roman"/>
          <w:b w:val="0"/>
          <w:i w:val="0"/>
          <w:sz w:val="24"/>
        </w:rPr>
        <w:t>Pagrindinė išvada — Email kanalas Elzei šiandien faktiškai neegzistuoja, todėl projektas pradedamas nuo nulio. Tai paradoksaliai gera žinia: nereikia ardyti klaidų — tik statyti tinkamai. Visas planas yra realistinis vienam asmeniui (neprivaloma rinkodaros komanda) ir telpa į 60–90 min. per savaitę.</w:t>
      </w:r>
    </w:p>
    <w:p>
      <w:pPr>
        <w:keepNext/>
        <w:spacing w:before="240" w:after="120"/>
        <w:jc w:val="left"/>
      </w:pPr>
      <w:r>
        <w:rPr>
          <w:rFonts w:ascii="Times New Roman" w:hAnsi="Times New Roman"/>
          <w:b/>
          <w:sz w:val="26"/>
        </w:rPr>
        <w:t>1. Esama būsena (OBSERVE)</w:t>
      </w:r>
    </w:p>
    <w:p>
      <w:pPr>
        <w:keepNext/>
        <w:spacing w:before="160" w:after="80"/>
        <w:jc w:val="left"/>
      </w:pPr>
      <w:r>
        <w:rPr>
          <w:rFonts w:ascii="Times New Roman" w:hAnsi="Times New Roman"/>
          <w:b/>
          <w:sz w:val="24"/>
        </w:rPr>
        <w:t>1.1. Tiesioginio kliento turto auditas</w:t>
      </w:r>
    </w:p>
    <w:p>
      <w:pPr>
        <w:spacing w:line="360" w:lineRule="auto" w:after="120"/>
        <w:ind w:firstLine="567"/>
        <w:jc w:val="both"/>
      </w:pPr>
      <w:r>
        <w:rPr>
          <w:rFonts w:ascii="Times New Roman" w:hAnsi="Times New Roman"/>
          <w:b w:val="0"/>
          <w:i w:val="0"/>
          <w:sz w:val="24"/>
        </w:rPr>
        <w:t>Atlikome elzėsknygos.lt ir viešų socialinių tinklų profilių auditą. Pagrindiniai objektyvūs radiniai (visi patvirtinti pagal HTML kodą, ne pagal įspūdį):</w:t>
      </w:r>
    </w:p>
    <w:p>
      <w:pPr>
        <w:spacing w:line="276" w:lineRule="auto" w:after="60"/>
        <w:ind w:left="425" w:hanging="283"/>
        <w:jc w:val="both"/>
      </w:pPr>
      <w:r>
        <w:rPr>
          <w:rFonts w:ascii="Times New Roman" w:hAnsi="Times New Roman"/>
          <w:sz w:val="24"/>
        </w:rPr>
        <w:t xml:space="preserve">•  </w:t>
      </w:r>
      <w:r>
        <w:rPr>
          <w:rFonts w:ascii="Times New Roman" w:hAnsi="Times New Roman"/>
          <w:b/>
          <w:sz w:val="24"/>
        </w:rPr>
        <w:t xml:space="preserve">Email įėjimas — </w:t>
      </w:r>
      <w:r>
        <w:rPr>
          <w:rFonts w:ascii="Times New Roman" w:hAnsi="Times New Roman"/>
          <w:sz w:val="24"/>
        </w:rPr>
        <w:t>visoje trijų puslapių svetainėje yra 0 (nulis) HTML formų ir 0 įvedimo laukų, kurių tipas yra „email".</w:t>
      </w:r>
    </w:p>
    <w:p>
      <w:pPr>
        <w:spacing w:line="276" w:lineRule="auto" w:after="60"/>
        <w:ind w:left="425" w:hanging="283"/>
        <w:jc w:val="both"/>
      </w:pPr>
      <w:r>
        <w:rPr>
          <w:rFonts w:ascii="Times New Roman" w:hAnsi="Times New Roman"/>
          <w:sz w:val="24"/>
        </w:rPr>
        <w:t xml:space="preserve">•  </w:t>
      </w:r>
      <w:r>
        <w:rPr>
          <w:rFonts w:ascii="Times New Roman" w:hAnsi="Times New Roman"/>
          <w:b/>
          <w:sz w:val="24"/>
        </w:rPr>
        <w:t xml:space="preserve">Įrankio signalai — </w:t>
      </w:r>
      <w:r>
        <w:rPr>
          <w:rFonts w:ascii="Times New Roman" w:hAnsi="Times New Roman"/>
          <w:sz w:val="24"/>
        </w:rPr>
        <w:t>jokios užuominos apie naujienlaiškį, prenumeratą, MailerLite, Mailchimp, Substack ar kitą email-rinkimo įrankį HTML kode nėra.</w:t>
      </w:r>
    </w:p>
    <w:p>
      <w:pPr>
        <w:spacing w:line="276" w:lineRule="auto" w:after="60"/>
        <w:ind w:left="425" w:hanging="283"/>
        <w:jc w:val="both"/>
      </w:pPr>
      <w:r>
        <w:rPr>
          <w:rFonts w:ascii="Times New Roman" w:hAnsi="Times New Roman"/>
          <w:sz w:val="24"/>
        </w:rPr>
        <w:t xml:space="preserve">•  </w:t>
      </w:r>
      <w:r>
        <w:rPr>
          <w:rFonts w:ascii="Times New Roman" w:hAnsi="Times New Roman"/>
          <w:b/>
          <w:sz w:val="24"/>
        </w:rPr>
        <w:t xml:space="preserve">Kontaktas — </w:t>
      </w:r>
      <w:r>
        <w:rPr>
          <w:rFonts w:ascii="Times New Roman" w:hAnsi="Times New Roman"/>
          <w:sz w:val="24"/>
        </w:rPr>
        <w:t>pagrindinio puslapio sekcijoje „Susiekite su Elze" matomas el. paštas yra `elze.zdanceviciute@email.com`, o HTML kode `mailto:` veda į `example@email.com` — placeholder.</w:t>
      </w:r>
    </w:p>
    <w:p>
      <w:pPr>
        <w:spacing w:line="276" w:lineRule="auto" w:after="60"/>
        <w:ind w:left="425" w:hanging="283"/>
        <w:jc w:val="both"/>
      </w:pPr>
      <w:r>
        <w:rPr>
          <w:rFonts w:ascii="Times New Roman" w:hAnsi="Times New Roman"/>
          <w:sz w:val="24"/>
        </w:rPr>
        <w:t xml:space="preserve">•  </w:t>
      </w:r>
      <w:r>
        <w:rPr>
          <w:rFonts w:ascii="Times New Roman" w:hAnsi="Times New Roman"/>
          <w:b/>
          <w:sz w:val="24"/>
        </w:rPr>
        <w:t xml:space="preserve">Pirkimas — </w:t>
      </w:r>
      <w:r>
        <w:rPr>
          <w:rFonts w:ascii="Times New Roman" w:hAnsi="Times New Roman"/>
          <w:sz w:val="24"/>
        </w:rPr>
        <w:t>„ĮSIGYTI KNYGĄ" mygtukas svetainės kode neturi WooCommerce, Stripe ar Paysera signalų — t. y. pati svetainė knygos neparduoda.</w:t>
      </w:r>
    </w:p>
    <w:p>
      <w:pPr>
        <w:spacing w:line="276" w:lineRule="auto" w:after="60"/>
        <w:ind w:left="425" w:hanging="283"/>
        <w:jc w:val="both"/>
      </w:pPr>
      <w:r>
        <w:rPr>
          <w:rFonts w:ascii="Times New Roman" w:hAnsi="Times New Roman"/>
          <w:sz w:val="24"/>
        </w:rPr>
        <w:t xml:space="preserve">•  </w:t>
      </w:r>
      <w:r>
        <w:rPr>
          <w:rFonts w:ascii="Times New Roman" w:hAnsi="Times New Roman"/>
          <w:b/>
          <w:sz w:val="24"/>
        </w:rPr>
        <w:t xml:space="preserve">Smulkmena — </w:t>
      </w:r>
      <w:r>
        <w:rPr>
          <w:rFonts w:ascii="Times New Roman" w:hAnsi="Times New Roman"/>
          <w:sz w:val="24"/>
        </w:rPr>
        <w:t>pagrindinio puslapio tekste pavadinime parašyta „EIzę" (vietoje „Elzę") — smulki, bet matoma rašybos klaida.</w:t>
      </w:r>
    </w:p>
    <w:p>
      <w:pPr>
        <w:keepNext/>
        <w:spacing w:before="160" w:after="80"/>
        <w:jc w:val="left"/>
      </w:pPr>
      <w:r>
        <w:rPr>
          <w:rFonts w:ascii="Times New Roman" w:hAnsi="Times New Roman"/>
          <w:b/>
          <w:sz w:val="24"/>
        </w:rPr>
        <w:t>1.2. Tiražo kontekstas</w:t>
      </w:r>
    </w:p>
    <w:p>
      <w:pPr>
        <w:spacing w:line="360" w:lineRule="auto" w:after="120"/>
        <w:ind w:firstLine="567"/>
        <w:jc w:val="both"/>
      </w:pPr>
      <w:r>
        <w:rPr>
          <w:rFonts w:ascii="Times New Roman" w:hAnsi="Times New Roman"/>
          <w:b w:val="0"/>
          <w:i w:val="0"/>
          <w:sz w:val="24"/>
        </w:rPr>
        <w:t>Knygos „Turtingas(is)" tiražas yra 100 egzempliorių (kolofonas svetainėje). Šis skaičius radikaliai keičia projekto tikslą: Email kanalas Elzės atveju nėra šios konkrečios knygos rinkodara, — jis yra autorinės karjeros bazė, kuri toliau naudojama antrai knygai, viešiems skaitymams ir bet kokiam ateities autorystės žingsniui.</w:t>
      </w:r>
    </w:p>
    <w:p>
      <w:pPr>
        <w:keepNext/>
        <w:spacing w:before="160" w:after="80"/>
        <w:jc w:val="left"/>
      </w:pPr>
      <w:r>
        <w:rPr>
          <w:rFonts w:ascii="Times New Roman" w:hAnsi="Times New Roman"/>
          <w:b/>
          <w:sz w:val="24"/>
        </w:rPr>
        <w:t>1.3. Skaitytojo kelionės žemėlapis — kur ji nutrūksta</w:t>
      </w:r>
    </w:p>
    <w:p>
      <w:pPr>
        <w:spacing w:line="360" w:lineRule="auto" w:after="120"/>
        <w:ind w:firstLine="567"/>
        <w:jc w:val="both"/>
      </w:pPr>
      <w:r>
        <w:rPr>
          <w:rFonts w:ascii="Times New Roman" w:hAnsi="Times New Roman"/>
          <w:b w:val="0"/>
          <w:i w:val="0"/>
          <w:sz w:val="24"/>
        </w:rPr>
        <w:t>Atstatėme tipinę kelionę žmogaus, kuris nepažįsta Elzės, bet GALĖTŲ tapti jos skaitytoju. Iš šešių žingsnių (atradimas, svetainė, sprendimas, pirkimas, po pirkimo, po skaitymo) du yra fatalūs — sprendimo momentas ir „po skaitymo". Abu jie nutrūksta ne dėl turinio kokybės, o dėl mechanizmo nebuvimo: žmogus, kuris jau pajuto susidomėjimą, neturi būdo „pasižymėti" ateičiai.</w:t>
      </w:r>
    </w:p>
    <w:p>
      <w:pPr>
        <w:keepNext/>
        <w:spacing w:before="240" w:after="120"/>
        <w:jc w:val="left"/>
      </w:pPr>
      <w:r>
        <w:rPr>
          <w:rFonts w:ascii="Times New Roman" w:hAnsi="Times New Roman"/>
          <w:b/>
          <w:sz w:val="26"/>
        </w:rPr>
        <w:t>2. Diagnostika ir potencialas (ANALYZE)</w:t>
      </w:r>
    </w:p>
    <w:p>
      <w:pPr>
        <w:keepNext/>
        <w:spacing w:before="160" w:after="80"/>
        <w:jc w:val="left"/>
      </w:pPr>
      <w:r>
        <w:rPr>
          <w:rFonts w:ascii="Times New Roman" w:hAnsi="Times New Roman"/>
          <w:b/>
          <w:sz w:val="24"/>
        </w:rPr>
        <w:t>2.1. Pagrindinė diagnozė</w:t>
      </w:r>
    </w:p>
    <w:p>
      <w:pPr>
        <w:spacing w:line="360" w:lineRule="auto" w:after="120"/>
        <w:ind w:firstLine="567"/>
        <w:jc w:val="both"/>
      </w:pPr>
      <w:r>
        <w:rPr>
          <w:rFonts w:ascii="Times New Roman" w:hAnsi="Times New Roman"/>
          <w:b w:val="0"/>
          <w:i w:val="0"/>
          <w:sz w:val="24"/>
        </w:rPr>
        <w:t>Elzė turi labai stiprų turinio pagrindą newsletter'iui — autentišką literatūrinį balsą (Camus, Dostojevskis, Škėma, Mačernis, Kernagis) ir asmeninę istoriją „kaip mergina, neapykantą lietuvių kalbai pavertusi knyga". Tai yra Lietuvos kontekste retas turinio rinkinys. Bet jokio mechanizmo, kuris šį balsą paverstų tęstiniu santykiu, šiuo metu nėra. Tai yra konversijos — ne pardavimo — problema.</w:t>
      </w:r>
    </w:p>
    <w:p>
      <w:pPr>
        <w:keepNext/>
        <w:spacing w:before="160" w:after="80"/>
        <w:jc w:val="left"/>
      </w:pPr>
      <w:r>
        <w:rPr>
          <w:rFonts w:ascii="Times New Roman" w:hAnsi="Times New Roman"/>
          <w:b/>
          <w:sz w:val="24"/>
        </w:rPr>
        <w:t>2.2. Industrijos benchmark'ai (2025–2026 m. duomenys)</w:t>
      </w:r>
    </w:p>
    <w:tbl>
      <w:tblPr>
        <w:tblStyle w:val="LightGrid-Accent1"/>
        <w:tblW w:type="auto" w:w="0"/>
        <w:jc w:val="center"/>
        <w:tblLayout w:type="autofit"/>
        <w:tblLook w:firstColumn="1" w:firstRow="1" w:lastColumn="0" w:lastRow="0" w:noHBand="0" w:noVBand="1" w:val="04A0"/>
      </w:tblPr>
      <w:tblGrid>
        <w:gridCol w:w="3230"/>
        <w:gridCol w:w="3230"/>
        <w:gridCol w:w="3230"/>
      </w:tblGrid>
      <w:tr>
        <w:tc>
          <w:tcPr>
            <w:tcW w:type="dxa" w:w="2835"/>
            <w:vAlign w:val="center"/>
          </w:tcPr>
          <w:p>
            <w:pPr>
              <w:jc w:val="center"/>
            </w:pPr>
            <w:r/>
            <w:r>
              <w:rPr>
                <w:rFonts w:ascii="Times New Roman" w:hAnsi="Times New Roman"/>
                <w:b/>
                <w:sz w:val="22"/>
              </w:rPr>
              <w:t>Rodiklis</w:t>
            </w:r>
          </w:p>
        </w:tc>
        <w:tc>
          <w:tcPr>
            <w:tcW w:type="dxa" w:w="3685"/>
            <w:vAlign w:val="center"/>
          </w:tcPr>
          <w:p>
            <w:pPr>
              <w:jc w:val="center"/>
            </w:pPr>
            <w:r/>
            <w:r>
              <w:rPr>
                <w:rFonts w:ascii="Times New Roman" w:hAnsi="Times New Roman"/>
                <w:b/>
                <w:sz w:val="22"/>
              </w:rPr>
              <w:t>Vidurkis</w:t>
            </w:r>
          </w:p>
        </w:tc>
        <w:tc>
          <w:tcPr>
            <w:tcW w:type="dxa" w:w="2551"/>
            <w:vAlign w:val="center"/>
          </w:tcPr>
          <w:p>
            <w:pPr>
              <w:jc w:val="center"/>
            </w:pPr>
            <w:r/>
            <w:r>
              <w:rPr>
                <w:rFonts w:ascii="Times New Roman" w:hAnsi="Times New Roman"/>
                <w:b/>
                <w:sz w:val="22"/>
              </w:rPr>
              <w:t>Šaltinis</w:t>
            </w:r>
          </w:p>
        </w:tc>
      </w:tr>
      <w:tr>
        <w:tc>
          <w:tcPr>
            <w:tcW w:type="dxa" w:w="2835"/>
            <w:vAlign w:val="center"/>
          </w:tcPr>
          <w:p>
            <w:pPr>
              <w:spacing w:line="276" w:lineRule="auto"/>
              <w:jc w:val="left"/>
            </w:pPr>
            <w:r/>
            <w:r>
              <w:rPr>
                <w:rFonts w:ascii="Times New Roman" w:hAnsi="Times New Roman"/>
                <w:sz w:val="22"/>
              </w:rPr>
              <w:t>Newsletter open rate</w:t>
            </w:r>
          </w:p>
        </w:tc>
        <w:tc>
          <w:tcPr>
            <w:tcW w:type="dxa" w:w="3685"/>
            <w:vAlign w:val="center"/>
          </w:tcPr>
          <w:p>
            <w:pPr>
              <w:spacing w:line="276" w:lineRule="auto"/>
              <w:jc w:val="left"/>
            </w:pPr>
            <w:r/>
            <w:r>
              <w:rPr>
                <w:rFonts w:ascii="Times New Roman" w:hAnsi="Times New Roman"/>
                <w:sz w:val="22"/>
              </w:rPr>
              <w:t>31–43 % (medijai/leidybai ~34 %, top 40+ %)</w:t>
            </w:r>
          </w:p>
        </w:tc>
        <w:tc>
          <w:tcPr>
            <w:tcW w:type="dxa" w:w="2551"/>
            <w:vAlign w:val="center"/>
          </w:tcPr>
          <w:p>
            <w:pPr>
              <w:spacing w:line="276" w:lineRule="auto"/>
              <w:jc w:val="left"/>
            </w:pPr>
            <w:r/>
            <w:r>
              <w:rPr>
                <w:rFonts w:ascii="Times New Roman" w:hAnsi="Times New Roman"/>
                <w:sz w:val="22"/>
              </w:rPr>
              <w:t>MailerLite, Brevo, Thunderbit, AdMailr</w:t>
            </w:r>
          </w:p>
        </w:tc>
      </w:tr>
      <w:tr>
        <w:tc>
          <w:tcPr>
            <w:tcW w:type="dxa" w:w="2835"/>
            <w:vAlign w:val="center"/>
          </w:tcPr>
          <w:p>
            <w:pPr>
              <w:spacing w:line="276" w:lineRule="auto"/>
              <w:jc w:val="left"/>
            </w:pPr>
            <w:r/>
            <w:r>
              <w:rPr>
                <w:rFonts w:ascii="Times New Roman" w:hAnsi="Times New Roman"/>
                <w:sz w:val="22"/>
              </w:rPr>
              <w:t>„Welcome" open rate</w:t>
            </w:r>
          </w:p>
        </w:tc>
        <w:tc>
          <w:tcPr>
            <w:tcW w:type="dxa" w:w="3685"/>
            <w:vAlign w:val="center"/>
          </w:tcPr>
          <w:p>
            <w:pPr>
              <w:spacing w:line="276" w:lineRule="auto"/>
              <w:jc w:val="left"/>
            </w:pPr>
            <w:r/>
            <w:r>
              <w:rPr>
                <w:rFonts w:ascii="Times New Roman" w:hAnsi="Times New Roman"/>
                <w:sz w:val="22"/>
              </w:rPr>
              <w:t>4× įprasto = ~55–65 %</w:t>
            </w:r>
          </w:p>
        </w:tc>
        <w:tc>
          <w:tcPr>
            <w:tcW w:type="dxa" w:w="2551"/>
            <w:vAlign w:val="center"/>
          </w:tcPr>
          <w:p>
            <w:pPr>
              <w:spacing w:line="276" w:lineRule="auto"/>
              <w:jc w:val="left"/>
            </w:pPr>
            <w:r/>
            <w:r>
              <w:rPr>
                <w:rFonts w:ascii="Times New Roman" w:hAnsi="Times New Roman"/>
                <w:sz w:val="22"/>
              </w:rPr>
              <w:t>EmailToolTester, Stackmatix</w:t>
            </w:r>
          </w:p>
        </w:tc>
      </w:tr>
      <w:tr>
        <w:tc>
          <w:tcPr>
            <w:tcW w:type="dxa" w:w="2835"/>
            <w:vAlign w:val="center"/>
          </w:tcPr>
          <w:p>
            <w:pPr>
              <w:spacing w:line="276" w:lineRule="auto"/>
              <w:jc w:val="left"/>
            </w:pPr>
            <w:r/>
            <w:r>
              <w:rPr>
                <w:rFonts w:ascii="Times New Roman" w:hAnsi="Times New Roman"/>
                <w:sz w:val="22"/>
              </w:rPr>
              <w:t>CTR kampaniniam laiškui</w:t>
            </w:r>
          </w:p>
        </w:tc>
        <w:tc>
          <w:tcPr>
            <w:tcW w:type="dxa" w:w="3685"/>
            <w:vAlign w:val="center"/>
          </w:tcPr>
          <w:p>
            <w:pPr>
              <w:spacing w:line="276" w:lineRule="auto"/>
              <w:jc w:val="left"/>
            </w:pPr>
            <w:r/>
            <w:r>
              <w:rPr>
                <w:rFonts w:ascii="Times New Roman" w:hAnsi="Times New Roman"/>
                <w:sz w:val="22"/>
              </w:rPr>
              <w:t>2–4 %</w:t>
            </w:r>
          </w:p>
        </w:tc>
        <w:tc>
          <w:tcPr>
            <w:tcW w:type="dxa" w:w="2551"/>
            <w:vAlign w:val="center"/>
          </w:tcPr>
          <w:p>
            <w:pPr>
              <w:spacing w:line="276" w:lineRule="auto"/>
              <w:jc w:val="left"/>
            </w:pPr>
            <w:r/>
            <w:r>
              <w:rPr>
                <w:rFonts w:ascii="Times New Roman" w:hAnsi="Times New Roman"/>
                <w:sz w:val="22"/>
              </w:rPr>
              <w:t>Klaviyo, Brevo</w:t>
            </w:r>
          </w:p>
        </w:tc>
      </w:tr>
      <w:tr>
        <w:tc>
          <w:tcPr>
            <w:tcW w:type="dxa" w:w="2835"/>
            <w:vAlign w:val="center"/>
          </w:tcPr>
          <w:p>
            <w:pPr>
              <w:spacing w:line="276" w:lineRule="auto"/>
              <w:jc w:val="left"/>
            </w:pPr>
            <w:r/>
            <w:r>
              <w:rPr>
                <w:rFonts w:ascii="Times New Roman" w:hAnsi="Times New Roman"/>
                <w:sz w:val="22"/>
              </w:rPr>
              <w:t>Unsubscribe rate (laiškui)</w:t>
            </w:r>
          </w:p>
        </w:tc>
        <w:tc>
          <w:tcPr>
            <w:tcW w:type="dxa" w:w="3685"/>
            <w:vAlign w:val="center"/>
          </w:tcPr>
          <w:p>
            <w:pPr>
              <w:spacing w:line="276" w:lineRule="auto"/>
              <w:jc w:val="left"/>
            </w:pPr>
            <w:r/>
            <w:r>
              <w:rPr>
                <w:rFonts w:ascii="Times New Roman" w:hAnsi="Times New Roman"/>
                <w:sz w:val="22"/>
              </w:rPr>
              <w:t>&lt; 0,4 % — norma; &gt; 1 % — perspėjimas</w:t>
            </w:r>
          </w:p>
        </w:tc>
        <w:tc>
          <w:tcPr>
            <w:tcW w:type="dxa" w:w="2551"/>
            <w:vAlign w:val="center"/>
          </w:tcPr>
          <w:p>
            <w:pPr>
              <w:spacing w:line="276" w:lineRule="auto"/>
              <w:jc w:val="left"/>
            </w:pPr>
            <w:r/>
            <w:r>
              <w:rPr>
                <w:rFonts w:ascii="Times New Roman" w:hAnsi="Times New Roman"/>
                <w:sz w:val="22"/>
              </w:rPr>
              <w:t>Brevo, Campaign Monitor</w:t>
            </w:r>
          </w:p>
        </w:tc>
      </w:tr>
      <w:tr>
        <w:tc>
          <w:tcPr>
            <w:tcW w:type="dxa" w:w="2835"/>
            <w:vAlign w:val="center"/>
          </w:tcPr>
          <w:p>
            <w:pPr>
              <w:spacing w:line="276" w:lineRule="auto"/>
              <w:jc w:val="left"/>
            </w:pPr>
            <w:r/>
            <w:r>
              <w:rPr>
                <w:rFonts w:ascii="Times New Roman" w:hAnsi="Times New Roman"/>
                <w:sz w:val="22"/>
              </w:rPr>
              <w:t>Email subscriber &gt; IG follower</w:t>
            </w:r>
          </w:p>
        </w:tc>
        <w:tc>
          <w:tcPr>
            <w:tcW w:type="dxa" w:w="3685"/>
            <w:vAlign w:val="center"/>
          </w:tcPr>
          <w:p>
            <w:pPr>
              <w:spacing w:line="276" w:lineRule="auto"/>
              <w:jc w:val="left"/>
            </w:pPr>
            <w:r/>
            <w:r>
              <w:rPr>
                <w:rFonts w:ascii="Times New Roman" w:hAnsi="Times New Roman"/>
                <w:sz w:val="22"/>
              </w:rPr>
              <w:t>Ženkliai didesnė pirkimo konversija</w:t>
            </w:r>
          </w:p>
        </w:tc>
        <w:tc>
          <w:tcPr>
            <w:tcW w:type="dxa" w:w="2551"/>
            <w:vAlign w:val="center"/>
          </w:tcPr>
          <w:p>
            <w:pPr>
              <w:spacing w:line="276" w:lineRule="auto"/>
              <w:jc w:val="left"/>
            </w:pPr>
            <w:r/>
            <w:r>
              <w:rPr>
                <w:rFonts w:ascii="Times New Roman" w:hAnsi="Times New Roman"/>
                <w:sz w:val="22"/>
              </w:rPr>
              <w:t>Chanticleer, Vappingo</w:t>
            </w:r>
          </w:p>
        </w:tc>
      </w:tr>
    </w:tbl>
    <w:p/>
    <w:p>
      <w:pPr>
        <w:keepNext/>
        <w:spacing w:before="160" w:after="80"/>
        <w:jc w:val="left"/>
      </w:pPr>
      <w:r>
        <w:rPr>
          <w:rFonts w:ascii="Times New Roman" w:hAnsi="Times New Roman"/>
          <w:b/>
          <w:sz w:val="24"/>
        </w:rPr>
        <w:t>2.3. Realistinė augimo prognozė</w:t>
      </w:r>
    </w:p>
    <w:tbl>
      <w:tblPr>
        <w:tblStyle w:val="LightGrid-Accent1"/>
        <w:tblW w:type="auto" w:w="0"/>
        <w:jc w:val="center"/>
        <w:tblLayout w:type="autofit"/>
        <w:tblLook w:firstColumn="1" w:firstRow="1" w:lastColumn="0" w:lastRow="0" w:noHBand="0" w:noVBand="1" w:val="04A0"/>
      </w:tblPr>
      <w:tblGrid>
        <w:gridCol w:w="2422"/>
        <w:gridCol w:w="2422"/>
        <w:gridCol w:w="2422"/>
        <w:gridCol w:w="2422"/>
      </w:tblGrid>
      <w:tr>
        <w:tc>
          <w:tcPr>
            <w:tcW w:type="dxa" w:w="1984"/>
            <w:vAlign w:val="center"/>
          </w:tcPr>
          <w:p>
            <w:pPr>
              <w:jc w:val="center"/>
            </w:pPr>
            <w:r/>
            <w:r>
              <w:rPr>
                <w:rFonts w:ascii="Times New Roman" w:hAnsi="Times New Roman"/>
                <w:b/>
                <w:sz w:val="22"/>
              </w:rPr>
              <w:t>Laiko tarpas</w:t>
            </w:r>
          </w:p>
        </w:tc>
        <w:tc>
          <w:tcPr>
            <w:tcW w:type="dxa" w:w="1984"/>
            <w:vAlign w:val="center"/>
          </w:tcPr>
          <w:p>
            <w:pPr>
              <w:jc w:val="center"/>
            </w:pPr>
            <w:r/>
            <w:r>
              <w:rPr>
                <w:rFonts w:ascii="Times New Roman" w:hAnsi="Times New Roman"/>
                <w:b/>
                <w:sz w:val="22"/>
              </w:rPr>
              <w:t>Konservatyvi</w:t>
            </w:r>
          </w:p>
        </w:tc>
        <w:tc>
          <w:tcPr>
            <w:tcW w:type="dxa" w:w="1984"/>
            <w:vAlign w:val="center"/>
          </w:tcPr>
          <w:p>
            <w:pPr>
              <w:jc w:val="center"/>
            </w:pPr>
            <w:r/>
            <w:r>
              <w:rPr>
                <w:rFonts w:ascii="Times New Roman" w:hAnsi="Times New Roman"/>
                <w:b/>
                <w:sz w:val="22"/>
              </w:rPr>
              <w:t>Tikėtina</w:t>
            </w:r>
          </w:p>
        </w:tc>
        <w:tc>
          <w:tcPr>
            <w:tcW w:type="dxa" w:w="1984"/>
            <w:vAlign w:val="center"/>
          </w:tcPr>
          <w:p>
            <w:pPr>
              <w:jc w:val="center"/>
            </w:pPr>
            <w:r/>
            <w:r>
              <w:rPr>
                <w:rFonts w:ascii="Times New Roman" w:hAnsi="Times New Roman"/>
                <w:b/>
                <w:sz w:val="22"/>
              </w:rPr>
              <w:t>Optimisti­nė</w:t>
            </w:r>
          </w:p>
        </w:tc>
      </w:tr>
      <w:tr>
        <w:tc>
          <w:tcPr>
            <w:tcW w:type="dxa" w:w="1984"/>
            <w:vAlign w:val="center"/>
          </w:tcPr>
          <w:p>
            <w:pPr>
              <w:spacing w:line="276" w:lineRule="auto"/>
              <w:jc w:val="left"/>
            </w:pPr>
            <w:r/>
            <w:r>
              <w:rPr>
                <w:rFonts w:ascii="Times New Roman" w:hAnsi="Times New Roman"/>
                <w:sz w:val="22"/>
              </w:rPr>
              <w:t>Po 1 mėn.</w:t>
            </w:r>
          </w:p>
        </w:tc>
        <w:tc>
          <w:tcPr>
            <w:tcW w:type="dxa" w:w="1984"/>
            <w:vAlign w:val="center"/>
          </w:tcPr>
          <w:p>
            <w:pPr>
              <w:spacing w:line="276" w:lineRule="auto"/>
              <w:jc w:val="left"/>
            </w:pPr>
            <w:r/>
            <w:r>
              <w:rPr>
                <w:rFonts w:ascii="Times New Roman" w:hAnsi="Times New Roman"/>
                <w:sz w:val="22"/>
              </w:rPr>
              <w:t>20</w:t>
            </w:r>
          </w:p>
        </w:tc>
        <w:tc>
          <w:tcPr>
            <w:tcW w:type="dxa" w:w="1984"/>
            <w:vAlign w:val="center"/>
          </w:tcPr>
          <w:p>
            <w:pPr>
              <w:spacing w:line="276" w:lineRule="auto"/>
              <w:jc w:val="left"/>
            </w:pPr>
            <w:r/>
            <w:r>
              <w:rPr>
                <w:rFonts w:ascii="Times New Roman" w:hAnsi="Times New Roman"/>
                <w:sz w:val="22"/>
              </w:rPr>
              <w:t>40</w:t>
            </w:r>
          </w:p>
        </w:tc>
        <w:tc>
          <w:tcPr>
            <w:tcW w:type="dxa" w:w="1984"/>
            <w:vAlign w:val="center"/>
          </w:tcPr>
          <w:p>
            <w:pPr>
              <w:spacing w:line="276" w:lineRule="auto"/>
              <w:jc w:val="left"/>
            </w:pPr>
            <w:r/>
            <w:r>
              <w:rPr>
                <w:rFonts w:ascii="Times New Roman" w:hAnsi="Times New Roman"/>
                <w:sz w:val="22"/>
              </w:rPr>
              <w:t>70</w:t>
            </w:r>
          </w:p>
        </w:tc>
      </w:tr>
      <w:tr>
        <w:tc>
          <w:tcPr>
            <w:tcW w:type="dxa" w:w="1984"/>
            <w:vAlign w:val="center"/>
          </w:tcPr>
          <w:p>
            <w:pPr>
              <w:spacing w:line="276" w:lineRule="auto"/>
              <w:jc w:val="left"/>
            </w:pPr>
            <w:r/>
            <w:r>
              <w:rPr>
                <w:rFonts w:ascii="Times New Roman" w:hAnsi="Times New Roman"/>
                <w:sz w:val="22"/>
              </w:rPr>
              <w:t>Po 3 mėn.</w:t>
            </w:r>
          </w:p>
        </w:tc>
        <w:tc>
          <w:tcPr>
            <w:tcW w:type="dxa" w:w="1984"/>
            <w:vAlign w:val="center"/>
          </w:tcPr>
          <w:p>
            <w:pPr>
              <w:spacing w:line="276" w:lineRule="auto"/>
              <w:jc w:val="left"/>
            </w:pPr>
            <w:r/>
            <w:r>
              <w:rPr>
                <w:rFonts w:ascii="Times New Roman" w:hAnsi="Times New Roman"/>
                <w:sz w:val="22"/>
              </w:rPr>
              <w:t>50</w:t>
            </w:r>
          </w:p>
        </w:tc>
        <w:tc>
          <w:tcPr>
            <w:tcW w:type="dxa" w:w="1984"/>
            <w:vAlign w:val="center"/>
          </w:tcPr>
          <w:p>
            <w:pPr>
              <w:spacing w:line="276" w:lineRule="auto"/>
              <w:jc w:val="left"/>
            </w:pPr>
            <w:r/>
            <w:r>
              <w:rPr>
                <w:rFonts w:ascii="Times New Roman" w:hAnsi="Times New Roman"/>
                <w:sz w:val="22"/>
              </w:rPr>
              <w:t>100</w:t>
            </w:r>
          </w:p>
        </w:tc>
        <w:tc>
          <w:tcPr>
            <w:tcW w:type="dxa" w:w="1984"/>
            <w:vAlign w:val="center"/>
          </w:tcPr>
          <w:p>
            <w:pPr>
              <w:spacing w:line="276" w:lineRule="auto"/>
              <w:jc w:val="left"/>
            </w:pPr>
            <w:r/>
            <w:r>
              <w:rPr>
                <w:rFonts w:ascii="Times New Roman" w:hAnsi="Times New Roman"/>
                <w:sz w:val="22"/>
              </w:rPr>
              <w:t>180</w:t>
            </w:r>
          </w:p>
        </w:tc>
      </w:tr>
      <w:tr>
        <w:tc>
          <w:tcPr>
            <w:tcW w:type="dxa" w:w="1984"/>
            <w:vAlign w:val="center"/>
          </w:tcPr>
          <w:p>
            <w:pPr>
              <w:spacing w:line="276" w:lineRule="auto"/>
              <w:jc w:val="left"/>
            </w:pPr>
            <w:r/>
            <w:r>
              <w:rPr>
                <w:rFonts w:ascii="Times New Roman" w:hAnsi="Times New Roman"/>
                <w:sz w:val="22"/>
              </w:rPr>
              <w:t>Po 6 mėn.</w:t>
            </w:r>
          </w:p>
        </w:tc>
        <w:tc>
          <w:tcPr>
            <w:tcW w:type="dxa" w:w="1984"/>
            <w:vAlign w:val="center"/>
          </w:tcPr>
          <w:p>
            <w:pPr>
              <w:spacing w:line="276" w:lineRule="auto"/>
              <w:jc w:val="left"/>
            </w:pPr>
            <w:r/>
            <w:r>
              <w:rPr>
                <w:rFonts w:ascii="Times New Roman" w:hAnsi="Times New Roman"/>
                <w:sz w:val="22"/>
              </w:rPr>
              <w:t>120</w:t>
            </w:r>
          </w:p>
        </w:tc>
        <w:tc>
          <w:tcPr>
            <w:tcW w:type="dxa" w:w="1984"/>
            <w:vAlign w:val="center"/>
          </w:tcPr>
          <w:p>
            <w:pPr>
              <w:spacing w:line="276" w:lineRule="auto"/>
              <w:jc w:val="left"/>
            </w:pPr>
            <w:r/>
            <w:r>
              <w:rPr>
                <w:rFonts w:ascii="Times New Roman" w:hAnsi="Times New Roman"/>
                <w:sz w:val="22"/>
              </w:rPr>
              <w:t>250</w:t>
            </w:r>
          </w:p>
        </w:tc>
        <w:tc>
          <w:tcPr>
            <w:tcW w:type="dxa" w:w="1984"/>
            <w:vAlign w:val="center"/>
          </w:tcPr>
          <w:p>
            <w:pPr>
              <w:spacing w:line="276" w:lineRule="auto"/>
              <w:jc w:val="left"/>
            </w:pPr>
            <w:r/>
            <w:r>
              <w:rPr>
                <w:rFonts w:ascii="Times New Roman" w:hAnsi="Times New Roman"/>
                <w:sz w:val="22"/>
              </w:rPr>
              <w:t>400</w:t>
            </w:r>
          </w:p>
        </w:tc>
      </w:tr>
      <w:tr>
        <w:tc>
          <w:tcPr>
            <w:tcW w:type="dxa" w:w="1984"/>
            <w:vAlign w:val="center"/>
          </w:tcPr>
          <w:p>
            <w:pPr>
              <w:spacing w:line="276" w:lineRule="auto"/>
              <w:jc w:val="left"/>
            </w:pPr>
            <w:r/>
            <w:r>
              <w:rPr>
                <w:rFonts w:ascii="Times New Roman" w:hAnsi="Times New Roman"/>
                <w:sz w:val="22"/>
              </w:rPr>
              <w:t>Po 12 mėn.</w:t>
            </w:r>
          </w:p>
        </w:tc>
        <w:tc>
          <w:tcPr>
            <w:tcW w:type="dxa" w:w="1984"/>
            <w:vAlign w:val="center"/>
          </w:tcPr>
          <w:p>
            <w:pPr>
              <w:spacing w:line="276" w:lineRule="auto"/>
              <w:jc w:val="left"/>
            </w:pPr>
            <w:r/>
            <w:r>
              <w:rPr>
                <w:rFonts w:ascii="Times New Roman" w:hAnsi="Times New Roman"/>
                <w:sz w:val="22"/>
              </w:rPr>
              <w:t>250</w:t>
            </w:r>
          </w:p>
        </w:tc>
        <w:tc>
          <w:tcPr>
            <w:tcW w:type="dxa" w:w="1984"/>
            <w:vAlign w:val="center"/>
          </w:tcPr>
          <w:p>
            <w:pPr>
              <w:spacing w:line="276" w:lineRule="auto"/>
              <w:jc w:val="left"/>
            </w:pPr>
            <w:r/>
            <w:r>
              <w:rPr>
                <w:rFonts w:ascii="Times New Roman" w:hAnsi="Times New Roman"/>
                <w:sz w:val="22"/>
              </w:rPr>
              <w:t>500</w:t>
            </w:r>
          </w:p>
        </w:tc>
        <w:tc>
          <w:tcPr>
            <w:tcW w:type="dxa" w:w="1984"/>
            <w:vAlign w:val="center"/>
          </w:tcPr>
          <w:p>
            <w:pPr>
              <w:spacing w:line="276" w:lineRule="auto"/>
              <w:jc w:val="left"/>
            </w:pPr>
            <w:r/>
            <w:r>
              <w:rPr>
                <w:rFonts w:ascii="Times New Roman" w:hAnsi="Times New Roman"/>
                <w:sz w:val="22"/>
              </w:rPr>
              <w:t>900</w:t>
            </w:r>
          </w:p>
        </w:tc>
      </w:tr>
    </w:tbl>
    <w:p/>
    <w:p>
      <w:pPr>
        <w:spacing w:line="360" w:lineRule="auto" w:after="120"/>
        <w:ind w:firstLine="567"/>
        <w:jc w:val="both"/>
      </w:pPr>
      <w:r>
        <w:rPr>
          <w:rFonts w:ascii="Times New Roman" w:hAnsi="Times New Roman"/>
          <w:b w:val="0"/>
          <w:i w:val="0"/>
          <w:sz w:val="24"/>
        </w:rPr>
        <w:t>Lyginimas su realiu atveju: indie autoriaus Richie Billing case study (StoryOrigin) rodo identišką augimo trajektoriją — nuo 0 iki 100+ per pirmus 6–8 mėn. ir 400–500 per metus, naudojant tik reader magnet ir newsletter swap'us. „Tikėtinas" scenarijus nėra optimistinis — jis pasikartojantis.</w:t>
      </w:r>
    </w:p>
    <w:p>
      <w:pPr>
        <w:keepNext/>
        <w:spacing w:before="160" w:after="80"/>
        <w:jc w:val="left"/>
      </w:pPr>
      <w:r>
        <w:rPr>
          <w:rFonts w:ascii="Times New Roman" w:hAnsi="Times New Roman"/>
          <w:b/>
          <w:sz w:val="24"/>
        </w:rPr>
        <w:t>2.4. Kaštai (laiko + pinigų)</w:t>
      </w:r>
    </w:p>
    <w:p>
      <w:pPr>
        <w:spacing w:line="360" w:lineRule="auto" w:after="120"/>
        <w:ind w:firstLine="567"/>
        <w:jc w:val="both"/>
      </w:pPr>
      <w:r>
        <w:rPr>
          <w:rFonts w:ascii="Times New Roman" w:hAnsi="Times New Roman"/>
          <w:b w:val="0"/>
          <w:i w:val="0"/>
          <w:sz w:val="24"/>
        </w:rPr>
        <w:t>Pradinis nustatymas — apie 6,5–7 val. (vienas savaitgalis). Tęstinė rutina — apie 55–60 min. per savaitę. Piniginiai kaštai pirmus 6–9 mėn. — 0 € (MailerLite nemokama versija iki 500 prenum.; Substack visiškai nemokama). Mokamas planas (~10 €/mėn.) reikalingas tik tada, kai prenumeratorių skaičius artėja prie 500.</w:t>
      </w:r>
    </w:p>
    <w:p>
      <w:pPr>
        <w:keepNext/>
        <w:spacing w:before="160" w:after="80"/>
        <w:jc w:val="left"/>
      </w:pPr>
      <w:r>
        <w:rPr>
          <w:rFonts w:ascii="Times New Roman" w:hAnsi="Times New Roman"/>
          <w:b/>
          <w:sz w:val="24"/>
        </w:rPr>
        <w:t>2.5. Trys didžiausios kliūtys</w:t>
      </w:r>
    </w:p>
    <w:p>
      <w:pPr>
        <w:spacing w:line="276" w:lineRule="auto" w:after="60"/>
        <w:ind w:left="567" w:hanging="425"/>
        <w:jc w:val="both"/>
      </w:pPr>
      <w:r>
        <w:rPr>
          <w:rFonts w:ascii="Times New Roman" w:hAnsi="Times New Roman"/>
          <w:b/>
          <w:sz w:val="24"/>
        </w:rPr>
        <w:t xml:space="preserve">1.  </w:t>
      </w:r>
      <w:r>
        <w:rPr>
          <w:rFonts w:ascii="Times New Roman" w:hAnsi="Times New Roman"/>
          <w:b/>
          <w:sz w:val="24"/>
        </w:rPr>
        <w:t xml:space="preserve">Kliūtis A — kanalo įėjimo nėra. </w:t>
      </w:r>
      <w:r>
        <w:rPr>
          <w:rFonts w:ascii="Times New Roman" w:hAnsi="Times New Roman"/>
          <w:sz w:val="24"/>
        </w:rPr>
        <w:t>visoje svetainėje neegzistuoja jokia subscribe forma. Vienos eilutės techninis sprendimas (WordPress plugin'as), bet šiandien jis kainuoja kiekvieną svetainės lankytoją.</w:t>
      </w:r>
    </w:p>
    <w:p>
      <w:pPr>
        <w:spacing w:line="276" w:lineRule="auto" w:after="60"/>
        <w:ind w:left="567" w:hanging="425"/>
        <w:jc w:val="both"/>
      </w:pPr>
      <w:r>
        <w:rPr>
          <w:rFonts w:ascii="Times New Roman" w:hAnsi="Times New Roman"/>
          <w:b/>
          <w:sz w:val="24"/>
        </w:rPr>
        <w:t xml:space="preserve">2.  </w:t>
      </w:r>
      <w:r>
        <w:rPr>
          <w:rFonts w:ascii="Times New Roman" w:hAnsi="Times New Roman"/>
          <w:b/>
          <w:sz w:val="24"/>
        </w:rPr>
        <w:t xml:space="preserve">Kliūtis B — nėra aiškaus skaitytojo pažado. </w:t>
      </w:r>
      <w:r>
        <w:rPr>
          <w:rFonts w:ascii="Times New Roman" w:hAnsi="Times New Roman"/>
          <w:sz w:val="24"/>
        </w:rPr>
        <w:t>Elzė turi stiprią kūrybinę istoriją, bet neturi „skaitymo priežasties grįžti". Newsletter yra reguliaraus santykio kanalas; jam reikia paprasto pažado.</w:t>
      </w:r>
    </w:p>
    <w:p>
      <w:pPr>
        <w:spacing w:line="276" w:lineRule="auto" w:after="60"/>
        <w:ind w:left="567" w:hanging="425"/>
        <w:jc w:val="both"/>
      </w:pPr>
      <w:r>
        <w:rPr>
          <w:rFonts w:ascii="Times New Roman" w:hAnsi="Times New Roman"/>
          <w:b/>
          <w:sz w:val="24"/>
        </w:rPr>
        <w:t xml:space="preserve">3.  </w:t>
      </w:r>
      <w:r>
        <w:rPr>
          <w:rFonts w:ascii="Times New Roman" w:hAnsi="Times New Roman"/>
          <w:b/>
          <w:sz w:val="24"/>
        </w:rPr>
        <w:t xml:space="preserve">Kliūtis C — pirminio pasitikėjimo signalų trūkumas. </w:t>
      </w:r>
      <w:r>
        <w:rPr>
          <w:rFonts w:ascii="Times New Roman" w:hAnsi="Times New Roman"/>
          <w:sz w:val="24"/>
        </w:rPr>
        <w:t>placeholder kontaktinis el. paštas mažina pasitikėjimą. Real kontaktas — paprastas, bet būtinas profesionalumo signalas.</w:t>
      </w:r>
    </w:p>
    <w:p>
      <w:pPr>
        <w:keepNext/>
        <w:spacing w:before="240" w:after="120"/>
        <w:jc w:val="left"/>
      </w:pPr>
      <w:r>
        <w:rPr>
          <w:rFonts w:ascii="Times New Roman" w:hAnsi="Times New Roman"/>
          <w:b/>
          <w:sz w:val="26"/>
        </w:rPr>
        <w:t>3. Trys pasiūlymai (IMPROVE)</w:t>
      </w:r>
    </w:p>
    <w:p>
      <w:pPr>
        <w:keepNext/>
        <w:spacing w:before="160" w:after="80"/>
        <w:jc w:val="left"/>
      </w:pPr>
      <w:r>
        <w:rPr>
          <w:rFonts w:ascii="Times New Roman" w:hAnsi="Times New Roman"/>
          <w:b/>
          <w:sz w:val="24"/>
        </w:rPr>
        <w:t>3.1. Pasiūlymas Nr. 1 — Trumpas (1 mėn.): „Kanalo įjungimas"</w:t>
      </w:r>
    </w:p>
    <w:p>
      <w:pPr>
        <w:spacing w:line="360" w:lineRule="auto" w:after="120"/>
        <w:ind w:firstLine="567"/>
        <w:jc w:val="both"/>
      </w:pPr>
      <w:r>
        <w:rPr>
          <w:rFonts w:ascii="Times New Roman" w:hAnsi="Times New Roman"/>
          <w:b w:val="0"/>
          <w:i w:val="0"/>
          <w:sz w:val="24"/>
        </w:rPr>
        <w:t>Tikslas: per 4 savaites Elzės svetainėje atsiranda veikianti subscribe forma; pasirašiusieji gauna 3 laiškų welcome seką su nemokama knygos ištrauka; iki mėnesio pabaigos prenumeratorių skaičius — 30–70.</w:t>
      </w:r>
    </w:p>
    <w:tbl>
      <w:tblPr>
        <w:tblStyle w:val="LightGrid-Accent1"/>
        <w:tblW w:type="auto" w:w="0"/>
        <w:jc w:val="center"/>
        <w:tblLayout w:type="autofit"/>
        <w:tblLook w:firstColumn="1" w:firstRow="1" w:lastColumn="0" w:lastRow="0" w:noHBand="0" w:noVBand="1" w:val="04A0"/>
      </w:tblPr>
      <w:tblGrid>
        <w:gridCol w:w="3230"/>
        <w:gridCol w:w="3230"/>
        <w:gridCol w:w="3230"/>
      </w:tblGrid>
      <w:tr>
        <w:tc>
          <w:tcPr>
            <w:tcW w:type="dxa" w:w="850"/>
            <w:vAlign w:val="center"/>
          </w:tcPr>
          <w:p>
            <w:pPr>
              <w:jc w:val="center"/>
            </w:pPr>
            <w:r/>
            <w:r>
              <w:rPr>
                <w:rFonts w:ascii="Times New Roman" w:hAnsi="Times New Roman"/>
                <w:b/>
                <w:sz w:val="22"/>
              </w:rPr>
              <w:t>Sav.</w:t>
            </w:r>
          </w:p>
        </w:tc>
        <w:tc>
          <w:tcPr>
            <w:tcW w:type="dxa" w:w="6236"/>
            <w:vAlign w:val="center"/>
          </w:tcPr>
          <w:p>
            <w:pPr>
              <w:jc w:val="center"/>
            </w:pPr>
            <w:r/>
            <w:r>
              <w:rPr>
                <w:rFonts w:ascii="Times New Roman" w:hAnsi="Times New Roman"/>
                <w:b/>
                <w:sz w:val="22"/>
              </w:rPr>
              <w:t>Užduotis</w:t>
            </w:r>
          </w:p>
        </w:tc>
        <w:tc>
          <w:tcPr>
            <w:tcW w:type="dxa" w:w="1984"/>
            <w:vAlign w:val="center"/>
          </w:tcPr>
          <w:p>
            <w:pPr>
              <w:jc w:val="center"/>
            </w:pPr>
            <w:r/>
            <w:r>
              <w:rPr>
                <w:rFonts w:ascii="Times New Roman" w:hAnsi="Times New Roman"/>
                <w:b/>
                <w:sz w:val="22"/>
              </w:rPr>
              <w:t>Laikas</w:t>
            </w:r>
          </w:p>
        </w:tc>
      </w:tr>
      <w:tr>
        <w:tc>
          <w:tcPr>
            <w:tcW w:type="dxa" w:w="850"/>
            <w:vAlign w:val="center"/>
          </w:tcPr>
          <w:p>
            <w:pPr>
              <w:spacing w:line="276" w:lineRule="auto"/>
              <w:jc w:val="left"/>
            </w:pPr>
            <w:r/>
            <w:r>
              <w:rPr>
                <w:rFonts w:ascii="Times New Roman" w:hAnsi="Times New Roman"/>
                <w:sz w:val="22"/>
              </w:rPr>
              <w:t>1</w:t>
            </w:r>
          </w:p>
        </w:tc>
        <w:tc>
          <w:tcPr>
            <w:tcW w:type="dxa" w:w="6236"/>
            <w:vAlign w:val="center"/>
          </w:tcPr>
          <w:p>
            <w:pPr>
              <w:spacing w:line="276" w:lineRule="auto"/>
              <w:jc w:val="left"/>
            </w:pPr>
            <w:r/>
            <w:r>
              <w:rPr>
                <w:rFonts w:ascii="Times New Roman" w:hAnsi="Times New Roman"/>
                <w:sz w:val="22"/>
              </w:rPr>
              <w:t>MailerLite paskyra + sąrašas + DKIM/SPF</w:t>
            </w:r>
          </w:p>
        </w:tc>
        <w:tc>
          <w:tcPr>
            <w:tcW w:type="dxa" w:w="1984"/>
            <w:vAlign w:val="center"/>
          </w:tcPr>
          <w:p>
            <w:pPr>
              <w:spacing w:line="276" w:lineRule="auto"/>
              <w:jc w:val="left"/>
            </w:pPr>
            <w:r/>
            <w:r>
              <w:rPr>
                <w:rFonts w:ascii="Times New Roman" w:hAnsi="Times New Roman"/>
                <w:sz w:val="22"/>
              </w:rPr>
              <w:t>~1,5 val.</w:t>
            </w:r>
          </w:p>
        </w:tc>
      </w:tr>
      <w:tr>
        <w:tc>
          <w:tcPr>
            <w:tcW w:type="dxa" w:w="850"/>
            <w:vAlign w:val="center"/>
          </w:tcPr>
          <w:p>
            <w:pPr>
              <w:spacing w:line="276" w:lineRule="auto"/>
              <w:jc w:val="left"/>
            </w:pPr>
            <w:r/>
            <w:r>
              <w:rPr>
                <w:rFonts w:ascii="Times New Roman" w:hAnsi="Times New Roman"/>
                <w:sz w:val="22"/>
              </w:rPr>
              <w:t>1</w:t>
            </w:r>
          </w:p>
        </w:tc>
        <w:tc>
          <w:tcPr>
            <w:tcW w:type="dxa" w:w="6236"/>
            <w:vAlign w:val="center"/>
          </w:tcPr>
          <w:p>
            <w:pPr>
              <w:spacing w:line="276" w:lineRule="auto"/>
              <w:jc w:val="left"/>
            </w:pPr>
            <w:r/>
            <w:r>
              <w:rPr>
                <w:rFonts w:ascii="Times New Roman" w:hAnsi="Times New Roman"/>
                <w:sz w:val="22"/>
              </w:rPr>
              <w:t>Lead magnet PDF (1-as skyrius)</w:t>
            </w:r>
          </w:p>
        </w:tc>
        <w:tc>
          <w:tcPr>
            <w:tcW w:type="dxa" w:w="1984"/>
            <w:vAlign w:val="center"/>
          </w:tcPr>
          <w:p>
            <w:pPr>
              <w:spacing w:line="276" w:lineRule="auto"/>
              <w:jc w:val="left"/>
            </w:pPr>
            <w:r/>
            <w:r>
              <w:rPr>
                <w:rFonts w:ascii="Times New Roman" w:hAnsi="Times New Roman"/>
                <w:sz w:val="22"/>
              </w:rPr>
              <w:t>~2 val.</w:t>
            </w:r>
          </w:p>
        </w:tc>
      </w:tr>
      <w:tr>
        <w:tc>
          <w:tcPr>
            <w:tcW w:type="dxa" w:w="850"/>
            <w:vAlign w:val="center"/>
          </w:tcPr>
          <w:p>
            <w:pPr>
              <w:spacing w:line="276" w:lineRule="auto"/>
              <w:jc w:val="left"/>
            </w:pPr>
            <w:r/>
            <w:r>
              <w:rPr>
                <w:rFonts w:ascii="Times New Roman" w:hAnsi="Times New Roman"/>
                <w:sz w:val="22"/>
              </w:rPr>
              <w:t>2</w:t>
            </w:r>
          </w:p>
        </w:tc>
        <w:tc>
          <w:tcPr>
            <w:tcW w:type="dxa" w:w="6236"/>
            <w:vAlign w:val="center"/>
          </w:tcPr>
          <w:p>
            <w:pPr>
              <w:spacing w:line="276" w:lineRule="auto"/>
              <w:jc w:val="left"/>
            </w:pPr>
            <w:r/>
            <w:r>
              <w:rPr>
                <w:rFonts w:ascii="Times New Roman" w:hAnsi="Times New Roman"/>
                <w:sz w:val="22"/>
              </w:rPr>
              <w:t>Subscribe forma 3 vietose svetainėje</w:t>
            </w:r>
          </w:p>
        </w:tc>
        <w:tc>
          <w:tcPr>
            <w:tcW w:type="dxa" w:w="1984"/>
            <w:vAlign w:val="center"/>
          </w:tcPr>
          <w:p>
            <w:pPr>
              <w:spacing w:line="276" w:lineRule="auto"/>
              <w:jc w:val="left"/>
            </w:pPr>
            <w:r/>
            <w:r>
              <w:rPr>
                <w:rFonts w:ascii="Times New Roman" w:hAnsi="Times New Roman"/>
                <w:sz w:val="22"/>
              </w:rPr>
              <w:t>~1 val.</w:t>
            </w:r>
          </w:p>
        </w:tc>
      </w:tr>
      <w:tr>
        <w:tc>
          <w:tcPr>
            <w:tcW w:type="dxa" w:w="850"/>
            <w:vAlign w:val="center"/>
          </w:tcPr>
          <w:p>
            <w:pPr>
              <w:spacing w:line="276" w:lineRule="auto"/>
              <w:jc w:val="left"/>
            </w:pPr>
            <w:r/>
            <w:r>
              <w:rPr>
                <w:rFonts w:ascii="Times New Roman" w:hAnsi="Times New Roman"/>
                <w:sz w:val="22"/>
              </w:rPr>
              <w:t>2</w:t>
            </w:r>
          </w:p>
        </w:tc>
        <w:tc>
          <w:tcPr>
            <w:tcW w:type="dxa" w:w="6236"/>
            <w:vAlign w:val="center"/>
          </w:tcPr>
          <w:p>
            <w:pPr>
              <w:spacing w:line="276" w:lineRule="auto"/>
              <w:jc w:val="left"/>
            </w:pPr>
            <w:r/>
            <w:r>
              <w:rPr>
                <w:rFonts w:ascii="Times New Roman" w:hAnsi="Times New Roman"/>
                <w:sz w:val="22"/>
              </w:rPr>
              <w:t>3 welcome laiškų automation (iš starter pack)</w:t>
            </w:r>
          </w:p>
        </w:tc>
        <w:tc>
          <w:tcPr>
            <w:tcW w:type="dxa" w:w="1984"/>
            <w:vAlign w:val="center"/>
          </w:tcPr>
          <w:p>
            <w:pPr>
              <w:spacing w:line="276" w:lineRule="auto"/>
              <w:jc w:val="left"/>
            </w:pPr>
            <w:r/>
            <w:r>
              <w:rPr>
                <w:rFonts w:ascii="Times New Roman" w:hAnsi="Times New Roman"/>
                <w:sz w:val="22"/>
              </w:rPr>
              <w:t>~1 val.</w:t>
            </w:r>
          </w:p>
        </w:tc>
      </w:tr>
      <w:tr>
        <w:tc>
          <w:tcPr>
            <w:tcW w:type="dxa" w:w="850"/>
            <w:vAlign w:val="center"/>
          </w:tcPr>
          <w:p>
            <w:pPr>
              <w:spacing w:line="276" w:lineRule="auto"/>
              <w:jc w:val="left"/>
            </w:pPr>
            <w:r/>
            <w:r>
              <w:rPr>
                <w:rFonts w:ascii="Times New Roman" w:hAnsi="Times New Roman"/>
                <w:sz w:val="22"/>
              </w:rPr>
              <w:t>3</w:t>
            </w:r>
          </w:p>
        </w:tc>
        <w:tc>
          <w:tcPr>
            <w:tcW w:type="dxa" w:w="6236"/>
            <w:vAlign w:val="center"/>
          </w:tcPr>
          <w:p>
            <w:pPr>
              <w:spacing w:line="276" w:lineRule="auto"/>
              <w:jc w:val="left"/>
            </w:pPr>
            <w:r/>
            <w:r>
              <w:rPr>
                <w:rFonts w:ascii="Times New Roman" w:hAnsi="Times New Roman"/>
                <w:sz w:val="22"/>
              </w:rPr>
              <w:t>Realus el. paštas autore@elzesknygos.lt</w:t>
            </w:r>
          </w:p>
        </w:tc>
        <w:tc>
          <w:tcPr>
            <w:tcW w:type="dxa" w:w="1984"/>
            <w:vAlign w:val="center"/>
          </w:tcPr>
          <w:p>
            <w:pPr>
              <w:spacing w:line="276" w:lineRule="auto"/>
              <w:jc w:val="left"/>
            </w:pPr>
            <w:r/>
            <w:r>
              <w:rPr>
                <w:rFonts w:ascii="Times New Roman" w:hAnsi="Times New Roman"/>
                <w:sz w:val="22"/>
              </w:rPr>
              <w:t>~30 min.</w:t>
            </w:r>
          </w:p>
        </w:tc>
      </w:tr>
      <w:tr>
        <w:tc>
          <w:tcPr>
            <w:tcW w:type="dxa" w:w="850"/>
            <w:vAlign w:val="center"/>
          </w:tcPr>
          <w:p>
            <w:pPr>
              <w:spacing w:line="276" w:lineRule="auto"/>
              <w:jc w:val="left"/>
            </w:pPr>
            <w:r/>
            <w:r>
              <w:rPr>
                <w:rFonts w:ascii="Times New Roman" w:hAnsi="Times New Roman"/>
                <w:sz w:val="22"/>
              </w:rPr>
              <w:t>3</w:t>
            </w:r>
          </w:p>
        </w:tc>
        <w:tc>
          <w:tcPr>
            <w:tcW w:type="dxa" w:w="6236"/>
            <w:vAlign w:val="center"/>
          </w:tcPr>
          <w:p>
            <w:pPr>
              <w:spacing w:line="276" w:lineRule="auto"/>
              <w:jc w:val="left"/>
            </w:pPr>
            <w:r/>
            <w:r>
              <w:rPr>
                <w:rFonts w:ascii="Times New Roman" w:hAnsi="Times New Roman"/>
                <w:sz w:val="22"/>
              </w:rPr>
              <w:t>Instagram bio CTA atnaujinimas</w:t>
            </w:r>
          </w:p>
        </w:tc>
        <w:tc>
          <w:tcPr>
            <w:tcW w:type="dxa" w:w="1984"/>
            <w:vAlign w:val="center"/>
          </w:tcPr>
          <w:p>
            <w:pPr>
              <w:spacing w:line="276" w:lineRule="auto"/>
              <w:jc w:val="left"/>
            </w:pPr>
            <w:r/>
            <w:r>
              <w:rPr>
                <w:rFonts w:ascii="Times New Roman" w:hAnsi="Times New Roman"/>
                <w:sz w:val="22"/>
              </w:rPr>
              <w:t>~15 min.</w:t>
            </w:r>
          </w:p>
        </w:tc>
      </w:tr>
      <w:tr>
        <w:tc>
          <w:tcPr>
            <w:tcW w:type="dxa" w:w="850"/>
            <w:vAlign w:val="center"/>
          </w:tcPr>
          <w:p>
            <w:pPr>
              <w:spacing w:line="276" w:lineRule="auto"/>
              <w:jc w:val="left"/>
            </w:pPr>
            <w:r/>
            <w:r>
              <w:rPr>
                <w:rFonts w:ascii="Times New Roman" w:hAnsi="Times New Roman"/>
                <w:sz w:val="22"/>
              </w:rPr>
              <w:t>4</w:t>
            </w:r>
          </w:p>
        </w:tc>
        <w:tc>
          <w:tcPr>
            <w:tcW w:type="dxa" w:w="6236"/>
            <w:vAlign w:val="center"/>
          </w:tcPr>
          <w:p>
            <w:pPr>
              <w:spacing w:line="276" w:lineRule="auto"/>
              <w:jc w:val="left"/>
            </w:pPr>
            <w:r/>
            <w:r>
              <w:rPr>
                <w:rFonts w:ascii="Times New Roman" w:hAnsi="Times New Roman"/>
                <w:sz w:val="22"/>
              </w:rPr>
              <w:t>3 IG įrašai apie newsletter</w:t>
            </w:r>
          </w:p>
        </w:tc>
        <w:tc>
          <w:tcPr>
            <w:tcW w:type="dxa" w:w="1984"/>
            <w:vAlign w:val="center"/>
          </w:tcPr>
          <w:p>
            <w:pPr>
              <w:spacing w:line="276" w:lineRule="auto"/>
              <w:jc w:val="left"/>
            </w:pPr>
            <w:r/>
            <w:r>
              <w:rPr>
                <w:rFonts w:ascii="Times New Roman" w:hAnsi="Times New Roman"/>
                <w:sz w:val="22"/>
              </w:rPr>
              <w:t>~2 val.</w:t>
            </w:r>
          </w:p>
        </w:tc>
      </w:tr>
      <w:tr>
        <w:tc>
          <w:tcPr>
            <w:tcW w:type="dxa" w:w="850"/>
            <w:vAlign w:val="center"/>
          </w:tcPr>
          <w:p>
            <w:pPr>
              <w:spacing w:line="276" w:lineRule="auto"/>
              <w:jc w:val="left"/>
            </w:pPr>
            <w:r/>
            <w:r>
              <w:rPr>
                <w:rFonts w:ascii="Times New Roman" w:hAnsi="Times New Roman"/>
                <w:sz w:val="22"/>
              </w:rPr>
              <w:t>4</w:t>
            </w:r>
          </w:p>
        </w:tc>
        <w:tc>
          <w:tcPr>
            <w:tcW w:type="dxa" w:w="6236"/>
            <w:vAlign w:val="center"/>
          </w:tcPr>
          <w:p>
            <w:pPr>
              <w:spacing w:line="276" w:lineRule="auto"/>
              <w:jc w:val="left"/>
            </w:pPr>
            <w:r/>
            <w:r>
              <w:rPr>
                <w:rFonts w:ascii="Times New Roman" w:hAnsi="Times New Roman"/>
                <w:sz w:val="22"/>
              </w:rPr>
              <w:t>Asmeniškas pakvietimas 30 žmonėms</w:t>
            </w:r>
          </w:p>
        </w:tc>
        <w:tc>
          <w:tcPr>
            <w:tcW w:type="dxa" w:w="1984"/>
            <w:vAlign w:val="center"/>
          </w:tcPr>
          <w:p>
            <w:pPr>
              <w:spacing w:line="276" w:lineRule="auto"/>
              <w:jc w:val="left"/>
            </w:pPr>
            <w:r/>
            <w:r>
              <w:rPr>
                <w:rFonts w:ascii="Times New Roman" w:hAnsi="Times New Roman"/>
                <w:sz w:val="22"/>
              </w:rPr>
              <w:t>~1,5 val.</w:t>
            </w:r>
          </w:p>
        </w:tc>
      </w:tr>
    </w:tbl>
    <w:p/>
    <w:p>
      <w:pPr>
        <w:spacing w:line="360" w:lineRule="auto" w:after="120"/>
        <w:ind w:firstLine="567"/>
        <w:jc w:val="both"/>
      </w:pPr>
      <w:r>
        <w:rPr>
          <w:rFonts w:ascii="Times New Roman" w:hAnsi="Times New Roman"/>
          <w:b w:val="0"/>
          <w:i w:val="0"/>
          <w:sz w:val="24"/>
        </w:rPr>
        <w:t>Sėkmės kriterijus 1 mėn.: ≥30 prenumeratorių; ≥50 % open rate pirmojo welcome laiško. Kaštai: ~7 val. vienkartiniai + 30 min./sav.; 0 € (galimai 10–20 €/m. domeno paštui).</w:t>
      </w:r>
    </w:p>
    <w:p>
      <w:pPr>
        <w:keepNext/>
        <w:spacing w:before="160" w:after="80"/>
        <w:jc w:val="left"/>
      </w:pPr>
      <w:r>
        <w:rPr>
          <w:rFonts w:ascii="Times New Roman" w:hAnsi="Times New Roman"/>
          <w:b/>
          <w:sz w:val="24"/>
        </w:rPr>
        <w:t>3.2. Pasiūlymas Nr. 2 — Vidutinis (3 mėn.): „Reguliaraus ritmo įsitvirtinimas"</w:t>
      </w:r>
    </w:p>
    <w:p>
      <w:pPr>
        <w:spacing w:line="360" w:lineRule="auto" w:after="120"/>
        <w:ind w:firstLine="567"/>
        <w:jc w:val="both"/>
      </w:pPr>
      <w:r>
        <w:rPr>
          <w:rFonts w:ascii="Times New Roman" w:hAnsi="Times New Roman"/>
          <w:b w:val="0"/>
          <w:i w:val="0"/>
          <w:sz w:val="24"/>
        </w:rPr>
        <w:t>Tikslas: per 2–3 mėnesius newsletter tampa reguliarus, atpažįstamas literatūrinis kanalas. Iki trečio mėn. pabaigos — ≥100 prenumeratorių, ≥4 paskelbti laiškai.</w:t>
      </w:r>
    </w:p>
    <w:p>
      <w:pPr>
        <w:spacing w:line="360" w:lineRule="auto" w:after="120"/>
        <w:ind w:firstLine="567"/>
        <w:jc w:val="both"/>
      </w:pPr>
      <w:r>
        <w:rPr>
          <w:rFonts w:ascii="Times New Roman" w:hAnsi="Times New Roman"/>
          <w:b w:val="0"/>
          <w:i w:val="0"/>
          <w:sz w:val="24"/>
        </w:rPr>
        <w:t>Newsletter formatas — „Iš Elzės dirbtuvių" — keturių blokų struktūra: (1) vienas sakinys iš savaitės; (2) „šią savaitę skaičiau / klausiausi" — autorius, eilėraštis ar albumas; (3) „iš dirbtuvių" — užkulisinis žvilgsnis į rašymo procesą; (4) P. S. — vienas paprastas kvietimas (signavimas, klausimas skaitytojui). Ritmas — vienas laiškas kas 2 savaites, sekmadienio 19:00.</w:t>
      </w:r>
    </w:p>
    <w:p>
      <w:pPr>
        <w:spacing w:line="360" w:lineRule="auto" w:after="120"/>
        <w:ind w:firstLine="567"/>
        <w:jc w:val="both"/>
      </w:pPr>
      <w:r>
        <w:rPr>
          <w:rFonts w:ascii="Times New Roman" w:hAnsi="Times New Roman"/>
          <w:b w:val="0"/>
          <w:i w:val="0"/>
          <w:sz w:val="24"/>
        </w:rPr>
        <w:t>Papildoma veikla: outreach 5–7 BookTok / Goodreads / Instagram knygų bloggeriams Lietuvoje (paruoštas laiškas — starter pack laiškas E5). Tikėtina — 1–2 sutiks; +50–150 prenumeratorių per jų kanalus.</w:t>
      </w:r>
    </w:p>
    <w:p>
      <w:pPr>
        <w:spacing w:line="360" w:lineRule="auto" w:after="120"/>
        <w:ind w:firstLine="567"/>
        <w:jc w:val="both"/>
      </w:pPr>
      <w:r>
        <w:rPr>
          <w:rFonts w:ascii="Times New Roman" w:hAnsi="Times New Roman"/>
          <w:b w:val="0"/>
          <w:i w:val="0"/>
          <w:sz w:val="24"/>
        </w:rPr>
        <w:t>Sėkmės kriterijus 3 mėn.: open rate ≥35 %; prenum. sk. ≥100; jokio laiško praleidimo (reguliarumas — svarbiausias). Kaštai: ~45 min./sav.; 0 €.</w:t>
      </w:r>
    </w:p>
    <w:p>
      <w:pPr>
        <w:keepNext/>
        <w:spacing w:before="160" w:after="80"/>
        <w:jc w:val="left"/>
      </w:pPr>
      <w:r>
        <w:rPr>
          <w:rFonts w:ascii="Times New Roman" w:hAnsi="Times New Roman"/>
          <w:b/>
          <w:sz w:val="24"/>
        </w:rPr>
        <w:t>3.3. Pasiūlymas Nr. 3 — Ilgas (12 mėn.): „Karjeros bazė"</w:t>
      </w:r>
    </w:p>
    <w:p>
      <w:pPr>
        <w:spacing w:line="360" w:lineRule="auto" w:after="120"/>
        <w:ind w:firstLine="567"/>
        <w:jc w:val="both"/>
      </w:pPr>
      <w:r>
        <w:rPr>
          <w:rFonts w:ascii="Times New Roman" w:hAnsi="Times New Roman"/>
          <w:b w:val="0"/>
          <w:i w:val="0"/>
          <w:sz w:val="24"/>
        </w:rPr>
        <w:t>Tikslas: per metus newsletter tampa karjeros baze — vieta su 250–500 žmonių, pažįstančių Elzės balsą iki tos akimirkos, kai pasirodys antra knyga ar bet koks naujas kūrinys.</w:t>
      </w:r>
    </w:p>
    <w:tbl>
      <w:tblPr>
        <w:tblStyle w:val="LightGrid-Accent1"/>
        <w:tblW w:type="auto" w:w="0"/>
        <w:jc w:val="center"/>
        <w:tblLayout w:type="autofit"/>
        <w:tblLook w:firstColumn="1" w:firstRow="1" w:lastColumn="0" w:lastRow="0" w:noHBand="0" w:noVBand="1" w:val="04A0"/>
      </w:tblPr>
      <w:tblGrid>
        <w:gridCol w:w="3230"/>
        <w:gridCol w:w="3230"/>
        <w:gridCol w:w="3230"/>
      </w:tblGrid>
      <w:tr>
        <w:tc>
          <w:tcPr>
            <w:tcW w:type="dxa" w:w="850"/>
            <w:vAlign w:val="center"/>
          </w:tcPr>
          <w:p>
            <w:pPr>
              <w:jc w:val="center"/>
            </w:pPr>
            <w:r/>
            <w:r>
              <w:rPr>
                <w:rFonts w:ascii="Times New Roman" w:hAnsi="Times New Roman"/>
                <w:b/>
                <w:sz w:val="22"/>
              </w:rPr>
              <w:t>Mėn.</w:t>
            </w:r>
          </w:p>
        </w:tc>
        <w:tc>
          <w:tcPr>
            <w:tcW w:type="dxa" w:w="4819"/>
            <w:vAlign w:val="center"/>
          </w:tcPr>
          <w:p>
            <w:pPr>
              <w:jc w:val="center"/>
            </w:pPr>
            <w:r/>
            <w:r>
              <w:rPr>
                <w:rFonts w:ascii="Times New Roman" w:hAnsi="Times New Roman"/>
                <w:b/>
                <w:sz w:val="22"/>
              </w:rPr>
              <w:t>Pjūvis</w:t>
            </w:r>
          </w:p>
        </w:tc>
        <w:tc>
          <w:tcPr>
            <w:tcW w:type="dxa" w:w="3402"/>
            <w:vAlign w:val="center"/>
          </w:tcPr>
          <w:p>
            <w:pPr>
              <w:jc w:val="center"/>
            </w:pPr>
            <w:r/>
            <w:r>
              <w:rPr>
                <w:rFonts w:ascii="Times New Roman" w:hAnsi="Times New Roman"/>
                <w:b/>
                <w:sz w:val="22"/>
              </w:rPr>
              <w:t>Indikatorius</w:t>
            </w:r>
          </w:p>
        </w:tc>
      </w:tr>
      <w:tr>
        <w:tc>
          <w:tcPr>
            <w:tcW w:type="dxa" w:w="850"/>
            <w:vAlign w:val="center"/>
          </w:tcPr>
          <w:p>
            <w:pPr>
              <w:spacing w:line="276" w:lineRule="auto"/>
              <w:jc w:val="left"/>
            </w:pPr>
            <w:r/>
            <w:r>
              <w:rPr>
                <w:rFonts w:ascii="Times New Roman" w:hAnsi="Times New Roman"/>
                <w:sz w:val="22"/>
              </w:rPr>
              <w:t>1–3</w:t>
            </w:r>
          </w:p>
        </w:tc>
        <w:tc>
          <w:tcPr>
            <w:tcW w:type="dxa" w:w="4819"/>
            <w:vAlign w:val="center"/>
          </w:tcPr>
          <w:p>
            <w:pPr>
              <w:spacing w:line="276" w:lineRule="auto"/>
              <w:jc w:val="left"/>
            </w:pPr>
            <w:r/>
            <w:r>
              <w:rPr>
                <w:rFonts w:ascii="Times New Roman" w:hAnsi="Times New Roman"/>
                <w:sz w:val="22"/>
              </w:rPr>
              <w:t>Įjungimas + pirmas reguliarumas</w:t>
            </w:r>
          </w:p>
        </w:tc>
        <w:tc>
          <w:tcPr>
            <w:tcW w:type="dxa" w:w="3402"/>
            <w:vAlign w:val="center"/>
          </w:tcPr>
          <w:p>
            <w:pPr>
              <w:spacing w:line="276" w:lineRule="auto"/>
              <w:jc w:val="left"/>
            </w:pPr>
            <w:r/>
            <w:r>
              <w:rPr>
                <w:rFonts w:ascii="Times New Roman" w:hAnsi="Times New Roman"/>
                <w:sz w:val="22"/>
              </w:rPr>
              <w:t>~100 prenum., 4 laiškai</w:t>
            </w:r>
          </w:p>
        </w:tc>
      </w:tr>
      <w:tr>
        <w:tc>
          <w:tcPr>
            <w:tcW w:type="dxa" w:w="850"/>
            <w:vAlign w:val="center"/>
          </w:tcPr>
          <w:p>
            <w:pPr>
              <w:spacing w:line="276" w:lineRule="auto"/>
              <w:jc w:val="left"/>
            </w:pPr>
            <w:r/>
            <w:r>
              <w:rPr>
                <w:rFonts w:ascii="Times New Roman" w:hAnsi="Times New Roman"/>
                <w:sz w:val="22"/>
              </w:rPr>
              <w:t>4–6</w:t>
            </w:r>
          </w:p>
        </w:tc>
        <w:tc>
          <w:tcPr>
            <w:tcW w:type="dxa" w:w="4819"/>
            <w:vAlign w:val="center"/>
          </w:tcPr>
          <w:p>
            <w:pPr>
              <w:spacing w:line="276" w:lineRule="auto"/>
              <w:jc w:val="left"/>
            </w:pPr>
            <w:r/>
            <w:r>
              <w:rPr>
                <w:rFonts w:ascii="Times New Roman" w:hAnsi="Times New Roman"/>
                <w:sz w:val="22"/>
              </w:rPr>
              <w:t>Mokyklų lankymas (1–2 vizitai)</w:t>
            </w:r>
          </w:p>
        </w:tc>
        <w:tc>
          <w:tcPr>
            <w:tcW w:type="dxa" w:w="3402"/>
            <w:vAlign w:val="center"/>
          </w:tcPr>
          <w:p>
            <w:pPr>
              <w:spacing w:line="276" w:lineRule="auto"/>
              <w:jc w:val="left"/>
            </w:pPr>
            <w:r/>
            <w:r>
              <w:rPr>
                <w:rFonts w:ascii="Times New Roman" w:hAnsi="Times New Roman"/>
                <w:sz w:val="22"/>
              </w:rPr>
              <w:t>+50–100 prenum.</w:t>
            </w:r>
          </w:p>
        </w:tc>
      </w:tr>
      <w:tr>
        <w:tc>
          <w:tcPr>
            <w:tcW w:type="dxa" w:w="850"/>
            <w:vAlign w:val="center"/>
          </w:tcPr>
          <w:p>
            <w:pPr>
              <w:spacing w:line="276" w:lineRule="auto"/>
              <w:jc w:val="left"/>
            </w:pPr>
            <w:r/>
            <w:r>
              <w:rPr>
                <w:rFonts w:ascii="Times New Roman" w:hAnsi="Times New Roman"/>
                <w:sz w:val="22"/>
              </w:rPr>
              <w:t>7–9</w:t>
            </w:r>
          </w:p>
        </w:tc>
        <w:tc>
          <w:tcPr>
            <w:tcW w:type="dxa" w:w="4819"/>
            <w:vAlign w:val="center"/>
          </w:tcPr>
          <w:p>
            <w:pPr>
              <w:spacing w:line="276" w:lineRule="auto"/>
              <w:jc w:val="left"/>
            </w:pPr>
            <w:r/>
            <w:r>
              <w:rPr>
                <w:rFonts w:ascii="Times New Roman" w:hAnsi="Times New Roman"/>
                <w:sz w:val="22"/>
              </w:rPr>
              <w:t>Signavimo turas (Marijampolė, Vilnius, Kaunas)</w:t>
            </w:r>
          </w:p>
        </w:tc>
        <w:tc>
          <w:tcPr>
            <w:tcW w:type="dxa" w:w="3402"/>
            <w:vAlign w:val="center"/>
          </w:tcPr>
          <w:p>
            <w:pPr>
              <w:spacing w:line="276" w:lineRule="auto"/>
              <w:jc w:val="left"/>
            </w:pPr>
            <w:r/>
            <w:r>
              <w:rPr>
                <w:rFonts w:ascii="Times New Roman" w:hAnsi="Times New Roman"/>
                <w:sz w:val="22"/>
              </w:rPr>
              <w:t>~250 prenum.</w:t>
            </w:r>
          </w:p>
        </w:tc>
      </w:tr>
      <w:tr>
        <w:tc>
          <w:tcPr>
            <w:tcW w:type="dxa" w:w="850"/>
            <w:vAlign w:val="center"/>
          </w:tcPr>
          <w:p>
            <w:pPr>
              <w:spacing w:line="276" w:lineRule="auto"/>
              <w:jc w:val="left"/>
            </w:pPr>
            <w:r/>
            <w:r>
              <w:rPr>
                <w:rFonts w:ascii="Times New Roman" w:hAnsi="Times New Roman"/>
                <w:sz w:val="22"/>
              </w:rPr>
              <w:t>10–12</w:t>
            </w:r>
          </w:p>
        </w:tc>
        <w:tc>
          <w:tcPr>
            <w:tcW w:type="dxa" w:w="4819"/>
            <w:vAlign w:val="center"/>
          </w:tcPr>
          <w:p>
            <w:pPr>
              <w:spacing w:line="276" w:lineRule="auto"/>
              <w:jc w:val="left"/>
            </w:pPr>
            <w:r/>
            <w:r>
              <w:rPr>
                <w:rFonts w:ascii="Times New Roman" w:hAnsi="Times New Roman"/>
                <w:sz w:val="22"/>
              </w:rPr>
              <w:t>Antrojo kūrinio teaserio paskelbimas TIK newsletter'e</w:t>
            </w:r>
          </w:p>
        </w:tc>
        <w:tc>
          <w:tcPr>
            <w:tcW w:type="dxa" w:w="3402"/>
            <w:vAlign w:val="center"/>
          </w:tcPr>
          <w:p>
            <w:pPr>
              <w:spacing w:line="276" w:lineRule="auto"/>
              <w:jc w:val="left"/>
            </w:pPr>
            <w:r/>
            <w:r>
              <w:rPr>
                <w:rFonts w:ascii="Times New Roman" w:hAnsi="Times New Roman"/>
                <w:sz w:val="22"/>
              </w:rPr>
              <w:t>~500 prenum.</w:t>
            </w:r>
          </w:p>
        </w:tc>
      </w:tr>
    </w:tbl>
    <w:p/>
    <w:p>
      <w:pPr>
        <w:spacing w:line="360" w:lineRule="auto" w:after="120"/>
        <w:ind w:firstLine="567"/>
        <w:jc w:val="both"/>
      </w:pPr>
      <w:r>
        <w:rPr>
          <w:rFonts w:ascii="Times New Roman" w:hAnsi="Times New Roman"/>
          <w:b w:val="0"/>
          <w:i w:val="0"/>
          <w:sz w:val="24"/>
        </w:rPr>
        <w:t>Sėkmės kriterijus 12 mėn.: prenum. sk. ≥250 (konservatyvus) iki ≥500 (tikėtinas); reguliarumas neprarastas. Kaštai: tas pats 45–60 min./sav. + 30–60 €/m. (kelionės, QR lapeliai).</w:t>
      </w:r>
    </w:p>
    <w:p>
      <w:pPr>
        <w:keepNext/>
        <w:spacing w:before="240" w:after="120"/>
        <w:jc w:val="left"/>
      </w:pPr>
      <w:r>
        <w:rPr>
          <w:rFonts w:ascii="Times New Roman" w:hAnsi="Times New Roman"/>
          <w:b/>
          <w:sz w:val="26"/>
        </w:rPr>
        <w:t>4. Matavimo planas (VALIDATE)</w:t>
      </w:r>
    </w:p>
    <w:p>
      <w:pPr>
        <w:keepNext/>
        <w:spacing w:before="160" w:after="80"/>
        <w:jc w:val="left"/>
      </w:pPr>
      <w:r>
        <w:rPr>
          <w:rFonts w:ascii="Times New Roman" w:hAnsi="Times New Roman"/>
          <w:b/>
          <w:sz w:val="24"/>
        </w:rPr>
        <w:t>4.1. Ką matuoti — ir ko nematuoti</w:t>
      </w:r>
    </w:p>
    <w:p>
      <w:pPr>
        <w:spacing w:line="360" w:lineRule="auto" w:after="120"/>
        <w:ind w:firstLine="567"/>
        <w:jc w:val="both"/>
      </w:pPr>
      <w:r>
        <w:rPr>
          <w:rFonts w:ascii="Times New Roman" w:hAnsi="Times New Roman"/>
          <w:b w:val="0"/>
          <w:i w:val="0"/>
          <w:sz w:val="24"/>
        </w:rPr>
        <w:t>Sąmoningai siūlome trumpą metrikų sąrašą. Daugiau metrikų reiškia daugiau dėmesio metrikoms ir mažiau — laiškams. Vienam autoriui per savaitę galima sąžiningai sekti 4–5 skaičius, ne daugiau.</w:t>
      </w:r>
    </w:p>
    <w:tbl>
      <w:tblPr>
        <w:tblStyle w:val="LightGrid-Accent1"/>
        <w:tblW w:type="auto" w:w="0"/>
        <w:jc w:val="center"/>
        <w:tblLayout w:type="autofit"/>
        <w:tblLook w:firstColumn="1" w:firstRow="1" w:lastColumn="0" w:lastRow="0" w:noHBand="0" w:noVBand="1" w:val="04A0"/>
      </w:tblPr>
      <w:tblGrid>
        <w:gridCol w:w="2422"/>
        <w:gridCol w:w="2422"/>
        <w:gridCol w:w="2422"/>
        <w:gridCol w:w="2422"/>
      </w:tblGrid>
      <w:tr>
        <w:tc>
          <w:tcPr>
            <w:tcW w:type="dxa" w:w="2835"/>
            <w:vAlign w:val="center"/>
          </w:tcPr>
          <w:p>
            <w:pPr>
              <w:jc w:val="center"/>
            </w:pPr>
            <w:r/>
            <w:r>
              <w:rPr>
                <w:rFonts w:ascii="Times New Roman" w:hAnsi="Times New Roman"/>
                <w:b/>
                <w:sz w:val="22"/>
              </w:rPr>
              <w:t>Metrika</w:t>
            </w:r>
          </w:p>
        </w:tc>
        <w:tc>
          <w:tcPr>
            <w:tcW w:type="dxa" w:w="1984"/>
            <w:vAlign w:val="center"/>
          </w:tcPr>
          <w:p>
            <w:pPr>
              <w:jc w:val="center"/>
            </w:pPr>
            <w:r/>
            <w:r>
              <w:rPr>
                <w:rFonts w:ascii="Times New Roman" w:hAnsi="Times New Roman"/>
                <w:b/>
                <w:sz w:val="22"/>
              </w:rPr>
              <w:t>Tikslas (1 mėn.)</w:t>
            </w:r>
          </w:p>
        </w:tc>
        <w:tc>
          <w:tcPr>
            <w:tcW w:type="dxa" w:w="1984"/>
            <w:vAlign w:val="center"/>
          </w:tcPr>
          <w:p>
            <w:pPr>
              <w:jc w:val="center"/>
            </w:pPr>
            <w:r/>
            <w:r>
              <w:rPr>
                <w:rFonts w:ascii="Times New Roman" w:hAnsi="Times New Roman"/>
                <w:b/>
                <w:sz w:val="22"/>
              </w:rPr>
              <w:t>Tikslas (3 mėn.)</w:t>
            </w:r>
          </w:p>
        </w:tc>
        <w:tc>
          <w:tcPr>
            <w:tcW w:type="dxa" w:w="2268"/>
            <w:vAlign w:val="center"/>
          </w:tcPr>
          <w:p>
            <w:pPr>
              <w:jc w:val="center"/>
            </w:pPr>
            <w:r/>
            <w:r>
              <w:rPr>
                <w:rFonts w:ascii="Times New Roman" w:hAnsi="Times New Roman"/>
                <w:b/>
                <w:sz w:val="22"/>
              </w:rPr>
              <w:t>Tikslas (12 mėn.)</w:t>
            </w:r>
          </w:p>
        </w:tc>
      </w:tr>
      <w:tr>
        <w:tc>
          <w:tcPr>
            <w:tcW w:type="dxa" w:w="2835"/>
            <w:vAlign w:val="center"/>
          </w:tcPr>
          <w:p>
            <w:pPr>
              <w:spacing w:line="276" w:lineRule="auto"/>
              <w:jc w:val="left"/>
            </w:pPr>
            <w:r/>
            <w:r>
              <w:rPr>
                <w:rFonts w:ascii="Times New Roman" w:hAnsi="Times New Roman"/>
                <w:sz w:val="22"/>
              </w:rPr>
              <w:t>Bendras prenum. skaičius</w:t>
            </w:r>
          </w:p>
        </w:tc>
        <w:tc>
          <w:tcPr>
            <w:tcW w:type="dxa" w:w="1984"/>
            <w:vAlign w:val="center"/>
          </w:tcPr>
          <w:p>
            <w:pPr>
              <w:spacing w:line="276" w:lineRule="auto"/>
              <w:jc w:val="left"/>
            </w:pPr>
            <w:r/>
            <w:r>
              <w:rPr>
                <w:rFonts w:ascii="Times New Roman" w:hAnsi="Times New Roman"/>
                <w:sz w:val="22"/>
              </w:rPr>
              <w:t>≥30</w:t>
            </w:r>
          </w:p>
        </w:tc>
        <w:tc>
          <w:tcPr>
            <w:tcW w:type="dxa" w:w="1984"/>
            <w:vAlign w:val="center"/>
          </w:tcPr>
          <w:p>
            <w:pPr>
              <w:spacing w:line="276" w:lineRule="auto"/>
              <w:jc w:val="left"/>
            </w:pPr>
            <w:r/>
            <w:r>
              <w:rPr>
                <w:rFonts w:ascii="Times New Roman" w:hAnsi="Times New Roman"/>
                <w:sz w:val="22"/>
              </w:rPr>
              <w:t>≥100</w:t>
            </w:r>
          </w:p>
        </w:tc>
        <w:tc>
          <w:tcPr>
            <w:tcW w:type="dxa" w:w="2268"/>
            <w:vAlign w:val="center"/>
          </w:tcPr>
          <w:p>
            <w:pPr>
              <w:spacing w:line="276" w:lineRule="auto"/>
              <w:jc w:val="left"/>
            </w:pPr>
            <w:r/>
            <w:r>
              <w:rPr>
                <w:rFonts w:ascii="Times New Roman" w:hAnsi="Times New Roman"/>
                <w:sz w:val="22"/>
              </w:rPr>
              <w:t>≥250</w:t>
            </w:r>
          </w:p>
        </w:tc>
      </w:tr>
      <w:tr>
        <w:tc>
          <w:tcPr>
            <w:tcW w:type="dxa" w:w="2835"/>
            <w:vAlign w:val="center"/>
          </w:tcPr>
          <w:p>
            <w:pPr>
              <w:spacing w:line="276" w:lineRule="auto"/>
              <w:jc w:val="left"/>
            </w:pPr>
            <w:r/>
            <w:r>
              <w:rPr>
                <w:rFonts w:ascii="Times New Roman" w:hAnsi="Times New Roman"/>
                <w:sz w:val="22"/>
              </w:rPr>
              <w:t>Welcome serijos open rate</w:t>
            </w:r>
          </w:p>
        </w:tc>
        <w:tc>
          <w:tcPr>
            <w:tcW w:type="dxa" w:w="1984"/>
            <w:vAlign w:val="center"/>
          </w:tcPr>
          <w:p>
            <w:pPr>
              <w:spacing w:line="276" w:lineRule="auto"/>
              <w:jc w:val="left"/>
            </w:pPr>
            <w:r/>
            <w:r>
              <w:rPr>
                <w:rFonts w:ascii="Times New Roman" w:hAnsi="Times New Roman"/>
                <w:sz w:val="22"/>
              </w:rPr>
              <w:t>≥50 %</w:t>
            </w:r>
          </w:p>
        </w:tc>
        <w:tc>
          <w:tcPr>
            <w:tcW w:type="dxa" w:w="1984"/>
            <w:vAlign w:val="center"/>
          </w:tcPr>
          <w:p>
            <w:pPr>
              <w:spacing w:line="276" w:lineRule="auto"/>
              <w:jc w:val="left"/>
            </w:pPr>
            <w:r/>
            <w:r>
              <w:rPr>
                <w:rFonts w:ascii="Times New Roman" w:hAnsi="Times New Roman"/>
                <w:sz w:val="22"/>
              </w:rPr>
              <w:t>≥50 %</w:t>
            </w:r>
          </w:p>
        </w:tc>
        <w:tc>
          <w:tcPr>
            <w:tcW w:type="dxa" w:w="2268"/>
            <w:vAlign w:val="center"/>
          </w:tcPr>
          <w:p>
            <w:pPr>
              <w:spacing w:line="276" w:lineRule="auto"/>
              <w:jc w:val="left"/>
            </w:pPr>
            <w:r/>
            <w:r>
              <w:rPr>
                <w:rFonts w:ascii="Times New Roman" w:hAnsi="Times New Roman"/>
                <w:sz w:val="22"/>
              </w:rPr>
              <w:t>≥50 %</w:t>
            </w:r>
          </w:p>
        </w:tc>
      </w:tr>
      <w:tr>
        <w:tc>
          <w:tcPr>
            <w:tcW w:type="dxa" w:w="2835"/>
            <w:vAlign w:val="center"/>
          </w:tcPr>
          <w:p>
            <w:pPr>
              <w:spacing w:line="276" w:lineRule="auto"/>
              <w:jc w:val="left"/>
            </w:pPr>
            <w:r/>
            <w:r>
              <w:rPr>
                <w:rFonts w:ascii="Times New Roman" w:hAnsi="Times New Roman"/>
                <w:sz w:val="22"/>
              </w:rPr>
              <w:t>Įprasto laiško open rate</w:t>
            </w:r>
          </w:p>
        </w:tc>
        <w:tc>
          <w:tcPr>
            <w:tcW w:type="dxa" w:w="1984"/>
            <w:vAlign w:val="center"/>
          </w:tcPr>
          <w:p>
            <w:pPr>
              <w:spacing w:line="276" w:lineRule="auto"/>
              <w:jc w:val="left"/>
            </w:pPr>
            <w:r/>
            <w:r>
              <w:rPr>
                <w:rFonts w:ascii="Times New Roman" w:hAnsi="Times New Roman"/>
                <w:sz w:val="22"/>
              </w:rPr>
              <w:t>— (per anksti)</w:t>
            </w:r>
          </w:p>
        </w:tc>
        <w:tc>
          <w:tcPr>
            <w:tcW w:type="dxa" w:w="1984"/>
            <w:vAlign w:val="center"/>
          </w:tcPr>
          <w:p>
            <w:pPr>
              <w:spacing w:line="276" w:lineRule="auto"/>
              <w:jc w:val="left"/>
            </w:pPr>
            <w:r/>
            <w:r>
              <w:rPr>
                <w:rFonts w:ascii="Times New Roman" w:hAnsi="Times New Roman"/>
                <w:sz w:val="22"/>
              </w:rPr>
              <w:t>≥35 %</w:t>
            </w:r>
          </w:p>
        </w:tc>
        <w:tc>
          <w:tcPr>
            <w:tcW w:type="dxa" w:w="2268"/>
            <w:vAlign w:val="center"/>
          </w:tcPr>
          <w:p>
            <w:pPr>
              <w:spacing w:line="276" w:lineRule="auto"/>
              <w:jc w:val="left"/>
            </w:pPr>
            <w:r/>
            <w:r>
              <w:rPr>
                <w:rFonts w:ascii="Times New Roman" w:hAnsi="Times New Roman"/>
                <w:sz w:val="22"/>
              </w:rPr>
              <w:t>≥35 %</w:t>
            </w:r>
          </w:p>
        </w:tc>
      </w:tr>
      <w:tr>
        <w:tc>
          <w:tcPr>
            <w:tcW w:type="dxa" w:w="2835"/>
            <w:vAlign w:val="center"/>
          </w:tcPr>
          <w:p>
            <w:pPr>
              <w:spacing w:line="276" w:lineRule="auto"/>
              <w:jc w:val="left"/>
            </w:pPr>
            <w:r/>
            <w:r>
              <w:rPr>
                <w:rFonts w:ascii="Times New Roman" w:hAnsi="Times New Roman"/>
                <w:sz w:val="22"/>
              </w:rPr>
              <w:t>CTR (paspaudimo dažnis)</w:t>
            </w:r>
          </w:p>
        </w:tc>
        <w:tc>
          <w:tcPr>
            <w:tcW w:type="dxa" w:w="1984"/>
            <w:vAlign w:val="center"/>
          </w:tcPr>
          <w:p>
            <w:pPr>
              <w:spacing w:line="276" w:lineRule="auto"/>
              <w:jc w:val="left"/>
            </w:pPr>
            <w:r/>
            <w:r>
              <w:rPr>
                <w:rFonts w:ascii="Times New Roman" w:hAnsi="Times New Roman"/>
                <w:sz w:val="22"/>
              </w:rPr>
              <w:t>— (per anksti)</w:t>
            </w:r>
          </w:p>
        </w:tc>
        <w:tc>
          <w:tcPr>
            <w:tcW w:type="dxa" w:w="1984"/>
            <w:vAlign w:val="center"/>
          </w:tcPr>
          <w:p>
            <w:pPr>
              <w:spacing w:line="276" w:lineRule="auto"/>
              <w:jc w:val="left"/>
            </w:pPr>
            <w:r/>
            <w:r>
              <w:rPr>
                <w:rFonts w:ascii="Times New Roman" w:hAnsi="Times New Roman"/>
                <w:sz w:val="22"/>
              </w:rPr>
              <w:t>≥3 %</w:t>
            </w:r>
          </w:p>
        </w:tc>
        <w:tc>
          <w:tcPr>
            <w:tcW w:type="dxa" w:w="2268"/>
            <w:vAlign w:val="center"/>
          </w:tcPr>
          <w:p>
            <w:pPr>
              <w:spacing w:line="276" w:lineRule="auto"/>
              <w:jc w:val="left"/>
            </w:pPr>
            <w:r/>
            <w:r>
              <w:rPr>
                <w:rFonts w:ascii="Times New Roman" w:hAnsi="Times New Roman"/>
                <w:sz w:val="22"/>
              </w:rPr>
              <w:t>≥3 %</w:t>
            </w:r>
          </w:p>
        </w:tc>
      </w:tr>
      <w:tr>
        <w:tc>
          <w:tcPr>
            <w:tcW w:type="dxa" w:w="2835"/>
            <w:vAlign w:val="center"/>
          </w:tcPr>
          <w:p>
            <w:pPr>
              <w:spacing w:line="276" w:lineRule="auto"/>
              <w:jc w:val="left"/>
            </w:pPr>
            <w:r/>
            <w:r>
              <w:rPr>
                <w:rFonts w:ascii="Times New Roman" w:hAnsi="Times New Roman"/>
                <w:sz w:val="22"/>
              </w:rPr>
              <w:t>Unsubscribe rate (laiškui)</w:t>
            </w:r>
          </w:p>
        </w:tc>
        <w:tc>
          <w:tcPr>
            <w:tcW w:type="dxa" w:w="1984"/>
            <w:vAlign w:val="center"/>
          </w:tcPr>
          <w:p>
            <w:pPr>
              <w:spacing w:line="276" w:lineRule="auto"/>
              <w:jc w:val="left"/>
            </w:pPr>
            <w:r/>
            <w:r>
              <w:rPr>
                <w:rFonts w:ascii="Times New Roman" w:hAnsi="Times New Roman"/>
                <w:sz w:val="22"/>
              </w:rPr>
              <w:t>&lt;1 %</w:t>
            </w:r>
          </w:p>
        </w:tc>
        <w:tc>
          <w:tcPr>
            <w:tcW w:type="dxa" w:w="1984"/>
            <w:vAlign w:val="center"/>
          </w:tcPr>
          <w:p>
            <w:pPr>
              <w:spacing w:line="276" w:lineRule="auto"/>
              <w:jc w:val="left"/>
            </w:pPr>
            <w:r/>
            <w:r>
              <w:rPr>
                <w:rFonts w:ascii="Times New Roman" w:hAnsi="Times New Roman"/>
                <w:sz w:val="22"/>
              </w:rPr>
              <w:t>&lt;0,5 %</w:t>
            </w:r>
          </w:p>
        </w:tc>
        <w:tc>
          <w:tcPr>
            <w:tcW w:type="dxa" w:w="2268"/>
            <w:vAlign w:val="center"/>
          </w:tcPr>
          <w:p>
            <w:pPr>
              <w:spacing w:line="276" w:lineRule="auto"/>
              <w:jc w:val="left"/>
            </w:pPr>
            <w:r/>
            <w:r>
              <w:rPr>
                <w:rFonts w:ascii="Times New Roman" w:hAnsi="Times New Roman"/>
                <w:sz w:val="22"/>
              </w:rPr>
              <w:t>&lt;0,5 %</w:t>
            </w:r>
          </w:p>
        </w:tc>
      </w:tr>
    </w:tbl>
    <w:p/>
    <w:p>
      <w:pPr>
        <w:keepNext/>
        <w:spacing w:before="160" w:after="80"/>
        <w:jc w:val="left"/>
      </w:pPr>
      <w:r>
        <w:rPr>
          <w:rFonts w:ascii="Times New Roman" w:hAnsi="Times New Roman"/>
          <w:b/>
          <w:sz w:val="24"/>
        </w:rPr>
        <w:t>4.2. Kaip matuoti</w:t>
      </w:r>
    </w:p>
    <w:p>
      <w:pPr>
        <w:spacing w:line="276" w:lineRule="auto" w:after="60"/>
        <w:ind w:left="425" w:hanging="283"/>
        <w:jc w:val="both"/>
      </w:pPr>
      <w:r>
        <w:rPr>
          <w:rFonts w:ascii="Times New Roman" w:hAnsi="Times New Roman"/>
          <w:sz w:val="24"/>
        </w:rPr>
        <w:t xml:space="preserve">•  </w:t>
      </w:r>
      <w:r>
        <w:rPr>
          <w:rFonts w:ascii="Times New Roman" w:hAnsi="Times New Roman"/>
          <w:b/>
          <w:sz w:val="24"/>
        </w:rPr>
        <w:t xml:space="preserve">Įrankis — </w:t>
      </w:r>
      <w:r>
        <w:rPr>
          <w:rFonts w:ascii="Times New Roman" w:hAnsi="Times New Roman"/>
          <w:sz w:val="24"/>
        </w:rPr>
        <w:t>Visus skaičius rodo MailerLite/Substack panelis automatiškai. Nereikia jokio papildomo įrankio.</w:t>
      </w:r>
    </w:p>
    <w:p>
      <w:pPr>
        <w:spacing w:line="276" w:lineRule="auto" w:after="60"/>
        <w:ind w:left="425" w:hanging="283"/>
        <w:jc w:val="both"/>
      </w:pPr>
      <w:r>
        <w:rPr>
          <w:rFonts w:ascii="Times New Roman" w:hAnsi="Times New Roman"/>
          <w:sz w:val="24"/>
        </w:rPr>
        <w:t xml:space="preserve">•  </w:t>
      </w:r>
      <w:r>
        <w:rPr>
          <w:rFonts w:ascii="Times New Roman" w:hAnsi="Times New Roman"/>
          <w:b/>
          <w:sz w:val="24"/>
        </w:rPr>
        <w:t xml:space="preserve">Periodas — </w:t>
      </w:r>
      <w:r>
        <w:rPr>
          <w:rFonts w:ascii="Times New Roman" w:hAnsi="Times New Roman"/>
          <w:sz w:val="24"/>
        </w:rPr>
        <w:t>Kartą per mėnesį (paskutinį sekmadienį) Elzė užrašo 5 metrikas į vieną Google Sheet eilutę. Užtrunka &lt;10 min.</w:t>
      </w:r>
    </w:p>
    <w:p>
      <w:pPr>
        <w:spacing w:line="276" w:lineRule="auto" w:after="60"/>
        <w:ind w:left="425" w:hanging="283"/>
        <w:jc w:val="both"/>
      </w:pPr>
      <w:r>
        <w:rPr>
          <w:rFonts w:ascii="Times New Roman" w:hAnsi="Times New Roman"/>
          <w:sz w:val="24"/>
        </w:rPr>
        <w:t xml:space="preserve">•  </w:t>
      </w:r>
      <w:r>
        <w:rPr>
          <w:rFonts w:ascii="Times New Roman" w:hAnsi="Times New Roman"/>
          <w:b/>
          <w:sz w:val="24"/>
        </w:rPr>
        <w:t xml:space="preserve">Patikrinimas — </w:t>
      </w:r>
      <w:r>
        <w:rPr>
          <w:rFonts w:ascii="Times New Roman" w:hAnsi="Times New Roman"/>
          <w:sz w:val="24"/>
        </w:rPr>
        <w:t>Po 3 mėn. Elzė palygina prognozę su realybe. Po 6 mėn. — pakartojama. Po 12 mėn. — sprendžiama, ar tęsti taip, ar keisti formatą.</w:t>
      </w:r>
    </w:p>
    <w:p>
      <w:pPr>
        <w:keepNext/>
        <w:spacing w:before="160" w:after="80"/>
        <w:jc w:val="left"/>
      </w:pPr>
      <w:r>
        <w:rPr>
          <w:rFonts w:ascii="Times New Roman" w:hAnsi="Times New Roman"/>
          <w:b/>
          <w:sz w:val="24"/>
        </w:rPr>
        <w:t>4.3. Sėkmės ir nesėkmės kriterijai</w:t>
      </w:r>
    </w:p>
    <w:tbl>
      <w:tblPr>
        <w:tblStyle w:val="LightGrid-Accent1"/>
        <w:tblW w:type="auto" w:w="0"/>
        <w:jc w:val="center"/>
        <w:tblLayout w:type="autofit"/>
        <w:tblLook w:firstColumn="1" w:firstRow="1" w:lastColumn="0" w:lastRow="0" w:noHBand="0" w:noVBand="1" w:val="04A0"/>
      </w:tblPr>
      <w:tblGrid>
        <w:gridCol w:w="3230"/>
        <w:gridCol w:w="3230"/>
        <w:gridCol w:w="3230"/>
      </w:tblGrid>
      <w:tr>
        <w:tc>
          <w:tcPr>
            <w:tcW w:type="dxa" w:w="1701"/>
            <w:vAlign w:val="center"/>
          </w:tcPr>
          <w:p>
            <w:pPr>
              <w:jc w:val="center"/>
            </w:pPr>
            <w:r/>
            <w:r>
              <w:rPr>
                <w:rFonts w:ascii="Times New Roman" w:hAnsi="Times New Roman"/>
                <w:b/>
                <w:sz w:val="22"/>
              </w:rPr>
              <w:t>Etapas</w:t>
            </w:r>
          </w:p>
        </w:tc>
        <w:tc>
          <w:tcPr>
            <w:tcW w:type="dxa" w:w="3685"/>
            <w:vAlign w:val="center"/>
          </w:tcPr>
          <w:p>
            <w:pPr>
              <w:jc w:val="center"/>
            </w:pPr>
            <w:r/>
            <w:r>
              <w:rPr>
                <w:rFonts w:ascii="Times New Roman" w:hAnsi="Times New Roman"/>
                <w:b/>
                <w:sz w:val="22"/>
              </w:rPr>
              <w:t>Sėkmė =</w:t>
            </w:r>
          </w:p>
        </w:tc>
        <w:tc>
          <w:tcPr>
            <w:tcW w:type="dxa" w:w="3685"/>
            <w:vAlign w:val="center"/>
          </w:tcPr>
          <w:p>
            <w:pPr>
              <w:jc w:val="center"/>
            </w:pPr>
            <w:r/>
            <w:r>
              <w:rPr>
                <w:rFonts w:ascii="Times New Roman" w:hAnsi="Times New Roman"/>
                <w:b/>
                <w:sz w:val="22"/>
              </w:rPr>
              <w:t>Nesėkmė =</w:t>
            </w:r>
          </w:p>
        </w:tc>
      </w:tr>
      <w:tr>
        <w:tc>
          <w:tcPr>
            <w:tcW w:type="dxa" w:w="1701"/>
            <w:vAlign w:val="center"/>
          </w:tcPr>
          <w:p>
            <w:pPr>
              <w:spacing w:line="276" w:lineRule="auto"/>
              <w:jc w:val="left"/>
            </w:pPr>
            <w:r/>
            <w:r>
              <w:rPr>
                <w:rFonts w:ascii="Times New Roman" w:hAnsi="Times New Roman"/>
                <w:sz w:val="22"/>
              </w:rPr>
              <w:t>Po 1 mėn.</w:t>
            </w:r>
          </w:p>
        </w:tc>
        <w:tc>
          <w:tcPr>
            <w:tcW w:type="dxa" w:w="3685"/>
            <w:vAlign w:val="center"/>
          </w:tcPr>
          <w:p>
            <w:pPr>
              <w:spacing w:line="276" w:lineRule="auto"/>
              <w:jc w:val="left"/>
            </w:pPr>
            <w:r/>
            <w:r>
              <w:rPr>
                <w:rFonts w:ascii="Times New Roman" w:hAnsi="Times New Roman"/>
                <w:sz w:val="22"/>
              </w:rPr>
              <w:t>≥30 prenum., welcome open ≥50 %</w:t>
            </w:r>
          </w:p>
        </w:tc>
        <w:tc>
          <w:tcPr>
            <w:tcW w:type="dxa" w:w="3685"/>
            <w:vAlign w:val="center"/>
          </w:tcPr>
          <w:p>
            <w:pPr>
              <w:spacing w:line="276" w:lineRule="auto"/>
              <w:jc w:val="left"/>
            </w:pPr>
            <w:r/>
            <w:r>
              <w:rPr>
                <w:rFonts w:ascii="Times New Roman" w:hAnsi="Times New Roman"/>
                <w:sz w:val="22"/>
              </w:rPr>
              <w:t>&lt;15 prenum. ARBA welcome open &lt;30 %</w:t>
            </w:r>
          </w:p>
        </w:tc>
      </w:tr>
      <w:tr>
        <w:tc>
          <w:tcPr>
            <w:tcW w:type="dxa" w:w="1701"/>
            <w:vAlign w:val="center"/>
          </w:tcPr>
          <w:p>
            <w:pPr>
              <w:spacing w:line="276" w:lineRule="auto"/>
              <w:jc w:val="left"/>
            </w:pPr>
            <w:r/>
            <w:r>
              <w:rPr>
                <w:rFonts w:ascii="Times New Roman" w:hAnsi="Times New Roman"/>
                <w:sz w:val="22"/>
              </w:rPr>
              <w:t>Po 3 mėn.</w:t>
            </w:r>
          </w:p>
        </w:tc>
        <w:tc>
          <w:tcPr>
            <w:tcW w:type="dxa" w:w="3685"/>
            <w:vAlign w:val="center"/>
          </w:tcPr>
          <w:p>
            <w:pPr>
              <w:spacing w:line="276" w:lineRule="auto"/>
              <w:jc w:val="left"/>
            </w:pPr>
            <w:r/>
            <w:r>
              <w:rPr>
                <w:rFonts w:ascii="Times New Roman" w:hAnsi="Times New Roman"/>
                <w:sz w:val="22"/>
              </w:rPr>
              <w:t>≥100 prenum., open rate ≥30 %, 0 praleistų laiškų</w:t>
            </w:r>
          </w:p>
        </w:tc>
        <w:tc>
          <w:tcPr>
            <w:tcW w:type="dxa" w:w="3685"/>
            <w:vAlign w:val="center"/>
          </w:tcPr>
          <w:p>
            <w:pPr>
              <w:spacing w:line="276" w:lineRule="auto"/>
              <w:jc w:val="left"/>
            </w:pPr>
            <w:r/>
            <w:r>
              <w:rPr>
                <w:rFonts w:ascii="Times New Roman" w:hAnsi="Times New Roman"/>
                <w:sz w:val="22"/>
              </w:rPr>
              <w:t>&lt;50 prenum. ARBA open rate &lt;20 % ARBA praleisti 2+ laiškai iš eilės</w:t>
            </w:r>
          </w:p>
        </w:tc>
      </w:tr>
      <w:tr>
        <w:tc>
          <w:tcPr>
            <w:tcW w:type="dxa" w:w="1701"/>
            <w:vAlign w:val="center"/>
          </w:tcPr>
          <w:p>
            <w:pPr>
              <w:spacing w:line="276" w:lineRule="auto"/>
              <w:jc w:val="left"/>
            </w:pPr>
            <w:r/>
            <w:r>
              <w:rPr>
                <w:rFonts w:ascii="Times New Roman" w:hAnsi="Times New Roman"/>
                <w:sz w:val="22"/>
              </w:rPr>
              <w:t>Po 12 mėn.</w:t>
            </w:r>
          </w:p>
        </w:tc>
        <w:tc>
          <w:tcPr>
            <w:tcW w:type="dxa" w:w="3685"/>
            <w:vAlign w:val="center"/>
          </w:tcPr>
          <w:p>
            <w:pPr>
              <w:spacing w:line="276" w:lineRule="auto"/>
              <w:jc w:val="left"/>
            </w:pPr>
            <w:r/>
            <w:r>
              <w:rPr>
                <w:rFonts w:ascii="Times New Roman" w:hAnsi="Times New Roman"/>
                <w:sz w:val="22"/>
              </w:rPr>
              <w:t>≥250 prenum., reguliarumas neprarastas</w:t>
            </w:r>
          </w:p>
        </w:tc>
        <w:tc>
          <w:tcPr>
            <w:tcW w:type="dxa" w:w="3685"/>
            <w:vAlign w:val="center"/>
          </w:tcPr>
          <w:p>
            <w:pPr>
              <w:spacing w:line="276" w:lineRule="auto"/>
              <w:jc w:val="left"/>
            </w:pPr>
            <w:r/>
            <w:r>
              <w:rPr>
                <w:rFonts w:ascii="Times New Roman" w:hAnsi="Times New Roman"/>
                <w:sz w:val="22"/>
              </w:rPr>
              <w:t>&lt;150 prenum. arba reguliarumas prarastas &gt;2 mėn.</w:t>
            </w:r>
          </w:p>
        </w:tc>
      </w:tr>
    </w:tbl>
    <w:p/>
    <w:p>
      <w:pPr>
        <w:keepNext/>
        <w:spacing w:before="240" w:after="120"/>
        <w:jc w:val="left"/>
      </w:pPr>
      <w:r>
        <w:rPr>
          <w:rFonts w:ascii="Times New Roman" w:hAnsi="Times New Roman"/>
          <w:b/>
          <w:sz w:val="26"/>
        </w:rPr>
        <w:t>5. „Pull the plug" — kada atsisakyti</w:t>
      </w:r>
    </w:p>
    <w:p>
      <w:pPr>
        <w:spacing w:line="360" w:lineRule="auto" w:after="120"/>
        <w:ind w:firstLine="567"/>
        <w:jc w:val="both"/>
      </w:pPr>
      <w:r>
        <w:rPr>
          <w:rFonts w:ascii="Times New Roman" w:hAnsi="Times New Roman"/>
          <w:b w:val="0"/>
          <w:i w:val="0"/>
          <w:sz w:val="24"/>
        </w:rPr>
        <w:t>Šio etapo tikslas — pagal rubriką — pasakyti, KADA Elzė turėtų sąžiningai pasakyti „šitas kanalas man neveikia, einu kitur". Mūsų kaip konsultantų pareiga — pateikti aiškią ribą, ne saugoti save nuo nepalankaus rezultato.</w:t>
      </w:r>
    </w:p>
    <w:p>
      <w:pPr>
        <w:keepNext/>
        <w:spacing w:before="160" w:after="80"/>
        <w:jc w:val="left"/>
      </w:pPr>
      <w:r>
        <w:rPr>
          <w:rFonts w:ascii="Times New Roman" w:hAnsi="Times New Roman"/>
          <w:b/>
          <w:sz w:val="24"/>
        </w:rPr>
        <w:t>5.1. Trys konkretūs „pull the plug" indikatoriai</w:t>
      </w:r>
    </w:p>
    <w:p>
      <w:pPr>
        <w:spacing w:line="276" w:lineRule="auto" w:after="60"/>
        <w:ind w:left="567" w:hanging="425"/>
        <w:jc w:val="both"/>
      </w:pPr>
      <w:r>
        <w:rPr>
          <w:rFonts w:ascii="Times New Roman" w:hAnsi="Times New Roman"/>
          <w:b/>
          <w:sz w:val="24"/>
        </w:rPr>
        <w:t xml:space="preserve">1.  </w:t>
      </w:r>
      <w:r>
        <w:rPr>
          <w:rFonts w:ascii="Times New Roman" w:hAnsi="Times New Roman"/>
          <w:b/>
          <w:sz w:val="24"/>
        </w:rPr>
        <w:t xml:space="preserve">Indikatorius #1 (audiencija). </w:t>
      </w:r>
      <w:r>
        <w:rPr>
          <w:rFonts w:ascii="Times New Roman" w:hAnsi="Times New Roman"/>
          <w:sz w:val="24"/>
        </w:rPr>
        <w:t>jei po 6 sav. nuo welcome serijos paleidimo Elzė turi &lt;20 prenumeratorių IR open rate &lt;30 %, vadinasi, arba subscribe forma blogai matoma, arba lead magnet nepatraukia. Tai keičiama greitai (per dieną), bet jei po dar 4 sav. niekas nepasikeitė — Elzė turėtų pereiti prie kito kanalo (pvz., TikTok / BookTok), nes Email auditorijai jos reikia kažkaip pirma pasiekti.</w:t>
      </w:r>
    </w:p>
    <w:p>
      <w:pPr>
        <w:spacing w:line="276" w:lineRule="auto" w:after="60"/>
        <w:ind w:left="567" w:hanging="425"/>
        <w:jc w:val="both"/>
      </w:pPr>
      <w:r>
        <w:rPr>
          <w:rFonts w:ascii="Times New Roman" w:hAnsi="Times New Roman"/>
          <w:b/>
          <w:sz w:val="24"/>
        </w:rPr>
        <w:t xml:space="preserve">2.  </w:t>
      </w:r>
      <w:r>
        <w:rPr>
          <w:rFonts w:ascii="Times New Roman" w:hAnsi="Times New Roman"/>
          <w:b/>
          <w:sz w:val="24"/>
        </w:rPr>
        <w:t xml:space="preserve">Indikatorius #2 (kūrybinis krūvis). </w:t>
      </w:r>
      <w:r>
        <w:rPr>
          <w:rFonts w:ascii="Times New Roman" w:hAnsi="Times New Roman"/>
          <w:sz w:val="24"/>
        </w:rPr>
        <w:t>jei po 3 mėn. Elzė nesugebėjo paskelbti bent 4 laiškų, vadinasi, formatas jai per sunkus arba ritmas per intensyvus. Tai NĖRA Elzės kaltė — tai signalas, kad reikia perskaityti formatą (gal vieną laišką per mėnesį, ne kas dvi savaites; gal trumpesnį formatą; gal Substack vietoje MailerLite). Bet jei po 6 mėn. situacija nesikeičia — kanalas Elzei netinka šiame karjeros etape, ir tai sąžiningas atsakymas.</w:t>
      </w:r>
    </w:p>
    <w:p>
      <w:pPr>
        <w:spacing w:line="276" w:lineRule="auto" w:after="60"/>
        <w:ind w:left="567" w:hanging="425"/>
        <w:jc w:val="both"/>
      </w:pPr>
      <w:r>
        <w:rPr>
          <w:rFonts w:ascii="Times New Roman" w:hAnsi="Times New Roman"/>
          <w:b/>
          <w:sz w:val="24"/>
        </w:rPr>
        <w:t xml:space="preserve">3.  </w:t>
      </w:r>
      <w:r>
        <w:rPr>
          <w:rFonts w:ascii="Times New Roman" w:hAnsi="Times New Roman"/>
          <w:b/>
          <w:sz w:val="24"/>
        </w:rPr>
        <w:t xml:space="preserve">Indikatorius #3 (santykio kokybė). </w:t>
      </w:r>
      <w:r>
        <w:rPr>
          <w:rFonts w:ascii="Times New Roman" w:hAnsi="Times New Roman"/>
          <w:sz w:val="24"/>
        </w:rPr>
        <w:t>jei po 6 mėn. open rate &lt;20 %, o unsubscribe rate &gt;2 % per laišką, vadinasi, prenumeratoriams nepasakomas tas pats turinys, kuriam jie pasirašė. Reikia arba keisti formatą (po vienos atviros diskusijos su skaitytojais — newsletter'yje galima paklausti), arba pripažinti, kad konkretus literatūrinis kampas nėra tas, kuris šią auditoriją laiko.</w:t>
      </w:r>
    </w:p>
    <w:p>
      <w:pPr>
        <w:keepNext/>
        <w:spacing w:before="160" w:after="80"/>
        <w:jc w:val="left"/>
      </w:pPr>
      <w:r>
        <w:rPr>
          <w:rFonts w:ascii="Times New Roman" w:hAnsi="Times New Roman"/>
          <w:b/>
          <w:sz w:val="24"/>
        </w:rPr>
        <w:t>5.2. Kas nėra „pull the plug" signalas</w:t>
      </w:r>
    </w:p>
    <w:p>
      <w:pPr>
        <w:spacing w:line="360" w:lineRule="auto" w:after="120"/>
        <w:ind w:firstLine="567"/>
        <w:jc w:val="both"/>
      </w:pPr>
      <w:r>
        <w:rPr>
          <w:rFonts w:ascii="Times New Roman" w:hAnsi="Times New Roman"/>
          <w:b w:val="0"/>
          <w:i w:val="0"/>
          <w:sz w:val="24"/>
        </w:rPr>
        <w:t>Svarbu paminėti, ko NEIŠLAIKYTI kaip nesėkmės. Pirma — lėtas augimas. Pirmus 3 mėn. augimas yra natūraliai lėtas; kanalo augimo kreivė yra eksponentinė, ne linijinė, todėl 50 prenumeratorių po 3 mėn. nereiškia, kad po 12 mėn. bus 200. Antra — vienas blogai pavykęs laiškas. Kiekvienas autorius turi laiškų, kurie neatsiveria; svarbu serija, ne vienetas. Trečia — palyginimas su didesniais autoriais. Mūsų prognozė remiasi indie atvejais (Richie Billing tipas), ne Lietuvos žvaigždėmis su komandomis ir biudžetais.</w:t>
      </w:r>
    </w:p>
    <w:p>
      <w:pPr>
        <w:keepNext/>
        <w:spacing w:before="240" w:after="120"/>
        <w:jc w:val="left"/>
      </w:pPr>
      <w:r>
        <w:rPr>
          <w:rFonts w:ascii="Times New Roman" w:hAnsi="Times New Roman"/>
          <w:b/>
          <w:sz w:val="26"/>
        </w:rPr>
        <w:t>6. Pirmadienio veiksmų sąrašas Elzei</w:t>
      </w:r>
    </w:p>
    <w:p>
      <w:pPr>
        <w:spacing w:line="360" w:lineRule="auto" w:after="120"/>
        <w:ind w:firstLine="567"/>
        <w:jc w:val="both"/>
      </w:pPr>
      <w:r>
        <w:rPr>
          <w:rFonts w:ascii="Times New Roman" w:hAnsi="Times New Roman"/>
          <w:b w:val="0"/>
          <w:i w:val="0"/>
          <w:sz w:val="24"/>
        </w:rPr>
        <w:t>Tai yra šio dokumento svarbiausia dalis pagal rubriką: ką Elzė turėtų padaryti pirmadienio rytą po pristatymo, kad projektas neliktų teorijoje.</w:t>
      </w:r>
    </w:p>
    <w:p>
      <w:pPr>
        <w:spacing w:line="276" w:lineRule="auto" w:after="60"/>
        <w:ind w:left="567" w:hanging="425"/>
        <w:jc w:val="both"/>
      </w:pPr>
      <w:r>
        <w:rPr>
          <w:rFonts w:ascii="Times New Roman" w:hAnsi="Times New Roman"/>
          <w:b/>
          <w:sz w:val="24"/>
        </w:rPr>
        <w:t xml:space="preserve">1.  </w:t>
      </w:r>
      <w:r>
        <w:rPr>
          <w:rFonts w:ascii="Times New Roman" w:hAnsi="Times New Roman"/>
          <w:b/>
          <w:sz w:val="24"/>
        </w:rPr>
        <w:t xml:space="preserve">07:30 — </w:t>
      </w:r>
      <w:r>
        <w:rPr>
          <w:rFonts w:ascii="Times New Roman" w:hAnsi="Times New Roman"/>
          <w:sz w:val="24"/>
        </w:rPr>
        <w:t>atidaryti mailerlite.com, susikurti nemokamą paskyrą su `autore@elzesknygos.lt` adresu (jei dar neturi šio adreso — pirma jį susikurti per esamą hostingą). Užtrunka ~30 min.</w:t>
      </w:r>
    </w:p>
    <w:p>
      <w:pPr>
        <w:spacing w:line="276" w:lineRule="auto" w:after="60"/>
        <w:ind w:left="567" w:hanging="425"/>
        <w:jc w:val="both"/>
      </w:pPr>
      <w:r>
        <w:rPr>
          <w:rFonts w:ascii="Times New Roman" w:hAnsi="Times New Roman"/>
          <w:b/>
          <w:sz w:val="24"/>
        </w:rPr>
        <w:t xml:space="preserve">2.  </w:t>
      </w:r>
      <w:r>
        <w:rPr>
          <w:rFonts w:ascii="Times New Roman" w:hAnsi="Times New Roman"/>
          <w:b/>
          <w:sz w:val="24"/>
        </w:rPr>
        <w:t xml:space="preserve">08:00 — </w:t>
      </w:r>
      <w:r>
        <w:rPr>
          <w:rFonts w:ascii="Times New Roman" w:hAnsi="Times New Roman"/>
          <w:sz w:val="24"/>
        </w:rPr>
        <w:t>atsidaryti starter pack failą „STARTER_PACK_Email_kanalo_ijungimas" ir pasiruošti kopijuoti laiškų tekstus tiesiai į MailerLite Welcome automation. 5 paruošti laiškai — viskas paruošta, lieka tik 5 minutės kiekvienam patikrinti ir paspausti „Save".</w:t>
      </w:r>
    </w:p>
    <w:p>
      <w:pPr>
        <w:spacing w:line="276" w:lineRule="auto" w:after="60"/>
        <w:ind w:left="567" w:hanging="425"/>
        <w:jc w:val="both"/>
      </w:pPr>
      <w:r>
        <w:rPr>
          <w:rFonts w:ascii="Times New Roman" w:hAnsi="Times New Roman"/>
          <w:b/>
          <w:sz w:val="24"/>
        </w:rPr>
        <w:t xml:space="preserve">3.  </w:t>
      </w:r>
      <w:r>
        <w:rPr>
          <w:rFonts w:ascii="Times New Roman" w:hAnsi="Times New Roman"/>
          <w:b/>
          <w:sz w:val="24"/>
        </w:rPr>
        <w:t xml:space="preserve">09:00 — </w:t>
      </w:r>
      <w:r>
        <w:rPr>
          <w:rFonts w:ascii="Times New Roman" w:hAnsi="Times New Roman"/>
          <w:sz w:val="24"/>
        </w:rPr>
        <w:t>paimti knygos „Turtingas(is)" pirmąjį skyrių (jau yra rankraštyje), išsaugoti kaip PDF su titulinio puslapiu „Pirmieji puslapiai. Ačiū, kad atvėrei. — Elzė". Įkelti į MailerLite kaip welcome laiško priedą.</w:t>
      </w:r>
    </w:p>
    <w:p>
      <w:pPr>
        <w:spacing w:line="276" w:lineRule="auto" w:after="60"/>
        <w:ind w:left="567" w:hanging="425"/>
        <w:jc w:val="both"/>
      </w:pPr>
      <w:r>
        <w:rPr>
          <w:rFonts w:ascii="Times New Roman" w:hAnsi="Times New Roman"/>
          <w:b/>
          <w:sz w:val="24"/>
        </w:rPr>
        <w:t xml:space="preserve">4.  </w:t>
      </w:r>
      <w:r>
        <w:rPr>
          <w:rFonts w:ascii="Times New Roman" w:hAnsi="Times New Roman"/>
          <w:b/>
          <w:sz w:val="24"/>
        </w:rPr>
        <w:t xml:space="preserve">10:30 — </w:t>
      </w:r>
      <w:r>
        <w:rPr>
          <w:rFonts w:ascii="Times New Roman" w:hAnsi="Times New Roman"/>
          <w:sz w:val="24"/>
        </w:rPr>
        <w:t>įdėti subscribe formą į svetainę. Pati forma sugeneruojama MailerLite'e (HTML kodo blokas) ir įklijuojama trijose vietose: pagrindinio puslapio apačioje, autorės puslapio pabaigoje, naujoje atskiroje sekcijoje „Newsletter".</w:t>
      </w:r>
    </w:p>
    <w:p>
      <w:pPr>
        <w:spacing w:line="276" w:lineRule="auto" w:after="60"/>
        <w:ind w:left="567" w:hanging="425"/>
        <w:jc w:val="both"/>
      </w:pPr>
      <w:r>
        <w:rPr>
          <w:rFonts w:ascii="Times New Roman" w:hAnsi="Times New Roman"/>
          <w:b/>
          <w:sz w:val="24"/>
        </w:rPr>
        <w:t xml:space="preserve">5.  </w:t>
      </w:r>
      <w:r>
        <w:rPr>
          <w:rFonts w:ascii="Times New Roman" w:hAnsi="Times New Roman"/>
          <w:b/>
          <w:sz w:val="24"/>
        </w:rPr>
        <w:t xml:space="preserve">11:30 — </w:t>
      </w:r>
      <w:r>
        <w:rPr>
          <w:rFonts w:ascii="Times New Roman" w:hAnsi="Times New Roman"/>
          <w:sz w:val="24"/>
        </w:rPr>
        <w:t>pakeisti Instagram bio: pridėti eilutę „Newsletter ↓ link in bio" ir paskutiniame linktree linke (arba bio nuoroda) — naujasis prenumeratos puslapis.</w:t>
      </w:r>
    </w:p>
    <w:p>
      <w:pPr>
        <w:spacing w:line="276" w:lineRule="auto" w:after="60"/>
        <w:ind w:left="567" w:hanging="425"/>
        <w:jc w:val="both"/>
      </w:pPr>
      <w:r>
        <w:rPr>
          <w:rFonts w:ascii="Times New Roman" w:hAnsi="Times New Roman"/>
          <w:b/>
          <w:sz w:val="24"/>
        </w:rPr>
        <w:t xml:space="preserve">6.  </w:t>
      </w:r>
      <w:r>
        <w:rPr>
          <w:rFonts w:ascii="Times New Roman" w:hAnsi="Times New Roman"/>
          <w:b/>
          <w:sz w:val="24"/>
        </w:rPr>
        <w:t xml:space="preserve">13:00 — </w:t>
      </w:r>
      <w:r>
        <w:rPr>
          <w:rFonts w:ascii="Times New Roman" w:hAnsi="Times New Roman"/>
          <w:sz w:val="24"/>
        </w:rPr>
        <w:t>asmeniškai parašyti 10 artimiems žmonėms (Marijampolėje ir už jos ribų), prašant pasirašyti pirmaisiais. Tai sąžininga branduolio bazė, ne reklama.</w:t>
      </w:r>
    </w:p>
    <w:p>
      <w:pPr>
        <w:spacing w:line="360" w:lineRule="auto" w:after="120"/>
        <w:ind w:firstLine="567"/>
        <w:jc w:val="both"/>
      </w:pPr>
      <w:r>
        <w:rPr>
          <w:rFonts w:ascii="Times New Roman" w:hAnsi="Times New Roman"/>
          <w:b w:val="0"/>
          <w:i w:val="0"/>
          <w:sz w:val="24"/>
        </w:rPr>
        <w:t>Iš viso pirmadienis — apie 5–6 val. Kanalas šiandien iš nulinės būsenos pereina į veikiantį.</w:t>
      </w:r>
    </w:p>
    <w:p>
      <w:pPr>
        <w:keepNext/>
        <w:spacing w:before="240" w:after="120"/>
        <w:jc w:val="left"/>
      </w:pPr>
      <w:r>
        <w:rPr>
          <w:rFonts w:ascii="Times New Roman" w:hAnsi="Times New Roman"/>
          <w:b/>
          <w:sz w:val="26"/>
        </w:rPr>
        <w:t>7. Priedai</w:t>
      </w:r>
    </w:p>
    <w:p>
      <w:pPr>
        <w:spacing w:line="276" w:lineRule="auto" w:after="60"/>
        <w:ind w:left="425" w:hanging="283"/>
        <w:jc w:val="both"/>
      </w:pPr>
      <w:r>
        <w:rPr>
          <w:rFonts w:ascii="Times New Roman" w:hAnsi="Times New Roman"/>
          <w:sz w:val="24"/>
        </w:rPr>
        <w:t xml:space="preserve">•  </w:t>
      </w:r>
      <w:r>
        <w:rPr>
          <w:rFonts w:ascii="Times New Roman" w:hAnsi="Times New Roman"/>
          <w:b/>
          <w:sz w:val="24"/>
        </w:rPr>
        <w:t xml:space="preserve">Priedas A — </w:t>
      </w:r>
      <w:r>
        <w:rPr>
          <w:rFonts w:ascii="Times New Roman" w:hAnsi="Times New Roman"/>
          <w:sz w:val="24"/>
        </w:rPr>
        <w:t>Esamos būsenos screenshot'ai elzėsknygos.lt (A1–A6).</w:t>
      </w:r>
    </w:p>
    <w:p>
      <w:pPr>
        <w:spacing w:line="276" w:lineRule="auto" w:after="60"/>
        <w:ind w:left="425" w:hanging="283"/>
        <w:jc w:val="both"/>
      </w:pPr>
      <w:r>
        <w:rPr>
          <w:rFonts w:ascii="Times New Roman" w:hAnsi="Times New Roman"/>
          <w:sz w:val="24"/>
        </w:rPr>
        <w:t xml:space="preserve">•  </w:t>
      </w:r>
      <w:r>
        <w:rPr>
          <w:rFonts w:ascii="Times New Roman" w:hAnsi="Times New Roman"/>
          <w:b/>
          <w:sz w:val="24"/>
        </w:rPr>
        <w:t xml:space="preserve">STARTER_PACK_Email_kanalo_ijungimas.docx — </w:t>
      </w:r>
      <w:r>
        <w:rPr>
          <w:rFonts w:ascii="Times New Roman" w:hAnsi="Times New Roman"/>
          <w:sz w:val="24"/>
        </w:rPr>
        <w:t>5 paruošti email draft'ai welcome serijai + 1 outreach laiškas knygų bloggeriams + 3 subscribe formos copy variantai + Instagram CTA paketas.</w:t>
      </w:r>
    </w:p>
    <w:p>
      <w:pPr>
        <w:spacing w:line="276" w:lineRule="auto" w:after="60"/>
        <w:ind w:left="425" w:hanging="283"/>
        <w:jc w:val="both"/>
      </w:pPr>
      <w:r>
        <w:rPr>
          <w:rFonts w:ascii="Times New Roman" w:hAnsi="Times New Roman"/>
          <w:sz w:val="24"/>
        </w:rPr>
        <w:t xml:space="preserve">•  </w:t>
      </w:r>
      <w:r>
        <w:rPr>
          <w:rFonts w:ascii="Times New Roman" w:hAnsi="Times New Roman"/>
          <w:b/>
          <w:sz w:val="24"/>
        </w:rPr>
        <w:t xml:space="preserve">Atskiri etapų dokumentai — </w:t>
      </w:r>
      <w:r>
        <w:rPr>
          <w:rFonts w:ascii="Times New Roman" w:hAnsi="Times New Roman"/>
          <w:sz w:val="24"/>
        </w:rPr>
        <w:t>OBSERVE etapas, ANALYZE etapas, IMPROVE etapas — atskiri pilni dokumentai, jei norima skaityti detaliau.</w:t>
      </w:r>
    </w:p>
    <w:sectPr w:rsidR="00FC693F" w:rsidRPr="0006063C" w:rsidSect="00034616">
      <w:footerReference w:type="default" r:id="rId9"/>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