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иль14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УДК </w:t>
      </w:r>
      <w:r>
        <w:rPr>
          <w:sz w:val="22"/>
          <w:szCs w:val="22"/>
          <w:rtl w:val="0"/>
          <w:lang w:val="ru-RU"/>
        </w:rPr>
        <w:t>519.233.22</w:t>
      </w:r>
    </w:p>
    <w:p>
      <w:pPr>
        <w:pStyle w:val="Стиль10"/>
        <w:rPr>
          <w:sz w:val="24"/>
          <w:szCs w:val="24"/>
        </w:rPr>
      </w:pPr>
      <w:r>
        <w:rPr>
          <w:sz w:val="22"/>
          <w:szCs w:val="22"/>
          <w:rtl w:val="0"/>
          <w:lang w:val="ru-RU"/>
        </w:rPr>
        <w:t>Анализ априорных распределений в задаче смеси экспертов</w:t>
      </w:r>
    </w:p>
    <w:p>
      <w:pPr>
        <w:pStyle w:val="Стиль11"/>
        <w:rPr>
          <w:sz w:val="22"/>
          <w:szCs w:val="22"/>
          <w:vertAlign w:val="superscript"/>
        </w:rPr>
      </w:pPr>
      <w:r>
        <w:rPr>
          <w:sz w:val="22"/>
          <w:szCs w:val="22"/>
          <w:rtl w:val="0"/>
          <w:lang w:val="ru-RU"/>
        </w:rPr>
        <w:t>А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Грабовой</w:t>
      </w:r>
      <w:r>
        <w:rPr>
          <w:b w:val="0"/>
          <w:bCs w:val="0"/>
          <w:i w:val="0"/>
          <w:iCs w:val="0"/>
          <w:sz w:val="22"/>
          <w:szCs w:val="22"/>
          <w:vertAlign w:val="superscript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i w:val="0"/>
          <w:iCs w:val="0"/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Стрижов</w:t>
      </w:r>
      <w:r>
        <w:rPr>
          <w:b w:val="0"/>
          <w:bCs w:val="0"/>
          <w:i w:val="0"/>
          <w:iCs w:val="0"/>
          <w:sz w:val="22"/>
          <w:szCs w:val="22"/>
          <w:vertAlign w:val="superscript"/>
          <w:rtl w:val="0"/>
          <w:lang w:val="ru-RU"/>
        </w:rPr>
        <w:t>1</w:t>
      </w:r>
    </w:p>
    <w:p>
      <w:pPr>
        <w:pStyle w:val="Стиль12"/>
        <w:rPr>
          <w:sz w:val="22"/>
          <w:szCs w:val="22"/>
        </w:rPr>
      </w:pPr>
      <w:r>
        <w:rPr>
          <w:sz w:val="22"/>
          <w:szCs w:val="22"/>
          <w:vertAlign w:val="superscript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>Московский физико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технический институт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национальный исследовательский университет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Body A"/>
        <w:ind w:firstLine="7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абота посвящена анализу свойств смеси экспертов в зависимости от выбора априорного распределения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Анализируется случай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когда выбран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информативное 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неинформативное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априорн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ые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распределени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параметров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эксперта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качестве экспертов рассматриваются линейные модели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а в качестве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шлюзовой функции —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нейросеть с функцией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softmax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последнем слое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ассматривается задача поиска окружностей на изображении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Предполагается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каждой окружности на изображении соответс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вует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один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эксперт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который задает центр и радиус окружности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ассматривается случай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независимых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априорны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х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распределени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й для параметров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экспертов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случай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когда эти распределения зависимы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качеств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данных рассматриваются синтетически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генерирован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ные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окружности с разным уровнем шума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в окрестности окружностей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 также с равномерным шумом по всему изображению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качестве реальных данных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рассматриваются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изображения глаз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которых предлагается решить задачу поиска границы радужки и зрачка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ind w:firstLine="7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работе сравнивается устойчивость к шуму мультимоделей с заданными независимыми априорными распределениями на параметры локальных моделей экспертов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случае зависимости априорных распределен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 когда априорные распределения отсутствуют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Стиль13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Литература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Yuksel S.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Wilson J.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Gader P.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Twenty Years of Mixture of Experts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IEEE Transactions on Neural Networks and Learning Systems. 2012. V. 23(8). Pp. 1177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1193.</w:t>
      </w:r>
    </w:p>
    <w:sectPr>
      <w:headerReference w:type="default" r:id="rId4"/>
      <w:footerReference w:type="default" r:id="rId5"/>
      <w:pgSz w:w="11900" w:h="16840" w:orient="portrait"/>
      <w:pgMar w:top="1418" w:right="1247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23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95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67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39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11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83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55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27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14">
    <w:name w:val="Стиль14"/>
    <w:next w:val="Стиль1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0">
    <w:name w:val="Стиль10"/>
    <w:next w:val="Стиль1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1">
    <w:name w:val="Стиль11"/>
    <w:next w:val="Стиль1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2">
    <w:name w:val="Стиль12"/>
    <w:next w:val="Стиль12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13">
    <w:name w:val="Стиль13"/>
    <w:next w:val="Стиль1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