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иль14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УДК </w:t>
      </w:r>
      <w:r>
        <w:rPr>
          <w:sz w:val="22"/>
          <w:szCs w:val="22"/>
          <w:rtl w:val="0"/>
          <w:lang w:val="ru-RU"/>
        </w:rPr>
        <w:t>519.233.22</w:t>
      </w:r>
    </w:p>
    <w:p>
      <w:pPr>
        <w:pStyle w:val="Стиль10"/>
        <w:rPr>
          <w:sz w:val="24"/>
          <w:szCs w:val="24"/>
        </w:rPr>
      </w:pPr>
      <w:r>
        <w:rPr>
          <w:sz w:val="22"/>
          <w:szCs w:val="22"/>
          <w:rtl w:val="0"/>
          <w:lang w:val="ru-RU"/>
        </w:rPr>
        <w:t>Вероятностный подход к привилегированному обучению и дистилляции</w:t>
      </w:r>
    </w:p>
    <w:p>
      <w:pPr>
        <w:pStyle w:val="Стиль11"/>
        <w:rPr>
          <w:sz w:val="22"/>
          <w:szCs w:val="22"/>
          <w:vertAlign w:val="superscript"/>
        </w:rPr>
      </w:pPr>
      <w:r>
        <w:rPr>
          <w:sz w:val="22"/>
          <w:szCs w:val="22"/>
          <w:rtl w:val="0"/>
          <w:lang w:val="ru-RU"/>
        </w:rPr>
        <w:t>А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Грабовой</w:t>
      </w:r>
      <w:r>
        <w:rPr>
          <w:b w:val="0"/>
          <w:bCs w:val="0"/>
          <w:i w:val="0"/>
          <w:iCs w:val="0"/>
          <w:sz w:val="22"/>
          <w:szCs w:val="22"/>
          <w:vertAlign w:val="superscript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i w:val="0"/>
          <w:iCs w:val="0"/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Стрижов</w:t>
      </w:r>
      <w:r>
        <w:rPr>
          <w:b w:val="0"/>
          <w:bCs w:val="0"/>
          <w:i w:val="0"/>
          <w:iCs w:val="0"/>
          <w:sz w:val="22"/>
          <w:szCs w:val="22"/>
          <w:vertAlign w:val="superscript"/>
          <w:rtl w:val="0"/>
          <w:lang w:val="ru-RU"/>
        </w:rPr>
        <w:t>1</w:t>
      </w:r>
    </w:p>
    <w:p>
      <w:pPr>
        <w:pStyle w:val="Стиль12"/>
        <w:rPr>
          <w:sz w:val="22"/>
          <w:szCs w:val="22"/>
        </w:rPr>
      </w:pPr>
      <w:r>
        <w:rPr>
          <w:sz w:val="22"/>
          <w:szCs w:val="22"/>
          <w:vertAlign w:val="superscript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>Московский физико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технический институт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национальный исследовательский университет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Body A"/>
        <w:ind w:firstLine="7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абота посвящена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методам снижения сложности аппроксимирующих моделей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работе рассматривается метод дистилляции модели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который позволяет получать новую функцию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которая аппроксимируют некоторую выборку на основе функции которая была построена ранее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Данные функции называются учеником и учителем соответственно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рамках данного метода предполагается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признаковое описание объектов учителя и ученика может отличаться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этом случае говорят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учителю доступна привилегированная информация о данных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 A"/>
        <w:ind w:firstLine="720"/>
        <w:jc w:val="both"/>
        <w:rPr>
          <w:sz w:val="22"/>
          <w:szCs w:val="22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работе предлагается вероятностное обоснование методов дистилляции и привилегированного обучения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2"/>
          <w:szCs w:val="22"/>
          <w:rtl w:val="0"/>
          <w:lang w:val="ru-RU"/>
        </w:rPr>
        <w:t>В качестве функции учителя и ученика рассматриваются произвольные параметрические функции с наперед заданной структурой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 частности для случая линейной и логистической регрессии получен ряд теоретических результатов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Body A"/>
        <w:ind w:firstLine="7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ru-RU"/>
        </w:rPr>
        <w:t>Теоретические результаты анализируются в вычислительном эксперименте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вычислительном эксперименте проводиться сравнение моделей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которые используют функцию учителя в момент обучения с моделями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которые ее не используют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Для анализа используются реальные данные для задачи классификации изображений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FashionMNIST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и для задачи классификации текстов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Twitter Sentiment Analysis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Стиль13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Литература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Vapnik V., Izmailov R.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Learning Using Privileged Information: Similarity Control and Knowledge Transfer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Journal of Machine Learning Research. 201</w:t>
      </w:r>
      <w:r>
        <w:rPr>
          <w:rFonts w:ascii="Times New Roman" w:hAnsi="Times New Roman"/>
          <w:sz w:val="20"/>
          <w:szCs w:val="20"/>
          <w:rtl w:val="0"/>
          <w:lang w:val="en-US"/>
        </w:rPr>
        <w:t>5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V. </w:t>
      </w:r>
      <w:r>
        <w:rPr>
          <w:rFonts w:ascii="Times New Roman" w:hAnsi="Times New Roman"/>
          <w:sz w:val="20"/>
          <w:szCs w:val="20"/>
          <w:rtl w:val="0"/>
          <w:lang w:val="en-US"/>
        </w:rPr>
        <w:t>16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Pp. </w:t>
      </w:r>
      <w:r>
        <w:rPr>
          <w:rFonts w:ascii="Times New Roman" w:hAnsi="Times New Roman"/>
          <w:sz w:val="20"/>
          <w:szCs w:val="20"/>
          <w:rtl w:val="0"/>
          <w:lang w:val="en-US"/>
        </w:rPr>
        <w:t>2023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2049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Lopez-Paz D., Bottou L., Scholkopf B., Vapnik V.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Unifying Distillation and Privileged Information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In International Conference on Learning Representations. Puerto Rico, 201</w:t>
      </w:r>
      <w:r>
        <w:rPr>
          <w:rFonts w:ascii="Times New Roman" w:hAnsi="Times New Roman"/>
          <w:sz w:val="20"/>
          <w:szCs w:val="20"/>
          <w:rtl w:val="0"/>
          <w:lang w:val="en-US"/>
        </w:rPr>
        <w:t>6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Hinton G., Vinyals O., Dean J.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Distilling the Knowledge in a Neural Network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NIPS Deep Learning and Representation Learning Workshop. 201</w:t>
      </w:r>
      <w:r>
        <w:rPr>
          <w:rFonts w:ascii="Times New Roman" w:hAnsi="Times New Roman"/>
          <w:sz w:val="20"/>
          <w:szCs w:val="20"/>
          <w:rtl w:val="0"/>
          <w:lang w:val="en-US"/>
        </w:rPr>
        <w:t>5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418" w:right="1247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23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95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67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39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11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83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55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27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14">
    <w:name w:val="Стиль14"/>
    <w:next w:val="Стиль1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0">
    <w:name w:val="Стиль10"/>
    <w:next w:val="Стиль1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1">
    <w:name w:val="Стиль11"/>
    <w:next w:val="Стиль1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2">
    <w:name w:val="Стиль12"/>
    <w:next w:val="Стиль12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13">
    <w:name w:val="Стиль13"/>
    <w:next w:val="Стиль1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